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F31EA" w14:textId="77777777" w:rsidR="007B5743" w:rsidRDefault="007B5743" w:rsidP="005B170A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Supplementary Figures</w:t>
      </w:r>
    </w:p>
    <w:p w14:paraId="1579E3C8" w14:textId="77777777" w:rsidR="007B5743" w:rsidRDefault="007B5743">
      <w:pPr>
        <w:widowControl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24941216" w14:textId="5A65FBCE" w:rsidR="00ED2055" w:rsidRDefault="00ED2055" w:rsidP="005B170A">
      <w:pPr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lastRenderedPageBreak/>
        <w:t>Supplementary Figure1</w:t>
      </w:r>
    </w:p>
    <w:p w14:paraId="46F155C6" w14:textId="10E2A469" w:rsidR="00ED2055" w:rsidRPr="009E1AC5" w:rsidRDefault="00ED2055" w:rsidP="005B170A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0" distR="0" wp14:anchorId="61C9FEE6" wp14:editId="47813C56">
            <wp:extent cx="5731510" cy="8279130"/>
            <wp:effectExtent l="0" t="0" r="0" b="1270"/>
            <wp:docPr id="20762874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87475" name="図 20762874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E6108" w14:textId="73EFE132" w:rsidR="0031731F" w:rsidRPr="009E1AC5" w:rsidRDefault="005B170A" w:rsidP="00F9212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9E1AC5">
        <w:rPr>
          <w:rFonts w:ascii="Times New Roman" w:hAnsi="Times New Roman" w:cs="Times New Roman"/>
          <w:b/>
          <w:bCs/>
          <w:sz w:val="24"/>
        </w:rPr>
        <w:lastRenderedPageBreak/>
        <w:t>Supplementa</w:t>
      </w:r>
      <w:r w:rsidR="009E1AC5" w:rsidRPr="009E1AC5">
        <w:rPr>
          <w:rFonts w:ascii="Times New Roman" w:hAnsi="Times New Roman" w:cs="Times New Roman"/>
          <w:b/>
          <w:bCs/>
          <w:sz w:val="24"/>
        </w:rPr>
        <w:t>ry</w:t>
      </w:r>
      <w:r w:rsidRPr="009E1AC5">
        <w:rPr>
          <w:rFonts w:ascii="Times New Roman" w:hAnsi="Times New Roman" w:cs="Times New Roman"/>
          <w:b/>
          <w:bCs/>
          <w:sz w:val="24"/>
        </w:rPr>
        <w:t xml:space="preserve"> Figure </w:t>
      </w:r>
      <w:r w:rsidR="00610699" w:rsidRPr="009E1AC5">
        <w:rPr>
          <w:rFonts w:ascii="Times New Roman" w:hAnsi="Times New Roman" w:cs="Times New Roman"/>
          <w:b/>
          <w:bCs/>
          <w:sz w:val="24"/>
        </w:rPr>
        <w:t>1</w:t>
      </w:r>
    </w:p>
    <w:p w14:paraId="123D63A4" w14:textId="77777777" w:rsidR="001E57E9" w:rsidRDefault="001E57E9" w:rsidP="00F9212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9270EA" w:rsidRPr="009E1AC5">
        <w:rPr>
          <w:rFonts w:ascii="Times New Roman" w:hAnsi="Times New Roman" w:cs="Times New Roman"/>
          <w:sz w:val="24"/>
        </w:rPr>
        <w:t xml:space="preserve">mmune cell distribution in multiple tissues. </w:t>
      </w:r>
    </w:p>
    <w:p w14:paraId="2CEE10CB" w14:textId="354845DC" w:rsidR="009270EA" w:rsidRPr="009E1AC5" w:rsidRDefault="001E57E9" w:rsidP="00F9212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Immune c</w:t>
      </w:r>
      <w:r w:rsidR="009270EA" w:rsidRPr="009E1AC5">
        <w:rPr>
          <w:rFonts w:ascii="Times New Roman" w:hAnsi="Times New Roman" w:cs="Times New Roman"/>
          <w:sz w:val="24"/>
        </w:rPr>
        <w:t>ell</w:t>
      </w:r>
      <w:r>
        <w:rPr>
          <w:rFonts w:ascii="Times New Roman" w:hAnsi="Times New Roman" w:cs="Times New Roman"/>
          <w:sz w:val="24"/>
        </w:rPr>
        <w:t xml:space="preserve"> subsets</w:t>
      </w:r>
      <w:r w:rsidR="009270EA" w:rsidRPr="009E1A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</w:t>
      </w:r>
      <w:r w:rsidR="009270EA" w:rsidRPr="009E1AC5">
        <w:rPr>
          <w:rFonts w:ascii="Times New Roman" w:hAnsi="Times New Roman" w:cs="Times New Roman"/>
          <w:sz w:val="24"/>
        </w:rPr>
        <w:t xml:space="preserve"> the spleen, liver, lung, peripheral blood mononuclear cells (PBMC), and mesenteric lymph nodes (</w:t>
      </w:r>
      <w:proofErr w:type="spellStart"/>
      <w:r w:rsidR="009270EA" w:rsidRPr="009E1AC5">
        <w:rPr>
          <w:rFonts w:ascii="Times New Roman" w:hAnsi="Times New Roman" w:cs="Times New Roman"/>
          <w:sz w:val="24"/>
        </w:rPr>
        <w:t>mLN</w:t>
      </w:r>
      <w:proofErr w:type="spellEnd"/>
      <w:r w:rsidR="009270EA" w:rsidRPr="009E1AC5">
        <w:rPr>
          <w:rFonts w:ascii="Times New Roman" w:hAnsi="Times New Roman" w:cs="Times New Roman"/>
          <w:sz w:val="24"/>
        </w:rPr>
        <w:t xml:space="preserve">) of WT and </w:t>
      </w:r>
      <w:r w:rsidR="006E6D61" w:rsidRPr="009E1AC5">
        <w:rPr>
          <w:rFonts w:ascii="Times New Roman" w:hAnsi="Times New Roman" w:cs="Times New Roman"/>
          <w:i/>
          <w:iCs/>
          <w:sz w:val="24"/>
        </w:rPr>
        <w:t>T-</w:t>
      </w:r>
      <w:r w:rsidR="009270EA" w:rsidRPr="009E1AC5">
        <w:rPr>
          <w:rFonts w:ascii="Times New Roman" w:hAnsi="Times New Roman" w:cs="Times New Roman"/>
          <w:i/>
          <w:iCs/>
          <w:sz w:val="24"/>
        </w:rPr>
        <w:t>Pgam1</w:t>
      </w:r>
      <w:r w:rsidR="009270EA" w:rsidRPr="009E1AC5">
        <w:rPr>
          <w:rFonts w:ascii="Times New Roman" w:hAnsi="Times New Roman" w:cs="Times New Roman"/>
          <w:sz w:val="24"/>
        </w:rPr>
        <w:t xml:space="preserve"> KO mice </w:t>
      </w:r>
      <w:r>
        <w:rPr>
          <w:rFonts w:ascii="Times New Roman" w:hAnsi="Times New Roman" w:cs="Times New Roman"/>
          <w:sz w:val="24"/>
        </w:rPr>
        <w:t>were</w:t>
      </w:r>
      <w:r w:rsidR="009270EA" w:rsidRPr="009E1AC5">
        <w:rPr>
          <w:rFonts w:ascii="Times New Roman" w:hAnsi="Times New Roman" w:cs="Times New Roman"/>
          <w:sz w:val="24"/>
        </w:rPr>
        <w:t xml:space="preserve"> analyzed by flow cytometry (mean ± SD, n = 5 biological replicates).</w:t>
      </w:r>
    </w:p>
    <w:p w14:paraId="44070D91" w14:textId="77777777" w:rsidR="009270EA" w:rsidRPr="009E1AC5" w:rsidRDefault="009270EA" w:rsidP="00F92128">
      <w:pPr>
        <w:spacing w:line="360" w:lineRule="auto"/>
        <w:rPr>
          <w:rFonts w:ascii="Times New Roman" w:hAnsi="Times New Roman" w:cs="Times New Roman"/>
          <w:sz w:val="24"/>
        </w:rPr>
      </w:pPr>
      <w:r w:rsidRPr="009E1AC5">
        <w:rPr>
          <w:rFonts w:ascii="Times New Roman" w:hAnsi="Times New Roman" w:cs="Times New Roman"/>
          <w:sz w:val="24"/>
        </w:rPr>
        <w:t>Statistical significance was determined using a two-tailed Student’s t-test.</w:t>
      </w:r>
    </w:p>
    <w:p w14:paraId="5DA05B00" w14:textId="0F474113" w:rsidR="009270EA" w:rsidRPr="009E1AC5" w:rsidRDefault="009270EA" w:rsidP="00F92128">
      <w:pPr>
        <w:spacing w:line="360" w:lineRule="auto"/>
        <w:rPr>
          <w:rFonts w:ascii="Times New Roman" w:hAnsi="Times New Roman" w:cs="Times New Roman"/>
          <w:sz w:val="24"/>
        </w:rPr>
      </w:pPr>
      <w:r w:rsidRPr="009E1AC5">
        <w:rPr>
          <w:rFonts w:ascii="Times New Roman" w:hAnsi="Times New Roman" w:cs="Times New Roman"/>
          <w:sz w:val="24"/>
        </w:rPr>
        <w:t>ns, not significant</w:t>
      </w:r>
      <w:r w:rsidR="00B72533" w:rsidRPr="009E1AC5">
        <w:rPr>
          <w:rFonts w:ascii="Times New Roman" w:hAnsi="Times New Roman" w:cs="Times New Roman"/>
          <w:sz w:val="24"/>
        </w:rPr>
        <w:t>;</w:t>
      </w:r>
      <w:r w:rsidRPr="009E1AC5">
        <w:rPr>
          <w:rFonts w:ascii="Times New Roman" w:hAnsi="Times New Roman" w:cs="Times New Roman"/>
          <w:sz w:val="24"/>
        </w:rPr>
        <w:t xml:space="preserve"> *P &lt; 0.05, ***P &lt; 0.001.</w:t>
      </w:r>
    </w:p>
    <w:p w14:paraId="1F17B61D" w14:textId="77777777" w:rsidR="009270EA" w:rsidRPr="009E1AC5" w:rsidRDefault="009270EA" w:rsidP="00F92128">
      <w:pPr>
        <w:spacing w:line="360" w:lineRule="auto"/>
        <w:rPr>
          <w:rFonts w:ascii="Times New Roman" w:hAnsi="Times New Roman" w:cs="Times New Roman"/>
          <w:sz w:val="24"/>
        </w:rPr>
      </w:pPr>
    </w:p>
    <w:p w14:paraId="6E1B2EBB" w14:textId="77777777" w:rsidR="00ED2055" w:rsidRDefault="00ED2055" w:rsidP="00ED2055">
      <w:pPr>
        <w:rPr>
          <w:rFonts w:ascii="Times New Roman" w:hAnsi="Times New Roman" w:cs="Times New Roman"/>
          <w:b/>
          <w:bCs/>
          <w:sz w:val="24"/>
        </w:rPr>
        <w:sectPr w:rsidR="00ED2055" w:rsidSect="009E1AC5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14:paraId="15B2366C" w14:textId="77777777" w:rsidR="00ED2055" w:rsidRPr="009E1AC5" w:rsidRDefault="00ED2055" w:rsidP="00ED2055">
      <w:pPr>
        <w:rPr>
          <w:rFonts w:ascii="Times New Roman" w:hAnsi="Times New Roman" w:cs="Times New Roman"/>
          <w:b/>
          <w:bCs/>
          <w:sz w:val="24"/>
        </w:rPr>
      </w:pPr>
      <w:r w:rsidRPr="009E1AC5">
        <w:rPr>
          <w:rFonts w:ascii="Times New Roman" w:hAnsi="Times New Roman" w:cs="Times New Roman"/>
          <w:b/>
          <w:bCs/>
          <w:sz w:val="24"/>
        </w:rPr>
        <w:lastRenderedPageBreak/>
        <w:t>Supplementary Figure 2</w:t>
      </w:r>
    </w:p>
    <w:p w14:paraId="15083DB8" w14:textId="3931077F" w:rsidR="009270EA" w:rsidRPr="009E1AC5" w:rsidRDefault="00ED2055" w:rsidP="009270E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8F9682F" wp14:editId="52D91C30">
            <wp:extent cx="5731510" cy="8279130"/>
            <wp:effectExtent l="0" t="0" r="0" b="1270"/>
            <wp:docPr id="198164308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643087" name="図 198164308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E19A1" w14:textId="571ED514" w:rsidR="00F16F76" w:rsidRPr="009F0A26" w:rsidRDefault="009270EA" w:rsidP="00F9212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9E1AC5">
        <w:rPr>
          <w:rFonts w:ascii="Times New Roman" w:hAnsi="Times New Roman" w:cs="Times New Roman"/>
          <w:b/>
          <w:bCs/>
          <w:sz w:val="24"/>
        </w:rPr>
        <w:lastRenderedPageBreak/>
        <w:t>Supplementa</w:t>
      </w:r>
      <w:r w:rsidR="009E1AC5" w:rsidRPr="009E1AC5">
        <w:rPr>
          <w:rFonts w:ascii="Times New Roman" w:hAnsi="Times New Roman" w:cs="Times New Roman"/>
          <w:b/>
          <w:bCs/>
          <w:sz w:val="24"/>
        </w:rPr>
        <w:t>ry</w:t>
      </w:r>
      <w:r w:rsidRPr="009E1AC5">
        <w:rPr>
          <w:rFonts w:ascii="Times New Roman" w:hAnsi="Times New Roman" w:cs="Times New Roman"/>
          <w:b/>
          <w:bCs/>
          <w:sz w:val="24"/>
        </w:rPr>
        <w:t xml:space="preserve"> Figure 2</w:t>
      </w:r>
    </w:p>
    <w:p w14:paraId="228B71E4" w14:textId="63628F42" w:rsidR="003060CE" w:rsidRPr="009E1AC5" w:rsidRDefault="003060CE" w:rsidP="00F9212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schematic representation of the experiment</w:t>
      </w:r>
      <w:r w:rsidR="009F0A26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related to Figure 3A</w:t>
      </w:r>
      <w:r w:rsidR="009F0A26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3C</w:t>
      </w:r>
    </w:p>
    <w:p w14:paraId="35CD9886" w14:textId="6A8A41AE" w:rsidR="00A451B7" w:rsidRDefault="00F16F76" w:rsidP="00F92128">
      <w:pPr>
        <w:spacing w:line="360" w:lineRule="auto"/>
        <w:rPr>
          <w:rFonts w:ascii="Times New Roman" w:hAnsi="Times New Roman" w:cs="Times New Roman"/>
          <w:sz w:val="24"/>
        </w:rPr>
      </w:pPr>
      <w:r w:rsidRPr="009E1AC5">
        <w:rPr>
          <w:rFonts w:ascii="Times New Roman" w:hAnsi="Times New Roman" w:cs="Times New Roman"/>
          <w:sz w:val="24"/>
        </w:rPr>
        <w:t xml:space="preserve">(A) </w:t>
      </w:r>
      <w:r w:rsidR="00A451B7">
        <w:rPr>
          <w:rFonts w:ascii="Times New Roman" w:hAnsi="Times New Roman" w:cs="Times New Roman"/>
          <w:sz w:val="24"/>
        </w:rPr>
        <w:t>Naïve OT-1 CD8+ T cells from WT</w:t>
      </w:r>
      <w:r w:rsidR="004642DE">
        <w:rPr>
          <w:rFonts w:ascii="Times New Roman" w:hAnsi="Times New Roman" w:cs="Times New Roman"/>
          <w:sz w:val="24"/>
        </w:rPr>
        <w:t xml:space="preserve"> (Thy1.1)</w:t>
      </w:r>
      <w:r w:rsidR="00A451B7">
        <w:rPr>
          <w:rFonts w:ascii="Times New Roman" w:hAnsi="Times New Roman" w:cs="Times New Roman"/>
          <w:sz w:val="24"/>
        </w:rPr>
        <w:t xml:space="preserve"> or T-Pgam1 KO</w:t>
      </w:r>
      <w:r w:rsidR="004642DE">
        <w:rPr>
          <w:rFonts w:ascii="Times New Roman" w:hAnsi="Times New Roman" w:cs="Times New Roman"/>
          <w:sz w:val="24"/>
        </w:rPr>
        <w:t xml:space="preserve"> (Thy1.2)</w:t>
      </w:r>
      <w:r w:rsidR="00A451B7">
        <w:rPr>
          <w:rFonts w:ascii="Times New Roman" w:hAnsi="Times New Roman" w:cs="Times New Roman"/>
          <w:sz w:val="24"/>
        </w:rPr>
        <w:t xml:space="preserve"> were adoptively transferred to C57BL/6</w:t>
      </w:r>
      <w:r w:rsidR="004642DE">
        <w:rPr>
          <w:rFonts w:ascii="Times New Roman" w:hAnsi="Times New Roman" w:cs="Times New Roman"/>
          <w:sz w:val="24"/>
        </w:rPr>
        <w:t xml:space="preserve"> recipient</w:t>
      </w:r>
      <w:r w:rsidR="00A451B7">
        <w:rPr>
          <w:rFonts w:ascii="Times New Roman" w:hAnsi="Times New Roman" w:cs="Times New Roman"/>
          <w:sz w:val="24"/>
        </w:rPr>
        <w:t xml:space="preserve"> mice</w:t>
      </w:r>
      <w:r w:rsidR="004642DE">
        <w:rPr>
          <w:rFonts w:ascii="Times New Roman" w:hAnsi="Times New Roman" w:cs="Times New Roman"/>
          <w:sz w:val="24"/>
        </w:rPr>
        <w:t xml:space="preserve"> (congenic Thy1.1/Thy1.2)</w:t>
      </w:r>
      <w:r w:rsidR="00A451B7">
        <w:rPr>
          <w:rFonts w:ascii="Times New Roman" w:hAnsi="Times New Roman" w:cs="Times New Roman"/>
          <w:sz w:val="24"/>
        </w:rPr>
        <w:t xml:space="preserve">. The mice were infected </w:t>
      </w:r>
      <w:r w:rsidR="009F0A26">
        <w:rPr>
          <w:rFonts w:ascii="Times New Roman" w:hAnsi="Times New Roman" w:cs="Times New Roman"/>
          <w:sz w:val="24"/>
        </w:rPr>
        <w:t xml:space="preserve">with </w:t>
      </w:r>
      <w:proofErr w:type="spellStart"/>
      <w:r w:rsidR="00A451B7" w:rsidRPr="00A451B7">
        <w:rPr>
          <w:rFonts w:ascii="Times New Roman" w:hAnsi="Times New Roman" w:cs="Times New Roman"/>
          <w:i/>
          <w:iCs/>
          <w:sz w:val="24"/>
        </w:rPr>
        <w:t>Lm</w:t>
      </w:r>
      <w:proofErr w:type="spellEnd"/>
      <w:r w:rsidR="00A451B7">
        <w:rPr>
          <w:rFonts w:ascii="Times New Roman" w:hAnsi="Times New Roman" w:cs="Times New Roman"/>
          <w:sz w:val="24"/>
        </w:rPr>
        <w:t xml:space="preserve">-OVA at the </w:t>
      </w:r>
      <w:r w:rsidR="009F0A26">
        <w:rPr>
          <w:rFonts w:ascii="Times New Roman" w:hAnsi="Times New Roman" w:cs="Times New Roman"/>
          <w:sz w:val="24"/>
        </w:rPr>
        <w:t>following</w:t>
      </w:r>
      <w:r w:rsidR="00A451B7">
        <w:rPr>
          <w:rFonts w:ascii="Times New Roman" w:hAnsi="Times New Roman" w:cs="Times New Roman"/>
          <w:sz w:val="24"/>
        </w:rPr>
        <w:t xml:space="preserve"> day. </w:t>
      </w:r>
      <w:r w:rsidR="009F0A26" w:rsidRPr="009E1AC5">
        <w:rPr>
          <w:rFonts w:ascii="Times New Roman" w:hAnsi="Times New Roman" w:cs="Times New Roman"/>
          <w:sz w:val="24"/>
        </w:rPr>
        <w:t>Cells were harvested from the spleen 5 or 7 days post-infection and analyzed by flow cytometry.</w:t>
      </w:r>
    </w:p>
    <w:p w14:paraId="6167C75A" w14:textId="157BFAF8" w:rsidR="00F16F76" w:rsidRPr="009E1AC5" w:rsidRDefault="00F16F76" w:rsidP="00F92128">
      <w:pPr>
        <w:spacing w:line="360" w:lineRule="auto"/>
        <w:rPr>
          <w:rFonts w:ascii="Times New Roman" w:hAnsi="Times New Roman" w:cs="Times New Roman"/>
          <w:sz w:val="24"/>
        </w:rPr>
      </w:pPr>
      <w:r w:rsidRPr="009E1AC5">
        <w:rPr>
          <w:rFonts w:ascii="Times New Roman" w:hAnsi="Times New Roman" w:cs="Times New Roman"/>
          <w:sz w:val="24"/>
        </w:rPr>
        <w:t>(B) Naive CD8</w:t>
      </w:r>
      <w:r w:rsidRPr="009E1AC5">
        <w:rPr>
          <w:rFonts w:ascii="Times New Roman" w:hAnsi="Times New Roman" w:cs="Times New Roman"/>
          <w:sz w:val="24"/>
          <w:vertAlign w:val="superscript"/>
        </w:rPr>
        <w:t>+</w:t>
      </w:r>
      <w:r w:rsidRPr="009E1AC5">
        <w:rPr>
          <w:rFonts w:ascii="Times New Roman" w:hAnsi="Times New Roman" w:cs="Times New Roman"/>
          <w:sz w:val="24"/>
        </w:rPr>
        <w:t xml:space="preserve"> T cells stained with CTV were activated in the presence of anti-TCRβ and anti-CD28 antibodies and IL-2 (10 ng/mL), and then cultured in the presence of IL-2. Analysis was performed on days 2, 3, and 4 of culture.</w:t>
      </w:r>
    </w:p>
    <w:p w14:paraId="307FBD21" w14:textId="51082DEA" w:rsidR="00F16F76" w:rsidRPr="009E1AC5" w:rsidRDefault="00F16F76" w:rsidP="00F92128">
      <w:pPr>
        <w:spacing w:line="360" w:lineRule="auto"/>
        <w:rPr>
          <w:rFonts w:ascii="Times New Roman" w:hAnsi="Times New Roman" w:cs="Times New Roman"/>
          <w:sz w:val="24"/>
        </w:rPr>
      </w:pPr>
      <w:r w:rsidRPr="009E1AC5">
        <w:rPr>
          <w:rFonts w:ascii="Times New Roman" w:hAnsi="Times New Roman" w:cs="Times New Roman"/>
          <w:sz w:val="24"/>
        </w:rPr>
        <w:t>(C) Naive CD8+ T cells were activated in the presence of anti-TCRβ antibody, anti-CD28 antibody, and IL-2 (10 ng/mL), and subsequently cultured in the presence of IL-2. On day 4 of culture, the cells were washed and cultured either in the absence of cytokines or in the presence of low-concentration IL-2 (1 ng/mL); apoptosis was then analyzed on day 5 using annexin V and PI.</w:t>
      </w:r>
    </w:p>
    <w:p w14:paraId="0028834D" w14:textId="77777777" w:rsidR="00B72533" w:rsidRPr="009E1AC5" w:rsidRDefault="00B72533" w:rsidP="00F92128">
      <w:pPr>
        <w:spacing w:line="360" w:lineRule="auto"/>
        <w:rPr>
          <w:rFonts w:ascii="Times New Roman" w:hAnsi="Times New Roman" w:cs="Times New Roman"/>
          <w:sz w:val="24"/>
        </w:rPr>
      </w:pPr>
    </w:p>
    <w:p w14:paraId="106B1484" w14:textId="77777777" w:rsidR="00F92128" w:rsidRDefault="00F92128" w:rsidP="00ED2055">
      <w:pPr>
        <w:rPr>
          <w:rFonts w:ascii="Times New Roman" w:hAnsi="Times New Roman" w:cs="Times New Roman"/>
          <w:b/>
          <w:bCs/>
          <w:sz w:val="24"/>
        </w:rPr>
        <w:sectPr w:rsidR="00F92128" w:rsidSect="009E1AC5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14:paraId="4F9B3203" w14:textId="77777777" w:rsidR="00ED2055" w:rsidRPr="009E1AC5" w:rsidRDefault="00ED2055" w:rsidP="00ED2055">
      <w:pPr>
        <w:rPr>
          <w:rFonts w:ascii="Times New Roman" w:hAnsi="Times New Roman" w:cs="Times New Roman"/>
          <w:b/>
          <w:bCs/>
          <w:sz w:val="24"/>
        </w:rPr>
      </w:pPr>
      <w:r w:rsidRPr="009E1AC5">
        <w:rPr>
          <w:rFonts w:ascii="Times New Roman" w:hAnsi="Times New Roman" w:cs="Times New Roman"/>
          <w:b/>
          <w:bCs/>
          <w:sz w:val="24"/>
        </w:rPr>
        <w:lastRenderedPageBreak/>
        <w:t>Supplementary Figure 3</w:t>
      </w:r>
    </w:p>
    <w:p w14:paraId="33139B27" w14:textId="2D04A044" w:rsidR="002E1F6A" w:rsidRPr="009E1AC5" w:rsidRDefault="00F92128" w:rsidP="00B725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585242D" wp14:editId="41A274E4">
            <wp:extent cx="5731510" cy="8279130"/>
            <wp:effectExtent l="0" t="0" r="0" b="1270"/>
            <wp:docPr id="31295625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56250" name="図 31295625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C16E8" w14:textId="206CF209" w:rsidR="00610699" w:rsidRPr="009E1AC5" w:rsidRDefault="00610699" w:rsidP="00F9212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9E1AC5">
        <w:rPr>
          <w:rFonts w:ascii="Times New Roman" w:hAnsi="Times New Roman" w:cs="Times New Roman"/>
          <w:b/>
          <w:bCs/>
          <w:sz w:val="24"/>
        </w:rPr>
        <w:lastRenderedPageBreak/>
        <w:t>Supplementa</w:t>
      </w:r>
      <w:r w:rsidR="009E1AC5" w:rsidRPr="009E1AC5">
        <w:rPr>
          <w:rFonts w:ascii="Times New Roman" w:hAnsi="Times New Roman" w:cs="Times New Roman"/>
          <w:b/>
          <w:bCs/>
          <w:sz w:val="24"/>
        </w:rPr>
        <w:t>ry</w:t>
      </w:r>
      <w:r w:rsidRPr="009E1AC5">
        <w:rPr>
          <w:rFonts w:ascii="Times New Roman" w:hAnsi="Times New Roman" w:cs="Times New Roman"/>
          <w:b/>
          <w:bCs/>
          <w:sz w:val="24"/>
        </w:rPr>
        <w:t xml:space="preserve"> Figure 3</w:t>
      </w:r>
    </w:p>
    <w:p w14:paraId="6FFE4327" w14:textId="2FC90DCB" w:rsidR="0030475D" w:rsidRDefault="0030475D" w:rsidP="00F92128">
      <w:pPr>
        <w:spacing w:line="360" w:lineRule="auto"/>
        <w:rPr>
          <w:rFonts w:ascii="Times New Roman" w:hAnsi="Times New Roman" w:cs="Times New Roman"/>
          <w:sz w:val="24"/>
        </w:rPr>
      </w:pPr>
      <w:r w:rsidRPr="009E1AC5">
        <w:rPr>
          <w:rFonts w:ascii="Times New Roman" w:hAnsi="Times New Roman" w:cs="Times New Roman"/>
          <w:sz w:val="24"/>
        </w:rPr>
        <w:t xml:space="preserve">Metabolic analysis of </w:t>
      </w:r>
      <w:r>
        <w:rPr>
          <w:rFonts w:ascii="Times New Roman" w:hAnsi="Times New Roman" w:cs="Times New Roman"/>
          <w:sz w:val="24"/>
        </w:rPr>
        <w:t xml:space="preserve">activated </w:t>
      </w:r>
      <w:r w:rsidRPr="009E1AC5">
        <w:rPr>
          <w:rFonts w:ascii="Times New Roman" w:hAnsi="Times New Roman" w:cs="Times New Roman"/>
          <w:sz w:val="24"/>
        </w:rPr>
        <w:t>CD8⁺ T cells</w:t>
      </w:r>
      <w:r>
        <w:rPr>
          <w:rFonts w:ascii="Times New Roman" w:hAnsi="Times New Roman" w:cs="Times New Roman"/>
          <w:sz w:val="24"/>
        </w:rPr>
        <w:t xml:space="preserve"> using </w:t>
      </w:r>
      <w:r w:rsidR="009549BC">
        <w:rPr>
          <w:rFonts w:ascii="Times New Roman" w:hAnsi="Times New Roman" w:cs="Times New Roman"/>
          <w:sz w:val="24"/>
        </w:rPr>
        <w:t xml:space="preserve">an </w:t>
      </w:r>
      <w:r>
        <w:rPr>
          <w:rFonts w:ascii="Times New Roman" w:hAnsi="Times New Roman" w:cs="Times New Roman"/>
          <w:sz w:val="24"/>
        </w:rPr>
        <w:t>extracellular flux analyzer</w:t>
      </w:r>
    </w:p>
    <w:p w14:paraId="527727F8" w14:textId="0C205715" w:rsidR="003475C9" w:rsidRPr="009E1AC5" w:rsidRDefault="003475C9" w:rsidP="00F92128">
      <w:pPr>
        <w:spacing w:line="360" w:lineRule="auto"/>
        <w:rPr>
          <w:rFonts w:ascii="Times New Roman" w:hAnsi="Times New Roman" w:cs="Times New Roman"/>
          <w:sz w:val="24"/>
        </w:rPr>
      </w:pPr>
      <w:r w:rsidRPr="009E1AC5">
        <w:rPr>
          <w:rFonts w:ascii="Times New Roman" w:hAnsi="Times New Roman" w:cs="Times New Roman"/>
          <w:sz w:val="24"/>
        </w:rPr>
        <w:t>(A) Naive CD8⁺ T cells were activated in the presence of anti-TCRβ and anti-CD28 antibodies and IL-2 (10 ng/mL)</w:t>
      </w:r>
      <w:r w:rsidR="0030475D">
        <w:rPr>
          <w:rFonts w:ascii="Times New Roman" w:hAnsi="Times New Roman" w:cs="Times New Roman"/>
          <w:sz w:val="24"/>
        </w:rPr>
        <w:t xml:space="preserve"> for 2 days</w:t>
      </w:r>
      <w:r w:rsidRPr="009E1AC5">
        <w:rPr>
          <w:rFonts w:ascii="Times New Roman" w:hAnsi="Times New Roman" w:cs="Times New Roman"/>
          <w:sz w:val="24"/>
        </w:rPr>
        <w:t xml:space="preserve">, </w:t>
      </w:r>
      <w:r w:rsidR="0030475D">
        <w:rPr>
          <w:rFonts w:ascii="Times New Roman" w:hAnsi="Times New Roman" w:cs="Times New Roman"/>
          <w:sz w:val="24"/>
        </w:rPr>
        <w:t xml:space="preserve">and </w:t>
      </w:r>
      <w:r w:rsidR="009549BC">
        <w:rPr>
          <w:rFonts w:ascii="Times New Roman" w:hAnsi="Times New Roman" w:cs="Times New Roman"/>
          <w:sz w:val="24"/>
        </w:rPr>
        <w:t xml:space="preserve">analyzed on day 3. </w:t>
      </w:r>
      <w:r w:rsidRPr="009E1AC5">
        <w:rPr>
          <w:rFonts w:ascii="Times New Roman" w:hAnsi="Times New Roman" w:cs="Times New Roman"/>
          <w:sz w:val="24"/>
        </w:rPr>
        <w:t>ECAR</w:t>
      </w:r>
      <w:r w:rsidR="0030475D">
        <w:rPr>
          <w:rFonts w:ascii="Times New Roman" w:hAnsi="Times New Roman" w:cs="Times New Roman"/>
          <w:sz w:val="24"/>
        </w:rPr>
        <w:t xml:space="preserve"> was</w:t>
      </w:r>
      <w:r w:rsidRPr="009E1AC5">
        <w:rPr>
          <w:rFonts w:ascii="Times New Roman" w:hAnsi="Times New Roman" w:cs="Times New Roman"/>
          <w:sz w:val="24"/>
        </w:rPr>
        <w:t xml:space="preserve"> measured by the Glycolysis Stress Test. OCR</w:t>
      </w:r>
      <w:r w:rsidR="0030475D">
        <w:rPr>
          <w:rFonts w:ascii="Times New Roman" w:hAnsi="Times New Roman" w:cs="Times New Roman"/>
          <w:sz w:val="24"/>
        </w:rPr>
        <w:t xml:space="preserve"> was measured</w:t>
      </w:r>
      <w:r w:rsidRPr="009E1AC5">
        <w:rPr>
          <w:rFonts w:ascii="Times New Roman" w:hAnsi="Times New Roman" w:cs="Times New Roman"/>
          <w:sz w:val="24"/>
        </w:rPr>
        <w:t xml:space="preserve"> </w:t>
      </w:r>
      <w:r w:rsidR="0030475D">
        <w:rPr>
          <w:rFonts w:ascii="Times New Roman" w:hAnsi="Times New Roman" w:cs="Times New Roman"/>
          <w:sz w:val="24"/>
        </w:rPr>
        <w:t>by</w:t>
      </w:r>
      <w:r w:rsidRPr="009E1AC5">
        <w:rPr>
          <w:rFonts w:ascii="Times New Roman" w:hAnsi="Times New Roman" w:cs="Times New Roman"/>
          <w:sz w:val="24"/>
        </w:rPr>
        <w:t xml:space="preserve"> the Mito Stress Test.</w:t>
      </w:r>
    </w:p>
    <w:p w14:paraId="70EEC39A" w14:textId="404526C4" w:rsidR="005B170A" w:rsidRPr="009E1AC5" w:rsidRDefault="003475C9" w:rsidP="00F92128">
      <w:pPr>
        <w:spacing w:line="360" w:lineRule="auto"/>
        <w:rPr>
          <w:rFonts w:ascii="Times New Roman" w:hAnsi="Times New Roman" w:cs="Times New Roman"/>
          <w:sz w:val="24"/>
        </w:rPr>
      </w:pPr>
      <w:r w:rsidRPr="009E1AC5">
        <w:rPr>
          <w:rFonts w:ascii="Times New Roman" w:hAnsi="Times New Roman" w:cs="Times New Roman"/>
          <w:sz w:val="24"/>
        </w:rPr>
        <w:t>(B) Quantitative analysis of the Mito Stress Test. Basal respiration, ATP-linked respiration, spare respiratory capacity, and mitochondria-independent oxygen consumption were quantified using the oxygen consumption rate (OCR) values from (A) (mean ± SD, n = 3 biological replicates). ns, not significant. *P &lt; 0.05.</w:t>
      </w:r>
    </w:p>
    <w:p w14:paraId="4D11E610" w14:textId="77777777" w:rsidR="009E1AC5" w:rsidRPr="009E1AC5" w:rsidRDefault="009E1AC5" w:rsidP="003475C9">
      <w:pPr>
        <w:rPr>
          <w:rFonts w:ascii="Times New Roman" w:hAnsi="Times New Roman" w:cs="Times New Roman"/>
          <w:sz w:val="24"/>
        </w:rPr>
        <w:sectPr w:rsidR="009E1AC5" w:rsidRPr="009E1AC5" w:rsidSect="009E1AC5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14:paraId="0EDF382B" w14:textId="4B30F152" w:rsidR="009E1AC5" w:rsidRPr="00F92128" w:rsidRDefault="009E1AC5" w:rsidP="00F9212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92128">
        <w:rPr>
          <w:rFonts w:ascii="Times New Roman" w:hAnsi="Times New Roman" w:cs="Times New Roman"/>
          <w:b/>
          <w:bCs/>
          <w:sz w:val="24"/>
        </w:rPr>
        <w:lastRenderedPageBreak/>
        <w:t>Supplementary Method</w:t>
      </w:r>
    </w:p>
    <w:p w14:paraId="0982C0BE" w14:textId="22F2248E" w:rsidR="009E1AC5" w:rsidRPr="00F92128" w:rsidRDefault="00F92128" w:rsidP="00F9212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proofErr w:type="spellStart"/>
      <w:r w:rsidRPr="00F92128">
        <w:rPr>
          <w:rFonts w:ascii="Times New Roman" w:hAnsi="Times New Roman" w:cs="Times New Roman"/>
          <w:b/>
          <w:bCs/>
          <w:sz w:val="24"/>
        </w:rPr>
        <w:t>qRT</w:t>
      </w:r>
      <w:proofErr w:type="spellEnd"/>
      <w:r w:rsidRPr="00F92128">
        <w:rPr>
          <w:rFonts w:ascii="Times New Roman" w:hAnsi="Times New Roman" w:cs="Times New Roman"/>
          <w:b/>
          <w:bCs/>
          <w:sz w:val="24"/>
        </w:rPr>
        <w:t>-PCR primers</w:t>
      </w:r>
    </w:p>
    <w:p w14:paraId="53F6E81C" w14:textId="23ACBDAA" w:rsidR="00F92128" w:rsidRPr="00E972AF" w:rsidRDefault="00F92128" w:rsidP="00F92128">
      <w:pPr>
        <w:spacing w:line="360" w:lineRule="auto"/>
        <w:rPr>
          <w:rFonts w:ascii="Times New Roman" w:hAnsi="Times New Roman" w:cs="Times New Roman"/>
          <w:sz w:val="24"/>
        </w:rPr>
      </w:pPr>
      <w:r w:rsidRPr="00E972AF">
        <w:rPr>
          <w:rFonts w:ascii="Times New Roman" w:hAnsi="Times New Roman" w:cs="Times New Roman"/>
          <w:sz w:val="24"/>
        </w:rPr>
        <w:t xml:space="preserve">Primers for </w:t>
      </w:r>
      <w:proofErr w:type="spellStart"/>
      <w:r w:rsidRPr="00E972AF">
        <w:rPr>
          <w:rFonts w:ascii="Times New Roman" w:hAnsi="Times New Roman" w:cs="Times New Roman"/>
          <w:sz w:val="24"/>
        </w:rPr>
        <w:t>qRT</w:t>
      </w:r>
      <w:proofErr w:type="spellEnd"/>
      <w:r w:rsidRPr="00E972AF">
        <w:rPr>
          <w:rFonts w:ascii="Times New Roman" w:hAnsi="Times New Roman" w:cs="Times New Roman"/>
          <w:sz w:val="24"/>
        </w:rPr>
        <w:t>-PCR were as follows: Srebf1: 5’-GGTTTTGAACGACATCGAAGA-3’ (forward)</w:t>
      </w:r>
      <w:r>
        <w:rPr>
          <w:rFonts w:ascii="Times New Roman" w:hAnsi="Times New Roman" w:cs="Times New Roman"/>
          <w:sz w:val="24"/>
        </w:rPr>
        <w:t>,</w:t>
      </w:r>
      <w:r w:rsidR="00AA1C75">
        <w:rPr>
          <w:rFonts w:ascii="Times New Roman" w:hAnsi="Times New Roman" w:cs="Times New Roman"/>
          <w:sz w:val="24"/>
        </w:rPr>
        <w:t xml:space="preserve"> </w:t>
      </w:r>
      <w:r w:rsidRPr="00E972AF">
        <w:rPr>
          <w:rFonts w:ascii="Times New Roman" w:hAnsi="Times New Roman" w:cs="Times New Roman"/>
          <w:sz w:val="24"/>
        </w:rPr>
        <w:t>5’-CGGGAAGTCACTGTCTTGGT-3</w:t>
      </w:r>
      <w:r>
        <w:rPr>
          <w:rFonts w:ascii="Times New Roman" w:hAnsi="Times New Roman" w:cs="Times New Roman"/>
          <w:sz w:val="24"/>
        </w:rPr>
        <w:t>(</w:t>
      </w:r>
      <w:r w:rsidRPr="00E972AF">
        <w:rPr>
          <w:rFonts w:ascii="Times New Roman" w:hAnsi="Times New Roman" w:cs="Times New Roman"/>
          <w:sz w:val="24"/>
        </w:rPr>
        <w:t>reverse), probe #78; Srebf2: 5’-GCACGGTAAGCAGGTTTGT-3’</w:t>
      </w:r>
      <w:r>
        <w:rPr>
          <w:rFonts w:ascii="Times New Roman" w:hAnsi="Times New Roman" w:cs="Times New Roman"/>
          <w:sz w:val="24"/>
        </w:rPr>
        <w:t>(</w:t>
      </w:r>
      <w:r w:rsidRPr="00E972AF">
        <w:rPr>
          <w:rFonts w:ascii="Times New Roman" w:hAnsi="Times New Roman" w:cs="Times New Roman"/>
          <w:sz w:val="24"/>
        </w:rPr>
        <w:t xml:space="preserve">forward), 5’-ACCTAGACCTCGCCAAAGGT-3’ (reverse), probe #74; </w:t>
      </w:r>
      <w:proofErr w:type="spellStart"/>
      <w:r w:rsidRPr="00E972AF">
        <w:rPr>
          <w:rFonts w:ascii="Times New Roman" w:hAnsi="Times New Roman" w:cs="Times New Roman"/>
          <w:sz w:val="24"/>
        </w:rPr>
        <w:t>Acaca</w:t>
      </w:r>
      <w:proofErr w:type="spellEnd"/>
      <w:r w:rsidRPr="00E972AF">
        <w:rPr>
          <w:rFonts w:ascii="Times New Roman" w:hAnsi="Times New Roman" w:cs="Times New Roman"/>
          <w:sz w:val="24"/>
        </w:rPr>
        <w:t>: 5’-GGCTCAAACTGCAGGTATCC-3’</w:t>
      </w:r>
      <w:r>
        <w:rPr>
          <w:rFonts w:ascii="Times New Roman" w:hAnsi="Times New Roman" w:cs="Times New Roman"/>
          <w:sz w:val="24"/>
        </w:rPr>
        <w:t>(</w:t>
      </w:r>
      <w:r w:rsidRPr="00E972AF">
        <w:rPr>
          <w:rFonts w:ascii="Times New Roman" w:hAnsi="Times New Roman" w:cs="Times New Roman"/>
          <w:sz w:val="24"/>
        </w:rPr>
        <w:t>forward), 5’-TTGCCAATCCACTCGAAGA-3’</w:t>
      </w:r>
      <w:r>
        <w:rPr>
          <w:rFonts w:ascii="Times New Roman" w:hAnsi="Times New Roman" w:cs="Times New Roman"/>
          <w:sz w:val="24"/>
        </w:rPr>
        <w:t>(</w:t>
      </w:r>
      <w:r w:rsidRPr="00E972AF">
        <w:rPr>
          <w:rFonts w:ascii="Times New Roman" w:hAnsi="Times New Roman" w:cs="Times New Roman"/>
          <w:sz w:val="24"/>
        </w:rPr>
        <w:t xml:space="preserve">reverse), probe #103; </w:t>
      </w:r>
      <w:proofErr w:type="spellStart"/>
      <w:r w:rsidRPr="00E972AF">
        <w:rPr>
          <w:rFonts w:ascii="Times New Roman" w:hAnsi="Times New Roman" w:cs="Times New Roman"/>
          <w:sz w:val="24"/>
        </w:rPr>
        <w:t>Fasn</w:t>
      </w:r>
      <w:proofErr w:type="spellEnd"/>
      <w:r w:rsidRPr="00E972AF">
        <w:rPr>
          <w:rFonts w:ascii="Times New Roman" w:hAnsi="Times New Roman" w:cs="Times New Roman"/>
          <w:sz w:val="24"/>
        </w:rPr>
        <w:t>: 5’-GCTGCTGTTGGAAGTCAGC-3’</w:t>
      </w:r>
      <w:r>
        <w:rPr>
          <w:rFonts w:ascii="Times New Roman" w:hAnsi="Times New Roman" w:cs="Times New Roman"/>
          <w:sz w:val="24"/>
        </w:rPr>
        <w:t>(</w:t>
      </w:r>
      <w:r w:rsidRPr="00E972AF">
        <w:rPr>
          <w:rFonts w:ascii="Times New Roman" w:hAnsi="Times New Roman" w:cs="Times New Roman"/>
          <w:sz w:val="24"/>
        </w:rPr>
        <w:t>forward),</w:t>
      </w:r>
      <w:r>
        <w:rPr>
          <w:rFonts w:ascii="Times New Roman" w:hAnsi="Times New Roman" w:cs="Times New Roman"/>
          <w:sz w:val="24"/>
        </w:rPr>
        <w:t xml:space="preserve"> </w:t>
      </w:r>
      <w:r w:rsidRPr="00E972AF">
        <w:rPr>
          <w:rFonts w:ascii="Times New Roman" w:hAnsi="Times New Roman" w:cs="Times New Roman"/>
          <w:sz w:val="24"/>
        </w:rPr>
        <w:t>5’-AGTGTTCGTTCCTCGGAGTG-3’</w:t>
      </w:r>
      <w:r>
        <w:rPr>
          <w:rFonts w:ascii="Times New Roman" w:hAnsi="Times New Roman" w:cs="Times New Roman"/>
          <w:sz w:val="24"/>
        </w:rPr>
        <w:t>(</w:t>
      </w:r>
      <w:r w:rsidRPr="00E972AF">
        <w:rPr>
          <w:rFonts w:ascii="Times New Roman" w:hAnsi="Times New Roman" w:cs="Times New Roman"/>
          <w:sz w:val="24"/>
        </w:rPr>
        <w:t xml:space="preserve">reverse), probe #58; Elovl6: 5’-GCAAAGCACCCGAACTAGG-3’ (forward), 5’-GAGCACAGTGATGTGGTGGT-3’ (reverse), probe #4; Scd1: 5’-TTCCCTCCTGCAAGCTCTAC-3’ (forward), 5’-CAGAGCGCTGGTCATGTAGT-3’ (reverse), probe #34; Hmgcs1: 5’-GGTCTGATCCCCTTTGGTG-3’ (forward), 5’-TGTGAAGGACAGAGAACTGTGG-3’ (reverse), probe #85; </w:t>
      </w:r>
      <w:proofErr w:type="spellStart"/>
      <w:r w:rsidRPr="00E972AF">
        <w:rPr>
          <w:rFonts w:ascii="Times New Roman" w:hAnsi="Times New Roman" w:cs="Times New Roman"/>
          <w:sz w:val="24"/>
        </w:rPr>
        <w:t>Hmgcr</w:t>
      </w:r>
      <w:proofErr w:type="spellEnd"/>
      <w:r w:rsidRPr="00E972AF">
        <w:rPr>
          <w:rFonts w:ascii="Times New Roman" w:hAnsi="Times New Roman" w:cs="Times New Roman"/>
          <w:sz w:val="24"/>
        </w:rPr>
        <w:t xml:space="preserve">: 5’-CGTAAGCGCAGTTCCTTCC-3’ (forward), 5’-TTGTAGCCTCACAGTCCTTGG-3’ (reverse), probe #19; </w:t>
      </w:r>
      <w:proofErr w:type="spellStart"/>
      <w:r w:rsidRPr="00E972AF">
        <w:rPr>
          <w:rFonts w:ascii="Times New Roman" w:hAnsi="Times New Roman" w:cs="Times New Roman"/>
          <w:sz w:val="24"/>
        </w:rPr>
        <w:t>Mvk</w:t>
      </w:r>
      <w:proofErr w:type="spellEnd"/>
      <w:r w:rsidRPr="00E972AF">
        <w:rPr>
          <w:rFonts w:ascii="Times New Roman" w:hAnsi="Times New Roman" w:cs="Times New Roman"/>
          <w:sz w:val="24"/>
        </w:rPr>
        <w:t>: 5’-GCATCACCCTCCTGAAGC-3’ (forward), 5’-CTGGTCTCCCAGCAGTCAA-3’ (reverse), probe #16 and 18 s rRNA: 5</w:t>
      </w:r>
      <w:r w:rsidRPr="00E972AF">
        <w:rPr>
          <w:rFonts w:ascii="Times New Roman" w:hAnsi="Times New Roman" w:cs="Times New Roman" w:hint="eastAsia"/>
          <w:sz w:val="24"/>
        </w:rPr>
        <w:t>′</w:t>
      </w:r>
      <w:r w:rsidRPr="00E972AF">
        <w:rPr>
          <w:rFonts w:ascii="Times New Roman" w:hAnsi="Times New Roman" w:cs="Times New Roman"/>
          <w:sz w:val="24"/>
        </w:rPr>
        <w:t>-</w:t>
      </w:r>
      <w:r w:rsidRPr="00E972AF">
        <w:rPr>
          <w:rFonts w:ascii="Times New Roman" w:hAnsi="Times New Roman" w:cs="Times New Roman" w:hint="eastAsia"/>
          <w:sz w:val="24"/>
        </w:rPr>
        <w:t>­</w:t>
      </w:r>
      <w:r w:rsidRPr="00E972AF">
        <w:rPr>
          <w:rFonts w:ascii="Times New Roman" w:hAnsi="Times New Roman" w:cs="Times New Roman"/>
          <w:sz w:val="24"/>
        </w:rPr>
        <w:t xml:space="preserve"> GCAAT TAT TCC CCA TGAACG-­ 3</w:t>
      </w:r>
      <w:r w:rsidRPr="00E972AF">
        <w:rPr>
          <w:rFonts w:ascii="Times New Roman" w:hAnsi="Times New Roman" w:cs="Times New Roman" w:hint="eastAsia"/>
          <w:sz w:val="24"/>
        </w:rPr>
        <w:t>′</w:t>
      </w:r>
      <w:r w:rsidRPr="00E972AF">
        <w:rPr>
          <w:rFonts w:ascii="Times New Roman" w:hAnsi="Times New Roman" w:cs="Times New Roman"/>
          <w:sz w:val="24"/>
        </w:rPr>
        <w:t xml:space="preserve"> (forward), 5</w:t>
      </w:r>
      <w:r w:rsidRPr="00E972AF">
        <w:rPr>
          <w:rFonts w:ascii="Times New Roman" w:hAnsi="Times New Roman" w:cs="Times New Roman" w:hint="eastAsia"/>
          <w:sz w:val="24"/>
        </w:rPr>
        <w:t>′</w:t>
      </w:r>
      <w:r w:rsidRPr="00E972AF">
        <w:rPr>
          <w:rFonts w:ascii="Times New Roman" w:hAnsi="Times New Roman" w:cs="Times New Roman"/>
          <w:sz w:val="24"/>
        </w:rPr>
        <w:t>-</w:t>
      </w:r>
      <w:r w:rsidRPr="00E972AF">
        <w:rPr>
          <w:rFonts w:ascii="Times New Roman" w:hAnsi="Times New Roman" w:cs="Times New Roman" w:hint="eastAsia"/>
          <w:sz w:val="24"/>
        </w:rPr>
        <w:t>­</w:t>
      </w:r>
      <w:r w:rsidRPr="00E972AF">
        <w:rPr>
          <w:rFonts w:ascii="Times New Roman" w:hAnsi="Times New Roman" w:cs="Times New Roman"/>
          <w:sz w:val="24"/>
        </w:rPr>
        <w:t xml:space="preserve"> GGGAC TTA ATC AAC GCAAGC-­ 3</w:t>
      </w:r>
      <w:r w:rsidRPr="00E972AF">
        <w:rPr>
          <w:rFonts w:ascii="Times New Roman" w:hAnsi="Times New Roman" w:cs="Times New Roman" w:hint="eastAsia"/>
          <w:sz w:val="24"/>
        </w:rPr>
        <w:t>′</w:t>
      </w:r>
      <w:r w:rsidRPr="00E972AF">
        <w:rPr>
          <w:rFonts w:ascii="Times New Roman" w:hAnsi="Times New Roman" w:cs="Times New Roman"/>
          <w:sz w:val="24"/>
        </w:rPr>
        <w:t xml:space="preserve"> (reverse), probe #48.</w:t>
      </w:r>
    </w:p>
    <w:p w14:paraId="154CC89B" w14:textId="77777777" w:rsidR="00F92128" w:rsidRDefault="00F92128" w:rsidP="00AA1C75">
      <w:pPr>
        <w:spacing w:line="360" w:lineRule="auto"/>
        <w:rPr>
          <w:rFonts w:ascii="Times New Roman" w:hAnsi="Times New Roman" w:cs="Times New Roman"/>
          <w:sz w:val="24"/>
        </w:rPr>
      </w:pPr>
    </w:p>
    <w:p w14:paraId="2468C863" w14:textId="77777777" w:rsidR="00AA1C75" w:rsidRPr="00AA1C75" w:rsidRDefault="00AA1C75" w:rsidP="00AA1C75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A1C75">
        <w:rPr>
          <w:rFonts w:ascii="Times New Roman" w:hAnsi="Times New Roman" w:cs="Times New Roman"/>
          <w:b/>
          <w:bCs/>
          <w:sz w:val="24"/>
        </w:rPr>
        <w:t>Measurement of the extracellular acidification rate (ECAR) and oxygen consumption rate (OCR)</w:t>
      </w:r>
    </w:p>
    <w:p w14:paraId="62DC528F" w14:textId="42EABE11" w:rsidR="00AA1C75" w:rsidRPr="00AA1C75" w:rsidRDefault="00AA1C75" w:rsidP="00AA1C75">
      <w:pPr>
        <w:spacing w:line="360" w:lineRule="auto"/>
        <w:rPr>
          <w:rFonts w:ascii="Times New Roman" w:hAnsi="Times New Roman" w:cs="Times New Roman"/>
          <w:sz w:val="24"/>
        </w:rPr>
      </w:pPr>
      <w:r w:rsidRPr="00AA1C75">
        <w:rPr>
          <w:rFonts w:ascii="Times New Roman" w:hAnsi="Times New Roman" w:cs="Times New Roman"/>
          <w:sz w:val="24"/>
        </w:rPr>
        <w:t>The ECAR and OCR in activated T cells (1 × 10</w:t>
      </w:r>
      <w:r w:rsidRPr="0030475D">
        <w:rPr>
          <w:rFonts w:ascii="Times New Roman" w:hAnsi="Times New Roman" w:cs="Times New Roman"/>
          <w:sz w:val="24"/>
          <w:vertAlign w:val="superscript"/>
        </w:rPr>
        <w:t>5</w:t>
      </w:r>
      <w:r w:rsidRPr="00AA1C75">
        <w:rPr>
          <w:rFonts w:ascii="Times New Roman" w:hAnsi="Times New Roman" w:cs="Times New Roman"/>
          <w:sz w:val="24"/>
        </w:rPr>
        <w:t xml:space="preserve"> cells) were measured using an Extracellular Flux Analyzer </w:t>
      </w:r>
      <w:proofErr w:type="spellStart"/>
      <w:r w:rsidRPr="00AA1C75">
        <w:rPr>
          <w:rFonts w:ascii="Times New Roman" w:hAnsi="Times New Roman" w:cs="Times New Roman"/>
          <w:sz w:val="24"/>
        </w:rPr>
        <w:t>XFp</w:t>
      </w:r>
      <w:proofErr w:type="spellEnd"/>
      <w:r w:rsidRPr="00AA1C75">
        <w:rPr>
          <w:rFonts w:ascii="Times New Roman" w:hAnsi="Times New Roman" w:cs="Times New Roman"/>
          <w:sz w:val="24"/>
        </w:rPr>
        <w:t xml:space="preserve"> (Agilent Technologies, Santa Clara, CA, USA). Experiments were performed according to the manufacturer’s protocol. The ECAR was then measured at baseline and in response to the application of 10 </w:t>
      </w:r>
      <w:proofErr w:type="spellStart"/>
      <w:r w:rsidRPr="00AA1C75">
        <w:rPr>
          <w:rFonts w:ascii="Times New Roman" w:hAnsi="Times New Roman" w:cs="Times New Roman"/>
          <w:sz w:val="24"/>
        </w:rPr>
        <w:t>mM</w:t>
      </w:r>
      <w:proofErr w:type="spellEnd"/>
      <w:r w:rsidRPr="00AA1C75">
        <w:rPr>
          <w:rFonts w:ascii="Times New Roman" w:hAnsi="Times New Roman" w:cs="Times New Roman"/>
          <w:sz w:val="24"/>
        </w:rPr>
        <w:t xml:space="preserve"> glucose, 1 </w:t>
      </w:r>
      <w:proofErr w:type="spellStart"/>
      <w:r w:rsidRPr="00AA1C75">
        <w:rPr>
          <w:rFonts w:ascii="Times New Roman" w:hAnsi="Times New Roman" w:cs="Times New Roman"/>
          <w:sz w:val="24"/>
        </w:rPr>
        <w:t>μM</w:t>
      </w:r>
      <w:proofErr w:type="spellEnd"/>
      <w:r w:rsidRPr="00AA1C75">
        <w:rPr>
          <w:rFonts w:ascii="Times New Roman" w:hAnsi="Times New Roman" w:cs="Times New Roman"/>
          <w:sz w:val="24"/>
        </w:rPr>
        <w:t xml:space="preserve"> oligomycin, and 50 </w:t>
      </w:r>
      <w:proofErr w:type="spellStart"/>
      <w:r w:rsidRPr="00AA1C75">
        <w:rPr>
          <w:rFonts w:ascii="Times New Roman" w:hAnsi="Times New Roman" w:cs="Times New Roman"/>
          <w:sz w:val="24"/>
        </w:rPr>
        <w:t>mM</w:t>
      </w:r>
      <w:proofErr w:type="spellEnd"/>
      <w:r w:rsidRPr="00AA1C75">
        <w:rPr>
          <w:rFonts w:ascii="Times New Roman" w:hAnsi="Times New Roman" w:cs="Times New Roman"/>
          <w:sz w:val="24"/>
        </w:rPr>
        <w:t xml:space="preserve"> 2-DG (</w:t>
      </w:r>
      <w:proofErr w:type="spellStart"/>
      <w:r w:rsidRPr="00AA1C75">
        <w:rPr>
          <w:rFonts w:ascii="Times New Roman" w:hAnsi="Times New Roman" w:cs="Times New Roman"/>
          <w:sz w:val="24"/>
        </w:rPr>
        <w:t>XFp</w:t>
      </w:r>
      <w:proofErr w:type="spellEnd"/>
      <w:r w:rsidRPr="00AA1C75">
        <w:rPr>
          <w:rFonts w:ascii="Times New Roman" w:hAnsi="Times New Roman" w:cs="Times New Roman"/>
          <w:sz w:val="24"/>
        </w:rPr>
        <w:t xml:space="preserve"> glycolysis stress test kit; cat#103017-100; Agilent Technologies). The OCR was </w:t>
      </w:r>
      <w:r w:rsidRPr="00AA1C75">
        <w:rPr>
          <w:rFonts w:ascii="Times New Roman" w:hAnsi="Times New Roman" w:cs="Times New Roman"/>
          <w:sz w:val="24"/>
        </w:rPr>
        <w:lastRenderedPageBreak/>
        <w:t xml:space="preserve">measured under basal conditions and in response to the application of 1 </w:t>
      </w:r>
      <w:proofErr w:type="spellStart"/>
      <w:r w:rsidRPr="00AA1C75">
        <w:rPr>
          <w:rFonts w:ascii="Times New Roman" w:hAnsi="Times New Roman" w:cs="Times New Roman"/>
          <w:sz w:val="24"/>
        </w:rPr>
        <w:t>μM</w:t>
      </w:r>
      <w:proofErr w:type="spellEnd"/>
      <w:r w:rsidRPr="00AA1C75">
        <w:rPr>
          <w:rFonts w:ascii="Times New Roman" w:hAnsi="Times New Roman" w:cs="Times New Roman"/>
          <w:sz w:val="24"/>
        </w:rPr>
        <w:t xml:space="preserve"> oligomycin, 2 </w:t>
      </w:r>
      <w:proofErr w:type="spellStart"/>
      <w:r w:rsidRPr="00AA1C75">
        <w:rPr>
          <w:rFonts w:ascii="Times New Roman" w:hAnsi="Times New Roman" w:cs="Times New Roman"/>
          <w:sz w:val="24"/>
        </w:rPr>
        <w:t>μM</w:t>
      </w:r>
      <w:proofErr w:type="spellEnd"/>
      <w:r w:rsidRPr="00AA1C75">
        <w:rPr>
          <w:rFonts w:ascii="Times New Roman" w:hAnsi="Times New Roman" w:cs="Times New Roman"/>
          <w:sz w:val="24"/>
        </w:rPr>
        <w:t xml:space="preserve"> FCCP and 0.5 </w:t>
      </w:r>
      <w:proofErr w:type="spellStart"/>
      <w:r w:rsidRPr="00AA1C75">
        <w:rPr>
          <w:rFonts w:ascii="Times New Roman" w:hAnsi="Times New Roman" w:cs="Times New Roman"/>
          <w:sz w:val="24"/>
        </w:rPr>
        <w:t>μM</w:t>
      </w:r>
      <w:proofErr w:type="spellEnd"/>
      <w:r w:rsidRPr="00AA1C75">
        <w:rPr>
          <w:rFonts w:ascii="Times New Roman" w:hAnsi="Times New Roman" w:cs="Times New Roman"/>
          <w:sz w:val="24"/>
        </w:rPr>
        <w:t xml:space="preserve"> rotenone/antimycin A (</w:t>
      </w:r>
      <w:proofErr w:type="spellStart"/>
      <w:r w:rsidRPr="00AA1C75">
        <w:rPr>
          <w:rFonts w:ascii="Times New Roman" w:hAnsi="Times New Roman" w:cs="Times New Roman"/>
          <w:sz w:val="24"/>
        </w:rPr>
        <w:t>XFp</w:t>
      </w:r>
      <w:proofErr w:type="spellEnd"/>
      <w:r w:rsidRPr="00AA1C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1C75">
        <w:rPr>
          <w:rFonts w:ascii="Times New Roman" w:hAnsi="Times New Roman" w:cs="Times New Roman"/>
          <w:sz w:val="24"/>
        </w:rPr>
        <w:t>mito</w:t>
      </w:r>
      <w:proofErr w:type="spellEnd"/>
      <w:r w:rsidRPr="00AA1C75">
        <w:rPr>
          <w:rFonts w:ascii="Times New Roman" w:hAnsi="Times New Roman" w:cs="Times New Roman"/>
          <w:sz w:val="24"/>
        </w:rPr>
        <w:t xml:space="preserve"> stress test kit; cat#103010-100; Agilent Technologies).</w:t>
      </w:r>
    </w:p>
    <w:p w14:paraId="1BE7A15B" w14:textId="77777777" w:rsidR="00AA1C75" w:rsidRPr="00F92128" w:rsidRDefault="00AA1C75" w:rsidP="00F92128">
      <w:pPr>
        <w:spacing w:line="360" w:lineRule="auto"/>
        <w:rPr>
          <w:rFonts w:ascii="Times New Roman" w:hAnsi="Times New Roman" w:cs="Times New Roman"/>
          <w:sz w:val="24"/>
        </w:rPr>
      </w:pPr>
    </w:p>
    <w:sectPr w:rsidR="00AA1C75" w:rsidRPr="00F92128" w:rsidSect="009E1AC5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72393"/>
    <w:multiLevelType w:val="hybridMultilevel"/>
    <w:tmpl w:val="3F38993E"/>
    <w:lvl w:ilvl="0" w:tplc="0E7C2858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C222F8"/>
    <w:multiLevelType w:val="hybridMultilevel"/>
    <w:tmpl w:val="29EC9298"/>
    <w:lvl w:ilvl="0" w:tplc="64A800EE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115E7A"/>
    <w:multiLevelType w:val="hybridMultilevel"/>
    <w:tmpl w:val="F1F4DC28"/>
    <w:lvl w:ilvl="0" w:tplc="9C0E2C04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6B30F0A"/>
    <w:multiLevelType w:val="hybridMultilevel"/>
    <w:tmpl w:val="C4C8B172"/>
    <w:lvl w:ilvl="0" w:tplc="D8420060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E7"/>
    <w:rsid w:val="00033DBD"/>
    <w:rsid w:val="00050244"/>
    <w:rsid w:val="00050B3F"/>
    <w:rsid w:val="000534B2"/>
    <w:rsid w:val="000675B3"/>
    <w:rsid w:val="000840A5"/>
    <w:rsid w:val="000A0070"/>
    <w:rsid w:val="000A6A42"/>
    <w:rsid w:val="000A7414"/>
    <w:rsid w:val="000A7C3C"/>
    <w:rsid w:val="000B4AA2"/>
    <w:rsid w:val="00100F43"/>
    <w:rsid w:val="0011300A"/>
    <w:rsid w:val="001749B5"/>
    <w:rsid w:val="00176554"/>
    <w:rsid w:val="001A2D4A"/>
    <w:rsid w:val="001C4EC9"/>
    <w:rsid w:val="001D0EE9"/>
    <w:rsid w:val="001E57E9"/>
    <w:rsid w:val="001F1D6F"/>
    <w:rsid w:val="0026241C"/>
    <w:rsid w:val="002716F6"/>
    <w:rsid w:val="002A7DCB"/>
    <w:rsid w:val="002B3EC2"/>
    <w:rsid w:val="002E1F6A"/>
    <w:rsid w:val="0030152A"/>
    <w:rsid w:val="0030475D"/>
    <w:rsid w:val="003060CE"/>
    <w:rsid w:val="00310B1D"/>
    <w:rsid w:val="0031731F"/>
    <w:rsid w:val="00324451"/>
    <w:rsid w:val="003274EF"/>
    <w:rsid w:val="00334E91"/>
    <w:rsid w:val="003379C9"/>
    <w:rsid w:val="003475C9"/>
    <w:rsid w:val="00382837"/>
    <w:rsid w:val="003858C0"/>
    <w:rsid w:val="003863F3"/>
    <w:rsid w:val="00386447"/>
    <w:rsid w:val="00393C55"/>
    <w:rsid w:val="003D557C"/>
    <w:rsid w:val="003D72D4"/>
    <w:rsid w:val="00401B6F"/>
    <w:rsid w:val="0040617F"/>
    <w:rsid w:val="00412149"/>
    <w:rsid w:val="00413A45"/>
    <w:rsid w:val="004218D3"/>
    <w:rsid w:val="0042372D"/>
    <w:rsid w:val="00434E9F"/>
    <w:rsid w:val="004642DE"/>
    <w:rsid w:val="004731A0"/>
    <w:rsid w:val="00476C80"/>
    <w:rsid w:val="00490725"/>
    <w:rsid w:val="00497E5F"/>
    <w:rsid w:val="004A2DA6"/>
    <w:rsid w:val="005212FD"/>
    <w:rsid w:val="005248E4"/>
    <w:rsid w:val="00535617"/>
    <w:rsid w:val="00544427"/>
    <w:rsid w:val="00561173"/>
    <w:rsid w:val="00581C58"/>
    <w:rsid w:val="005960D8"/>
    <w:rsid w:val="005971E2"/>
    <w:rsid w:val="005B170A"/>
    <w:rsid w:val="005B6399"/>
    <w:rsid w:val="005B7940"/>
    <w:rsid w:val="005E0F07"/>
    <w:rsid w:val="005F4C4E"/>
    <w:rsid w:val="00610699"/>
    <w:rsid w:val="00625F60"/>
    <w:rsid w:val="00632B1D"/>
    <w:rsid w:val="00643877"/>
    <w:rsid w:val="00644AC8"/>
    <w:rsid w:val="0064583C"/>
    <w:rsid w:val="00646206"/>
    <w:rsid w:val="00676413"/>
    <w:rsid w:val="00683FCE"/>
    <w:rsid w:val="006A0E32"/>
    <w:rsid w:val="006B073C"/>
    <w:rsid w:val="006B26D5"/>
    <w:rsid w:val="006E0C22"/>
    <w:rsid w:val="006E4ECB"/>
    <w:rsid w:val="006E6D61"/>
    <w:rsid w:val="006F20B7"/>
    <w:rsid w:val="007144BA"/>
    <w:rsid w:val="00742C7F"/>
    <w:rsid w:val="00742F02"/>
    <w:rsid w:val="007562EA"/>
    <w:rsid w:val="00760164"/>
    <w:rsid w:val="007876B9"/>
    <w:rsid w:val="007B544F"/>
    <w:rsid w:val="007B5743"/>
    <w:rsid w:val="007E252F"/>
    <w:rsid w:val="007E606F"/>
    <w:rsid w:val="00805387"/>
    <w:rsid w:val="00810C97"/>
    <w:rsid w:val="00816E36"/>
    <w:rsid w:val="00822CCF"/>
    <w:rsid w:val="00846BD7"/>
    <w:rsid w:val="00855C97"/>
    <w:rsid w:val="008616DC"/>
    <w:rsid w:val="00866CD7"/>
    <w:rsid w:val="00884BAA"/>
    <w:rsid w:val="008C6ED0"/>
    <w:rsid w:val="008F3CF1"/>
    <w:rsid w:val="00901E92"/>
    <w:rsid w:val="009270EA"/>
    <w:rsid w:val="00935209"/>
    <w:rsid w:val="00954616"/>
    <w:rsid w:val="009549BC"/>
    <w:rsid w:val="009C267F"/>
    <w:rsid w:val="009E1AC5"/>
    <w:rsid w:val="009F0A26"/>
    <w:rsid w:val="009F50FE"/>
    <w:rsid w:val="00A26883"/>
    <w:rsid w:val="00A451B7"/>
    <w:rsid w:val="00A9702F"/>
    <w:rsid w:val="00AA1C75"/>
    <w:rsid w:val="00AB0F30"/>
    <w:rsid w:val="00AC086F"/>
    <w:rsid w:val="00AD625D"/>
    <w:rsid w:val="00AE137B"/>
    <w:rsid w:val="00AE2861"/>
    <w:rsid w:val="00AE2A1B"/>
    <w:rsid w:val="00AE7720"/>
    <w:rsid w:val="00B01ED9"/>
    <w:rsid w:val="00B140CC"/>
    <w:rsid w:val="00B204EF"/>
    <w:rsid w:val="00B21D1B"/>
    <w:rsid w:val="00B30940"/>
    <w:rsid w:val="00B31924"/>
    <w:rsid w:val="00B4324B"/>
    <w:rsid w:val="00B63ADD"/>
    <w:rsid w:val="00B72533"/>
    <w:rsid w:val="00BA637B"/>
    <w:rsid w:val="00BA716C"/>
    <w:rsid w:val="00BC37E7"/>
    <w:rsid w:val="00BD10DE"/>
    <w:rsid w:val="00BD4725"/>
    <w:rsid w:val="00BD5BB0"/>
    <w:rsid w:val="00C14630"/>
    <w:rsid w:val="00C16EE7"/>
    <w:rsid w:val="00C22E39"/>
    <w:rsid w:val="00CA3EDF"/>
    <w:rsid w:val="00CC3E8C"/>
    <w:rsid w:val="00CD2700"/>
    <w:rsid w:val="00CE452C"/>
    <w:rsid w:val="00CE743E"/>
    <w:rsid w:val="00D235E0"/>
    <w:rsid w:val="00D712A1"/>
    <w:rsid w:val="00DA06B3"/>
    <w:rsid w:val="00DA5153"/>
    <w:rsid w:val="00DF01B7"/>
    <w:rsid w:val="00DF20B6"/>
    <w:rsid w:val="00DF42F3"/>
    <w:rsid w:val="00E15050"/>
    <w:rsid w:val="00E16948"/>
    <w:rsid w:val="00E23241"/>
    <w:rsid w:val="00E515F1"/>
    <w:rsid w:val="00E62023"/>
    <w:rsid w:val="00E71961"/>
    <w:rsid w:val="00E938A0"/>
    <w:rsid w:val="00EA2B92"/>
    <w:rsid w:val="00EB7FCF"/>
    <w:rsid w:val="00EC0515"/>
    <w:rsid w:val="00ED2055"/>
    <w:rsid w:val="00EE048B"/>
    <w:rsid w:val="00EE2061"/>
    <w:rsid w:val="00F0527B"/>
    <w:rsid w:val="00F06209"/>
    <w:rsid w:val="00F07001"/>
    <w:rsid w:val="00F16F76"/>
    <w:rsid w:val="00F37020"/>
    <w:rsid w:val="00F46992"/>
    <w:rsid w:val="00F92128"/>
    <w:rsid w:val="00F93605"/>
    <w:rsid w:val="00FB1139"/>
    <w:rsid w:val="00FB4F30"/>
    <w:rsid w:val="00FC6E47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492FE"/>
  <w15:chartTrackingRefBased/>
  <w15:docId w15:val="{AF8E8178-5B28-3441-A7B6-CDA06761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20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E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E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E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E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E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E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E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E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E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E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6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E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E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E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E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E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E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E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AF08C-109E-774D-A7ED-6ACAABC6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泰輔 濱田</dc:creator>
  <cp:keywords/>
  <dc:description/>
  <cp:lastModifiedBy>yamamasa.dna@gmail.com</cp:lastModifiedBy>
  <cp:revision>3</cp:revision>
  <dcterms:created xsi:type="dcterms:W3CDTF">2026-05-12T07:52:00Z</dcterms:created>
  <dcterms:modified xsi:type="dcterms:W3CDTF">2026-05-12T09:00:00Z</dcterms:modified>
</cp:coreProperties>
</file>