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2C90D" w14:textId="370818EE" w:rsidR="00861B8D" w:rsidRPr="00861B8D" w:rsidRDefault="00861B8D" w:rsidP="00861B8D">
      <w:pPr>
        <w:jc w:val="both"/>
        <w:rPr>
          <w:rFonts w:asciiTheme="majorBidi" w:hAnsiTheme="majorBidi" w:cstheme="majorBidi"/>
          <w:b/>
          <w:bCs/>
          <w:sz w:val="32"/>
          <w:szCs w:val="32"/>
          <w:lang w:val="en-US"/>
        </w:rPr>
      </w:pPr>
      <w:r w:rsidRPr="00861B8D">
        <w:rPr>
          <w:rFonts w:asciiTheme="majorBidi" w:hAnsiTheme="majorBidi" w:cstheme="majorBidi"/>
          <w:b/>
          <w:bCs/>
          <w:sz w:val="32"/>
          <w:szCs w:val="32"/>
          <w:lang w:val="en-US"/>
        </w:rPr>
        <w:t xml:space="preserve">Supplementary </w:t>
      </w:r>
      <w:r>
        <w:rPr>
          <w:rFonts w:asciiTheme="majorBidi" w:hAnsiTheme="majorBidi" w:cstheme="majorBidi"/>
          <w:b/>
          <w:bCs/>
          <w:sz w:val="32"/>
          <w:szCs w:val="32"/>
          <w:lang w:val="en-US"/>
        </w:rPr>
        <w:t>f</w:t>
      </w:r>
      <w:r w:rsidRPr="00861B8D">
        <w:rPr>
          <w:rFonts w:asciiTheme="majorBidi" w:hAnsiTheme="majorBidi" w:cstheme="majorBidi"/>
          <w:b/>
          <w:bCs/>
          <w:sz w:val="32"/>
          <w:szCs w:val="32"/>
          <w:lang w:val="en-US"/>
        </w:rPr>
        <w:t>ile 1.</w:t>
      </w:r>
    </w:p>
    <w:p w14:paraId="1F69129D" w14:textId="77777777" w:rsidR="00861B8D" w:rsidRDefault="00861B8D" w:rsidP="00861B8D">
      <w:pPr>
        <w:jc w:val="both"/>
        <w:rPr>
          <w:rFonts w:asciiTheme="majorBidi" w:hAnsiTheme="majorBidi" w:cstheme="majorBidi"/>
          <w:sz w:val="24"/>
          <w:szCs w:val="24"/>
          <w:lang w:val="en-US"/>
        </w:rPr>
      </w:pPr>
    </w:p>
    <w:p w14:paraId="49F4DC9D" w14:textId="16B7ACB3" w:rsidR="00861B8D" w:rsidRPr="00861B8D" w:rsidRDefault="00861B8D" w:rsidP="00861B8D">
      <w:pPr>
        <w:jc w:val="both"/>
        <w:rPr>
          <w:rFonts w:asciiTheme="majorBidi" w:hAnsiTheme="majorBidi" w:cstheme="majorBidi"/>
          <w:sz w:val="24"/>
          <w:szCs w:val="24"/>
          <w:lang w:val="en-US"/>
        </w:rPr>
      </w:pPr>
      <w:r w:rsidRPr="00861B8D">
        <w:rPr>
          <w:rFonts w:asciiTheme="majorBidi" w:hAnsiTheme="majorBidi" w:cstheme="majorBidi"/>
          <w:sz w:val="24"/>
          <w:szCs w:val="24"/>
          <w:lang w:val="en-US"/>
        </w:rPr>
        <w:t>The Allplex™ Respiratory Full Panel Assay (Seegene Inc., South Korea) is a multiplex real-time PCR assay designed for the simultaneous detection and identification of 26 respiratory pathogens, including viral and bacterial agents, based on a one-step real-time RT-PCR platform.</w:t>
      </w:r>
      <w:r>
        <w:rPr>
          <w:rFonts w:asciiTheme="majorBidi" w:hAnsiTheme="majorBidi" w:cstheme="majorBidi"/>
          <w:sz w:val="24"/>
          <w:szCs w:val="24"/>
          <w:lang w:val="en-US"/>
        </w:rPr>
        <w:t xml:space="preserve"> </w:t>
      </w:r>
      <w:r w:rsidRPr="00861B8D">
        <w:rPr>
          <w:rFonts w:asciiTheme="majorBidi" w:hAnsiTheme="majorBidi" w:cstheme="majorBidi"/>
          <w:sz w:val="24"/>
          <w:szCs w:val="24"/>
          <w:lang w:val="en-US"/>
        </w:rPr>
        <w:t>Clinically significant respiratory infections caused by a wide range of viral and bacterial pathogens are common in both adult and pediatric populations. Early and accurate identification of the causative agents, including in cases of coinfection, is essential to guide appropriate therapeutic strategies and support infection control measures. Conventional diagnostic approaches are often time-consuming and may lack sensitivity and comprehensiveness, frequently leading to empirical treatment without etiological confirmation.</w:t>
      </w:r>
      <w:r>
        <w:rPr>
          <w:rFonts w:asciiTheme="majorBidi" w:hAnsiTheme="majorBidi" w:cstheme="majorBidi"/>
          <w:sz w:val="24"/>
          <w:szCs w:val="24"/>
          <w:lang w:val="en-US"/>
        </w:rPr>
        <w:t xml:space="preserve"> </w:t>
      </w:r>
      <w:r w:rsidRPr="00861B8D">
        <w:rPr>
          <w:rFonts w:asciiTheme="majorBidi" w:hAnsiTheme="majorBidi" w:cstheme="majorBidi"/>
          <w:sz w:val="24"/>
          <w:szCs w:val="24"/>
          <w:lang w:val="en-US"/>
        </w:rPr>
        <w:t>The assay detects 16 respiratory viruses (influenza B; respiratory syncytial virus [RSV] A and B; adenovirus; enterovirus; human metapneumovirus; parainfluenza viruses 1–4; bocavirus; coronaviruses 229E, NL63, and OC43; rhinovirus), 7 bacterial pathogens (Bordetella pertussis/parapertussis, Chlamydophila pneumoniae, Haemophilus influenzae, Legionella pneumophila, Mycoplasma pneumoniae, Streptococcus pneumoniae), and 3 influenza A subtypes (H1, H1pdm09, and H3). The system is fully automatable from nucleic acid extraction to PCR setup, with a total turnaround time of approximately 4 hours and 30 minutes and a throughput ranging from 20 to 94 samples per run depending on configuration. Samples were not tested in duplicate, and rapid antigen detection tests were not used in the present study.</w:t>
      </w:r>
    </w:p>
    <w:p w14:paraId="5C5D1300" w14:textId="619A57F2" w:rsidR="00861B8D" w:rsidRPr="00861B8D" w:rsidRDefault="00861B8D" w:rsidP="00861B8D">
      <w:pPr>
        <w:jc w:val="both"/>
        <w:rPr>
          <w:rFonts w:asciiTheme="majorBidi" w:hAnsiTheme="majorBidi" w:cstheme="majorBidi"/>
          <w:sz w:val="24"/>
          <w:szCs w:val="24"/>
          <w:lang w:val="en-US"/>
        </w:rPr>
      </w:pPr>
      <w:r w:rsidRPr="00861B8D">
        <w:rPr>
          <w:rFonts w:asciiTheme="majorBidi" w:hAnsiTheme="majorBidi" w:cstheme="majorBidi"/>
          <w:sz w:val="24"/>
          <w:szCs w:val="24"/>
          <w:lang w:val="en-US"/>
        </w:rPr>
        <w:t>In addition to molecular testing, conventional microbiological culture was performed on respiratory specimens (nasopharyngeal swabs and/or hypopharyngeal aspirates) when clinically indicated or when sufficient sample volume was available. For bacterial isolation, specimens were inoculated onto standard solid media routinely used in clinical microbiology laboratories, including 5% sheep blood agar, chocolate agar, and MacConkey agar. Plates were incubated at 35–37°C for 18–24 hours under aerobic conditions, while chocolate agar plates were incubated in a 5% CO₂-enriched atmosphere to support the growth of fastidious organisms. When no growth was observed after 24 hours and clinical suspicion persisted, incubation was extended up to 48 hours. Plates were examined daily for colony morphology, hemolysis patterns, and growth characteristics.</w:t>
      </w:r>
      <w:r>
        <w:rPr>
          <w:rFonts w:asciiTheme="majorBidi" w:hAnsiTheme="majorBidi" w:cstheme="majorBidi"/>
          <w:sz w:val="24"/>
          <w:szCs w:val="24"/>
          <w:lang w:val="en-US"/>
        </w:rPr>
        <w:t xml:space="preserve"> </w:t>
      </w:r>
      <w:r w:rsidRPr="00861B8D">
        <w:rPr>
          <w:rFonts w:asciiTheme="majorBidi" w:hAnsiTheme="majorBidi" w:cstheme="majorBidi"/>
          <w:sz w:val="24"/>
          <w:szCs w:val="24"/>
          <w:lang w:val="en-US"/>
        </w:rPr>
        <w:t>Bacterial identification was performed using conventional phenotypic and biochemical methods (including catalase, oxidase, coagulase testing, and carbohydrate utilization profiles) and/or automated identification systems available during the study period. These included matrix-assisted laser desorption/ionization time-of-flight mass spectrometry (MALDI-TOF MS; Bruker Daltonics, Bremen, Germany and/or bioMérieux, Marcy-l’Étoile, France) and automated biochemical identification platforms (e.g., VITEK 2 system, bioMérieux, Marcy-l’Étoile, France), depending on laboratory availability. Organisms were identified at species level whenever possible, whereas group-level identification was used for closely related respiratory pathogens when necessary.</w:t>
      </w:r>
    </w:p>
    <w:p w14:paraId="79AED96A" w14:textId="77777777" w:rsidR="00861B8D" w:rsidRPr="00861B8D" w:rsidRDefault="00861B8D" w:rsidP="00861B8D">
      <w:pPr>
        <w:jc w:val="both"/>
        <w:rPr>
          <w:rFonts w:asciiTheme="majorBidi" w:hAnsiTheme="majorBidi" w:cstheme="majorBidi"/>
          <w:sz w:val="24"/>
          <w:szCs w:val="24"/>
          <w:lang w:val="en-US"/>
        </w:rPr>
      </w:pPr>
      <w:r w:rsidRPr="00861B8D">
        <w:rPr>
          <w:rFonts w:asciiTheme="majorBidi" w:hAnsiTheme="majorBidi" w:cstheme="majorBidi"/>
          <w:sz w:val="24"/>
          <w:szCs w:val="24"/>
          <w:lang w:val="en-US"/>
        </w:rPr>
        <w:t>Antimicrobial susceptibility testing (AST) was performed on clinically relevant bacterial isolates using automated systems and/or standardized disk diffusion methods, according to laboratory workflow and organism characteristics. Interpretation of susceptibility results followed the European Committee on Antimicrobial Susceptibility Testing (EUCAST) breakpoints applicable during the study period.</w:t>
      </w:r>
    </w:p>
    <w:p w14:paraId="43D79F5C" w14:textId="77777777" w:rsidR="00861B8D" w:rsidRPr="00861B8D" w:rsidRDefault="00861B8D" w:rsidP="00861B8D">
      <w:pPr>
        <w:jc w:val="both"/>
        <w:rPr>
          <w:rFonts w:asciiTheme="majorBidi" w:hAnsiTheme="majorBidi" w:cstheme="majorBidi"/>
          <w:sz w:val="24"/>
          <w:szCs w:val="24"/>
          <w:lang w:val="en-US"/>
        </w:rPr>
      </w:pPr>
      <w:r w:rsidRPr="00861B8D">
        <w:rPr>
          <w:rFonts w:asciiTheme="majorBidi" w:hAnsiTheme="majorBidi" w:cstheme="majorBidi"/>
          <w:sz w:val="24"/>
          <w:szCs w:val="24"/>
          <w:lang w:val="en-US"/>
        </w:rPr>
        <w:t>Where feasible, molecular and culture-based methods were applied to the same specimen to enhance diagnostic yield and to allow comparison between nucleic acid detection (including potentially non-viable organisms identified by PCR) and viable bacterial growth. Discordant results were interpreted in the clinical context, particularly in cases of polymicrobial detection or suspected colonization.</w:t>
      </w:r>
    </w:p>
    <w:p w14:paraId="7980DF0F" w14:textId="4DDA3154" w:rsidR="002E6A6C" w:rsidRPr="00861B8D" w:rsidRDefault="002E6A6C" w:rsidP="00861B8D">
      <w:pPr>
        <w:rPr>
          <w:lang w:val="en-US"/>
        </w:rPr>
      </w:pPr>
    </w:p>
    <w:sectPr w:rsidR="002E6A6C" w:rsidRPr="00861B8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2E7DC2"/>
    <w:multiLevelType w:val="multilevel"/>
    <w:tmpl w:val="801AD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A6139A"/>
    <w:multiLevelType w:val="multilevel"/>
    <w:tmpl w:val="63CAA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3A37FF"/>
    <w:multiLevelType w:val="multilevel"/>
    <w:tmpl w:val="E9EE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6621618">
    <w:abstractNumId w:val="1"/>
  </w:num>
  <w:num w:numId="2" w16cid:durableId="34164697">
    <w:abstractNumId w:val="0"/>
  </w:num>
  <w:num w:numId="3" w16cid:durableId="13828976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2FC"/>
    <w:rsid w:val="0022698E"/>
    <w:rsid w:val="002E6A6C"/>
    <w:rsid w:val="00473173"/>
    <w:rsid w:val="00543EF8"/>
    <w:rsid w:val="006C5079"/>
    <w:rsid w:val="00861B8D"/>
    <w:rsid w:val="009742FC"/>
    <w:rsid w:val="009778BA"/>
    <w:rsid w:val="00C70443"/>
    <w:rsid w:val="00D020AE"/>
    <w:rsid w:val="00FF51B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B8FF4"/>
  <w15:chartTrackingRefBased/>
  <w15:docId w15:val="{7F14D5D7-86CB-4587-8CD3-7D1DF9707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742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742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9742F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742F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742F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742F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742F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742F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742F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742F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742F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9742F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742F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742F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742F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742F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742F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742FC"/>
    <w:rPr>
      <w:rFonts w:eastAsiaTheme="majorEastAsia" w:cstheme="majorBidi"/>
      <w:color w:val="272727" w:themeColor="text1" w:themeTint="D8"/>
    </w:rPr>
  </w:style>
  <w:style w:type="paragraph" w:styleId="Titolo">
    <w:name w:val="Title"/>
    <w:basedOn w:val="Normale"/>
    <w:next w:val="Normale"/>
    <w:link w:val="TitoloCarattere"/>
    <w:uiPriority w:val="10"/>
    <w:qFormat/>
    <w:rsid w:val="009742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742F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742F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742F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742F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742FC"/>
    <w:rPr>
      <w:i/>
      <w:iCs/>
      <w:color w:val="404040" w:themeColor="text1" w:themeTint="BF"/>
    </w:rPr>
  </w:style>
  <w:style w:type="paragraph" w:styleId="Paragrafoelenco">
    <w:name w:val="List Paragraph"/>
    <w:basedOn w:val="Normale"/>
    <w:uiPriority w:val="34"/>
    <w:qFormat/>
    <w:rsid w:val="009742FC"/>
    <w:pPr>
      <w:ind w:left="720"/>
      <w:contextualSpacing/>
    </w:pPr>
  </w:style>
  <w:style w:type="character" w:styleId="Enfasiintensa">
    <w:name w:val="Intense Emphasis"/>
    <w:basedOn w:val="Carpredefinitoparagrafo"/>
    <w:uiPriority w:val="21"/>
    <w:qFormat/>
    <w:rsid w:val="009742FC"/>
    <w:rPr>
      <w:i/>
      <w:iCs/>
      <w:color w:val="0F4761" w:themeColor="accent1" w:themeShade="BF"/>
    </w:rPr>
  </w:style>
  <w:style w:type="paragraph" w:styleId="Citazioneintensa">
    <w:name w:val="Intense Quote"/>
    <w:basedOn w:val="Normale"/>
    <w:next w:val="Normale"/>
    <w:link w:val="CitazioneintensaCarattere"/>
    <w:uiPriority w:val="30"/>
    <w:qFormat/>
    <w:rsid w:val="009742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742FC"/>
    <w:rPr>
      <w:i/>
      <w:iCs/>
      <w:color w:val="0F4761" w:themeColor="accent1" w:themeShade="BF"/>
    </w:rPr>
  </w:style>
  <w:style w:type="character" w:styleId="Riferimentointenso">
    <w:name w:val="Intense Reference"/>
    <w:basedOn w:val="Carpredefinitoparagrafo"/>
    <w:uiPriority w:val="32"/>
    <w:qFormat/>
    <w:rsid w:val="009742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601</Words>
  <Characters>3431</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GREGORIO SERRA</dc:creator>
  <cp:keywords/>
  <dc:description/>
  <cp:lastModifiedBy>GREGORIO SERRA</cp:lastModifiedBy>
  <cp:revision>5</cp:revision>
  <dcterms:created xsi:type="dcterms:W3CDTF">2026-05-02T15:02:00Z</dcterms:created>
  <dcterms:modified xsi:type="dcterms:W3CDTF">2026-05-03T11:55:00Z</dcterms:modified>
</cp:coreProperties>
</file>