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4BCF5" w14:textId="77777777" w:rsidR="00C333FB" w:rsidRPr="00266847" w:rsidRDefault="00C333FB" w:rsidP="00C333FB">
      <w:pPr>
        <w:rPr>
          <w:rFonts w:ascii="Times New Roman" w:hAnsi="Times New Roman" w:cs="Times New Roman"/>
          <w:b/>
          <w:bCs/>
          <w:spacing w:val="30"/>
          <w:sz w:val="24"/>
        </w:rPr>
      </w:pPr>
      <w:r w:rsidRPr="00266847">
        <w:rPr>
          <w:rFonts w:ascii="Times New Roman" w:hAnsi="Times New Roman" w:cs="Times New Roman"/>
          <w:b/>
          <w:bCs/>
          <w:noProof/>
          <w:spacing w:val="30"/>
          <w:sz w:val="24"/>
        </w:rPr>
        <w:drawing>
          <wp:inline distT="0" distB="0" distL="0" distR="0" wp14:anchorId="50004CA5" wp14:editId="36893148">
            <wp:extent cx="5274310" cy="1877695"/>
            <wp:effectExtent l="0" t="0" r="0" b="1905"/>
            <wp:docPr id="886431485" name="图片 10" descr="图表, 直方图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431485" name="图片 10" descr="图表, 直方图&#10;&#10;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7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1D307" w14:textId="77777777" w:rsidR="00C333FB" w:rsidRPr="00BD27EC" w:rsidRDefault="00C333FB" w:rsidP="00C333FB">
      <w:pPr>
        <w:rPr>
          <w:rFonts w:ascii="Times New Roman" w:hAnsi="Times New Roman" w:cs="Times New Roman"/>
          <w:b/>
          <w:bCs/>
          <w:spacing w:val="30"/>
          <w:sz w:val="24"/>
        </w:rPr>
      </w:pPr>
      <w:r w:rsidRPr="00BD27EC">
        <w:rPr>
          <w:rFonts w:ascii="Times New Roman" w:hAnsi="Times New Roman" w:cs="Times New Roman"/>
          <w:b/>
          <w:bCs/>
          <w:spacing w:val="30"/>
          <w:sz w:val="24"/>
        </w:rPr>
        <w:t>Fig. S1. Permutation test validating biological specificity of identified dependencies.</w:t>
      </w:r>
    </w:p>
    <w:p w14:paraId="37998D15" w14:textId="77777777" w:rsidR="00C333FB" w:rsidRDefault="00C333FB" w:rsidP="00C333FB">
      <w:pPr>
        <w:rPr>
          <w:rFonts w:ascii="Times New Roman" w:hAnsi="Times New Roman" w:cs="Times New Roman"/>
          <w:b/>
          <w:bCs/>
          <w:spacing w:val="30"/>
          <w:sz w:val="24"/>
        </w:rPr>
      </w:pPr>
      <w:r w:rsidRPr="00BD27EC">
        <w:rPr>
          <w:rFonts w:ascii="Times New Roman" w:hAnsi="Times New Roman" w:cs="Times New Roman"/>
          <w:b/>
          <w:bCs/>
          <w:spacing w:val="30"/>
          <w:sz w:val="24"/>
        </w:rPr>
        <w:t>Left panel (global view): Histogram of significant pair counts across 1,000 label-permutation iterations, with the observed value (274 pre-selectivity-filtered pairs) shown as a red dashed line. Right panel (zoomed null distribution): The null distribution is concentrated near zero (mean</w:t>
      </w:r>
      <w:r>
        <w:rPr>
          <w:rFonts w:ascii="Times New Roman" w:hAnsi="Times New Roman" w:cs="Times New Roman"/>
          <w:b/>
          <w:bCs/>
          <w:spacing w:val="30"/>
          <w:sz w:val="24"/>
        </w:rPr>
        <w:t xml:space="preserve"> =</w:t>
      </w:r>
      <w:r w:rsidRPr="00BD27EC">
        <w:rPr>
          <w:rFonts w:ascii="Times New Roman" w:hAnsi="Times New Roman" w:cs="Times New Roman"/>
          <w:b/>
          <w:bCs/>
          <w:spacing w:val="30"/>
          <w:sz w:val="24"/>
        </w:rPr>
        <w:t xml:space="preserve"> 2.3, SD</w:t>
      </w:r>
      <w:r>
        <w:rPr>
          <w:rFonts w:ascii="Times New Roman" w:hAnsi="Times New Roman" w:cs="Times New Roman"/>
          <w:b/>
          <w:bCs/>
          <w:spacing w:val="30"/>
          <w:sz w:val="24"/>
        </w:rPr>
        <w:t xml:space="preserve"> =</w:t>
      </w:r>
      <w:r w:rsidRPr="00BD27EC">
        <w:rPr>
          <w:rFonts w:ascii="Times New Roman" w:hAnsi="Times New Roman" w:cs="Times New Roman"/>
          <w:b/>
          <w:bCs/>
          <w:spacing w:val="30"/>
          <w:sz w:val="24"/>
        </w:rPr>
        <w:t xml:space="preserve"> 3.6, maximum</w:t>
      </w:r>
      <w:r>
        <w:rPr>
          <w:rFonts w:ascii="Times New Roman" w:hAnsi="Times New Roman" w:cs="Times New Roman"/>
          <w:b/>
          <w:bCs/>
          <w:spacing w:val="30"/>
          <w:sz w:val="24"/>
        </w:rPr>
        <w:t xml:space="preserve"> =</w:t>
      </w:r>
      <w:r w:rsidRPr="00BD27EC">
        <w:rPr>
          <w:rFonts w:ascii="Times New Roman" w:hAnsi="Times New Roman" w:cs="Times New Roman"/>
          <w:b/>
          <w:bCs/>
          <w:spacing w:val="30"/>
          <w:sz w:val="24"/>
        </w:rPr>
        <w:t xml:space="preserve"> 25), yielding an empirical p-value &lt; 0.001 and Z-score</w:t>
      </w:r>
      <w:r>
        <w:rPr>
          <w:rFonts w:ascii="Times New Roman" w:hAnsi="Times New Roman" w:cs="Times New Roman"/>
          <w:b/>
          <w:bCs/>
          <w:spacing w:val="30"/>
          <w:sz w:val="24"/>
        </w:rPr>
        <w:t xml:space="preserve"> =</w:t>
      </w:r>
      <w:r w:rsidRPr="00BD27EC">
        <w:rPr>
          <w:rFonts w:ascii="Times New Roman" w:hAnsi="Times New Roman" w:cs="Times New Roman"/>
          <w:b/>
          <w:bCs/>
          <w:spacing w:val="30"/>
          <w:sz w:val="24"/>
        </w:rPr>
        <w:t xml:space="preserve"> 75.7, supporting the interpretation that identified dependencies are not attributable to label-permutation artifacts. </w:t>
      </w:r>
      <w:r w:rsidRPr="00994240">
        <w:rPr>
          <w:rFonts w:ascii="Times New Roman" w:hAnsi="Times New Roman" w:cs="Times New Roman"/>
          <w:b/>
          <w:bCs/>
          <w:spacing w:val="30"/>
          <w:sz w:val="24"/>
        </w:rPr>
        <w:t>The permutation benchmark was performed on the pre-stringency-filter candidate set (274 pairs), supporting the overall specificity of the statistical framework prior to the final selectivity refinement step.</w:t>
      </w:r>
    </w:p>
    <w:p w14:paraId="18C63ACB" w14:textId="77777777" w:rsidR="00C333FB" w:rsidRPr="00266847" w:rsidRDefault="00C333FB" w:rsidP="00C333FB">
      <w:pPr>
        <w:rPr>
          <w:rFonts w:ascii="Times New Roman" w:hAnsi="Times New Roman" w:cs="Times New Roman"/>
          <w:b/>
          <w:bCs/>
          <w:spacing w:val="30"/>
          <w:sz w:val="24"/>
        </w:rPr>
      </w:pPr>
    </w:p>
    <w:p w14:paraId="07CA4143" w14:textId="77777777" w:rsidR="00C333FB" w:rsidRPr="00266847" w:rsidRDefault="00C333FB" w:rsidP="00C333FB">
      <w:pPr>
        <w:rPr>
          <w:rFonts w:ascii="Times New Roman" w:hAnsi="Times New Roman" w:cs="Times New Roman"/>
          <w:b/>
          <w:bCs/>
          <w:spacing w:val="30"/>
          <w:sz w:val="24"/>
        </w:rPr>
      </w:pPr>
      <w:r w:rsidRPr="00266847">
        <w:rPr>
          <w:rFonts w:ascii="Times New Roman" w:hAnsi="Times New Roman" w:cs="Times New Roman"/>
          <w:b/>
          <w:bCs/>
          <w:noProof/>
          <w:spacing w:val="30"/>
          <w:sz w:val="24"/>
        </w:rPr>
        <w:lastRenderedPageBreak/>
        <w:drawing>
          <wp:inline distT="0" distB="0" distL="0" distR="0" wp14:anchorId="48345ABE" wp14:editId="1B89FEB9">
            <wp:extent cx="5274310" cy="3164840"/>
            <wp:effectExtent l="0" t="0" r="0" b="0"/>
            <wp:docPr id="2023497693" name="图片 11" descr="图表, 箱线图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497693" name="图片 11" descr="图表, 箱线图&#10;&#10;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64DB3" w14:textId="77777777" w:rsidR="00C333FB" w:rsidRDefault="00C333FB" w:rsidP="00C333FB">
      <w:pPr>
        <w:rPr>
          <w:rFonts w:ascii="Times New Roman" w:hAnsi="Times New Roman" w:cs="Times New Roman"/>
          <w:b/>
          <w:bCs/>
          <w:spacing w:val="30"/>
          <w:sz w:val="24"/>
        </w:rPr>
      </w:pPr>
      <w:r w:rsidRPr="007B23BB">
        <w:rPr>
          <w:rFonts w:ascii="Times New Roman" w:hAnsi="Times New Roman" w:cs="Times New Roman"/>
          <w:b/>
          <w:bCs/>
          <w:spacing w:val="30"/>
          <w:sz w:val="24"/>
        </w:rPr>
        <w:t>Fig. S2. Batch effect assessment for NMNAT1 across experimental batches.</w:t>
      </w:r>
    </w:p>
    <w:p w14:paraId="3F4FCC3B" w14:textId="77777777" w:rsidR="00C333FB" w:rsidRDefault="00C333FB" w:rsidP="00C333FB">
      <w:pPr>
        <w:rPr>
          <w:rFonts w:ascii="Times New Roman" w:hAnsi="Times New Roman" w:cs="Times New Roman"/>
          <w:b/>
          <w:bCs/>
          <w:spacing w:val="30"/>
          <w:sz w:val="24"/>
        </w:rPr>
      </w:pPr>
      <w:r w:rsidRPr="007B23BB">
        <w:rPr>
          <w:rFonts w:ascii="Times New Roman" w:hAnsi="Times New Roman" w:cs="Times New Roman"/>
          <w:b/>
          <w:bCs/>
          <w:spacing w:val="30"/>
          <w:sz w:val="24"/>
        </w:rPr>
        <w:t xml:space="preserve">Boxplots with individual data points showing the distribution of NMNAT1 (Entrez ID 64802) Chronos scores across the five major </w:t>
      </w:r>
      <w:proofErr w:type="spellStart"/>
      <w:r w:rsidRPr="007B23BB">
        <w:rPr>
          <w:rFonts w:ascii="Times New Roman" w:hAnsi="Times New Roman" w:cs="Times New Roman"/>
          <w:b/>
          <w:bCs/>
          <w:spacing w:val="30"/>
          <w:sz w:val="24"/>
        </w:rPr>
        <w:t>DepMap</w:t>
      </w:r>
      <w:proofErr w:type="spellEnd"/>
      <w:r w:rsidRPr="007B23BB">
        <w:rPr>
          <w:rFonts w:ascii="Times New Roman" w:hAnsi="Times New Roman" w:cs="Times New Roman"/>
          <w:b/>
          <w:bCs/>
          <w:spacing w:val="30"/>
          <w:sz w:val="24"/>
        </w:rPr>
        <w:t xml:space="preserve"> experimental batches (</w:t>
      </w:r>
      <w:proofErr w:type="spellStart"/>
      <w:r w:rsidRPr="007B23BB">
        <w:rPr>
          <w:rFonts w:ascii="Times New Roman" w:hAnsi="Times New Roman" w:cs="Times New Roman"/>
          <w:b/>
          <w:bCs/>
          <w:spacing w:val="30"/>
          <w:sz w:val="24"/>
        </w:rPr>
        <w:t>pDNABatch</w:t>
      </w:r>
      <w:proofErr w:type="spellEnd"/>
      <w:r w:rsidRPr="007B23BB">
        <w:rPr>
          <w:rFonts w:ascii="Times New Roman" w:hAnsi="Times New Roman" w:cs="Times New Roman"/>
          <w:b/>
          <w:bCs/>
          <w:spacing w:val="30"/>
          <w:sz w:val="24"/>
        </w:rPr>
        <w:t xml:space="preserve">: Avana-3, KY-1, Avana-4, KY-2, Avana-2). </w:t>
      </w:r>
      <w:r w:rsidRPr="00E332BD">
        <w:rPr>
          <w:rFonts w:ascii="Times New Roman" w:hAnsi="Times New Roman" w:cs="Times New Roman"/>
          <w:b/>
          <w:bCs/>
          <w:spacing w:val="30"/>
          <w:sz w:val="24"/>
        </w:rPr>
        <w:t>Although the Kruskal-Wallis test detected statistically significant between-batch differences (p = 1.22 × 10⁻¹⁶), the effect size was small (η² = 0.036, indicating that batch variation accounts for approximately 3.6% of total score variance), and median dependency scores across batches fell within a narrow range (approximately −0.25 to −0.35), suggesting that batch variation is unlikely to materially confound the identified lineage-specific dependency signals.</w:t>
      </w:r>
      <w:r w:rsidRPr="00A505E8">
        <w:rPr>
          <w:rFonts w:ascii="Times New Roman" w:hAnsi="Times New Roman" w:cs="Times New Roman"/>
          <w:b/>
          <w:bCs/>
          <w:spacing w:val="30"/>
          <w:sz w:val="24"/>
        </w:rPr>
        <w:t>.</w:t>
      </w:r>
    </w:p>
    <w:p w14:paraId="735AC52D" w14:textId="77777777" w:rsidR="00C333FB" w:rsidRDefault="00C333FB" w:rsidP="00C333FB">
      <w:pPr>
        <w:rPr>
          <w:rFonts w:ascii="Times New Roman" w:hAnsi="Times New Roman" w:cs="Times New Roman"/>
          <w:b/>
          <w:bCs/>
          <w:spacing w:val="30"/>
          <w:sz w:val="24"/>
        </w:rPr>
      </w:pPr>
    </w:p>
    <w:p w14:paraId="7C4B5611" w14:textId="77777777" w:rsidR="00C333FB" w:rsidRPr="00266847" w:rsidRDefault="00C333FB" w:rsidP="00C333FB">
      <w:pPr>
        <w:rPr>
          <w:rFonts w:ascii="Times New Roman" w:hAnsi="Times New Roman" w:cs="Times New Roman"/>
          <w:b/>
          <w:bCs/>
          <w:spacing w:val="30"/>
          <w:sz w:val="24"/>
        </w:rPr>
      </w:pPr>
      <w:r w:rsidRPr="00266847">
        <w:rPr>
          <w:rFonts w:ascii="Times New Roman" w:hAnsi="Times New Roman" w:cs="Times New Roman"/>
          <w:b/>
          <w:bCs/>
          <w:noProof/>
          <w:spacing w:val="30"/>
          <w:sz w:val="24"/>
        </w:rPr>
        <w:lastRenderedPageBreak/>
        <w:drawing>
          <wp:inline distT="0" distB="0" distL="0" distR="0" wp14:anchorId="17FDAE91" wp14:editId="7A1E9C5B">
            <wp:extent cx="5274310" cy="2201545"/>
            <wp:effectExtent l="0" t="0" r="0" b="0"/>
            <wp:docPr id="761818810" name="图片 12" descr="图表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818810" name="图片 12" descr="图表&#10;&#10;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0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1BACA" w14:textId="77777777" w:rsidR="00C333FB" w:rsidRDefault="00C333FB" w:rsidP="00C333FB">
      <w:pPr>
        <w:rPr>
          <w:rFonts w:ascii="Times New Roman" w:hAnsi="Times New Roman" w:cs="Times New Roman"/>
          <w:b/>
          <w:bCs/>
          <w:spacing w:val="30"/>
          <w:sz w:val="24"/>
        </w:rPr>
      </w:pPr>
      <w:r w:rsidRPr="005312EF">
        <w:rPr>
          <w:rFonts w:ascii="Times New Roman" w:hAnsi="Times New Roman" w:cs="Times New Roman"/>
          <w:b/>
          <w:bCs/>
          <w:spacing w:val="30"/>
          <w:sz w:val="24"/>
        </w:rPr>
        <w:t xml:space="preserve">Fig. S3. Comparison of target genes against </w:t>
      </w:r>
      <w:proofErr w:type="spellStart"/>
      <w:r w:rsidRPr="005312EF">
        <w:rPr>
          <w:rFonts w:ascii="Times New Roman" w:hAnsi="Times New Roman" w:cs="Times New Roman"/>
          <w:b/>
          <w:bCs/>
          <w:spacing w:val="30"/>
          <w:sz w:val="24"/>
        </w:rPr>
        <w:t>DepMap</w:t>
      </w:r>
      <w:proofErr w:type="spellEnd"/>
      <w:r w:rsidRPr="005312EF">
        <w:rPr>
          <w:rFonts w:ascii="Times New Roman" w:hAnsi="Times New Roman" w:cs="Times New Roman"/>
          <w:b/>
          <w:bCs/>
          <w:spacing w:val="30"/>
          <w:sz w:val="24"/>
        </w:rPr>
        <w:t xml:space="preserve"> Common Essentials.</w:t>
      </w:r>
    </w:p>
    <w:p w14:paraId="1BD7D7E3" w14:textId="77777777" w:rsidR="00C333FB" w:rsidRDefault="00C333FB" w:rsidP="00C333FB">
      <w:pPr>
        <w:rPr>
          <w:rFonts w:ascii="Times New Roman" w:hAnsi="Times New Roman" w:cs="Times New Roman"/>
          <w:b/>
          <w:bCs/>
          <w:spacing w:val="30"/>
          <w:sz w:val="24"/>
        </w:rPr>
      </w:pPr>
      <w:r w:rsidRPr="00CC5D85">
        <w:rPr>
          <w:rFonts w:ascii="Times New Roman" w:hAnsi="Times New Roman" w:cs="Times New Roman"/>
          <w:b/>
          <w:bCs/>
          <w:spacing w:val="30"/>
          <w:sz w:val="24"/>
        </w:rPr>
        <w:t>Left panel: Bar chart showing unique target genes with no overlap with Common Essentials (n = 53 genes, red) versus genes overlapping with the Common Essentials list (n = 4 genes, grey). Note that the 4 overlapping genes correspond to 7 gene</w:t>
      </w:r>
      <w:r>
        <w:rPr>
          <w:rFonts w:ascii="Times New Roman" w:hAnsi="Times New Roman" w:cs="Times New Roman"/>
          <w:b/>
          <w:bCs/>
          <w:spacing w:val="30"/>
          <w:sz w:val="24"/>
        </w:rPr>
        <w:t>–</w:t>
      </w:r>
      <w:r w:rsidRPr="00CC5D85">
        <w:rPr>
          <w:rFonts w:ascii="Times New Roman" w:hAnsi="Times New Roman" w:cs="Times New Roman"/>
          <w:b/>
          <w:bCs/>
          <w:spacing w:val="30"/>
          <w:sz w:val="24"/>
        </w:rPr>
        <w:t>lineage pairs, as some genes are associated with dependencies in more than one lineage. Right panel: Histogram of Chronos dependency scores for lineage-specific dependency pairs from non-overlapping genes (n = 86 pairs, red) and pairs involving genes with any Common Essential overlap (n = 7 pairs, grey).</w:t>
      </w:r>
      <w:r>
        <w:rPr>
          <w:rFonts w:ascii="Times New Roman" w:hAnsi="Times New Roman" w:cs="Times New Roman"/>
          <w:b/>
          <w:bCs/>
          <w:spacing w:val="30"/>
          <w:sz w:val="24"/>
        </w:rPr>
        <w:t xml:space="preserve"> </w:t>
      </w:r>
      <w:r w:rsidRPr="00BD27EC">
        <w:rPr>
          <w:rFonts w:ascii="Times New Roman" w:hAnsi="Times New Roman" w:cs="Times New Roman"/>
          <w:b/>
          <w:bCs/>
          <w:spacing w:val="30"/>
          <w:sz w:val="24"/>
        </w:rPr>
        <w:t>The low gene-level overlap rate (4/57, 7%) and median Chronos score of −1.41 are consistent with the interpretation that identified targets represent lineage-restricted rather than universally cytotoxic vulnerabilities.</w:t>
      </w:r>
    </w:p>
    <w:p w14:paraId="4281E6B9" w14:textId="77777777" w:rsidR="00C333FB" w:rsidRDefault="00C333FB" w:rsidP="00C333FB">
      <w:pPr>
        <w:rPr>
          <w:rFonts w:ascii="Times New Roman" w:hAnsi="Times New Roman" w:cs="Times New Roman"/>
          <w:b/>
          <w:bCs/>
          <w:spacing w:val="30"/>
          <w:sz w:val="24"/>
        </w:rPr>
      </w:pPr>
    </w:p>
    <w:p w14:paraId="0C7D1716" w14:textId="77777777" w:rsidR="00C333FB" w:rsidRPr="00266847" w:rsidRDefault="00C333FB" w:rsidP="00C333FB">
      <w:pPr>
        <w:rPr>
          <w:rFonts w:ascii="Times New Roman" w:hAnsi="Times New Roman" w:cs="Times New Roman"/>
          <w:b/>
          <w:bCs/>
          <w:spacing w:val="30"/>
          <w:sz w:val="24"/>
        </w:rPr>
      </w:pPr>
      <w:r w:rsidRPr="00266847">
        <w:rPr>
          <w:rFonts w:ascii="Times New Roman" w:hAnsi="Times New Roman" w:cs="Times New Roman"/>
          <w:b/>
          <w:bCs/>
          <w:noProof/>
          <w:spacing w:val="30"/>
          <w:sz w:val="24"/>
        </w:rPr>
        <w:lastRenderedPageBreak/>
        <w:drawing>
          <wp:inline distT="0" distB="0" distL="0" distR="0" wp14:anchorId="03614B4B" wp14:editId="46923604">
            <wp:extent cx="5274310" cy="4618990"/>
            <wp:effectExtent l="0" t="0" r="0" b="3810"/>
            <wp:docPr id="203935125" name="图片 13" descr="图表, 散点图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35125" name="图片 13" descr="图表, 散点图&#10;&#10;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1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B4C3C" w14:textId="77777777" w:rsidR="00C333FB" w:rsidRPr="00BD27EC" w:rsidRDefault="00C333FB" w:rsidP="00C333FB">
      <w:pPr>
        <w:rPr>
          <w:rFonts w:ascii="Times New Roman" w:hAnsi="Times New Roman" w:cs="Times New Roman"/>
          <w:b/>
          <w:bCs/>
          <w:spacing w:val="30"/>
          <w:sz w:val="24"/>
        </w:rPr>
      </w:pPr>
      <w:r w:rsidRPr="00BD27EC">
        <w:rPr>
          <w:rFonts w:ascii="Times New Roman" w:hAnsi="Times New Roman" w:cs="Times New Roman"/>
          <w:b/>
          <w:bCs/>
          <w:spacing w:val="30"/>
          <w:sz w:val="24"/>
        </w:rPr>
        <w:t>Fig. S4. Co-dependency heatmap of 57 lineage-specific target genes.</w:t>
      </w:r>
    </w:p>
    <w:p w14:paraId="1ED857D7" w14:textId="77777777" w:rsidR="00C333FB" w:rsidRDefault="00C333FB" w:rsidP="00C333FB">
      <w:pPr>
        <w:rPr>
          <w:rFonts w:ascii="Times New Roman" w:hAnsi="Times New Roman" w:cs="Times New Roman"/>
          <w:b/>
          <w:bCs/>
          <w:spacing w:val="30"/>
          <w:sz w:val="24"/>
        </w:rPr>
      </w:pPr>
      <w:r w:rsidRPr="007B23BB">
        <w:rPr>
          <w:rFonts w:ascii="Times New Roman" w:hAnsi="Times New Roman" w:cs="Times New Roman"/>
          <w:b/>
          <w:bCs/>
          <w:spacing w:val="30"/>
          <w:sz w:val="24"/>
        </w:rPr>
        <w:t>Pearson correlation matrix of Chronos scores across 1,208 cell lines for all 57 unique target genes, ordered by hierarchical clustering (Ward linkage). A prominent metabolic gene module is evident in the upper-left cluster, comprising DHFR, TYMS, NMNAT1, UMPS, CTPS1, NAMPT, SDHB, FPGS, PAICS, ADSL, and YRDC (Pearson r &gt; 0.5). A functionally distinct cluster including SOX10, MDM2, CCND1, and PSMB6 shows low or negative correlations with the metabolic module, indicating mechanistically independent lineage-specific vulnerability programs. Color scale: red</w:t>
      </w:r>
      <w:r>
        <w:rPr>
          <w:rFonts w:ascii="Times New Roman" w:hAnsi="Times New Roman" w:cs="Times New Roman"/>
          <w:b/>
          <w:bCs/>
          <w:spacing w:val="30"/>
          <w:sz w:val="24"/>
        </w:rPr>
        <w:t xml:space="preserve"> =</w:t>
      </w:r>
      <w:r w:rsidRPr="007B23BB">
        <w:rPr>
          <w:rFonts w:ascii="Times New Roman" w:hAnsi="Times New Roman" w:cs="Times New Roman"/>
          <w:b/>
          <w:bCs/>
          <w:spacing w:val="30"/>
          <w:sz w:val="24"/>
        </w:rPr>
        <w:t xml:space="preserve"> positive correlation, blue</w:t>
      </w:r>
      <w:r>
        <w:rPr>
          <w:rFonts w:ascii="Times New Roman" w:hAnsi="Times New Roman" w:cs="Times New Roman"/>
          <w:b/>
          <w:bCs/>
          <w:spacing w:val="30"/>
          <w:sz w:val="24"/>
        </w:rPr>
        <w:t xml:space="preserve"> =</w:t>
      </w:r>
      <w:r w:rsidRPr="007B23BB">
        <w:rPr>
          <w:rFonts w:ascii="Times New Roman" w:hAnsi="Times New Roman" w:cs="Times New Roman"/>
          <w:b/>
          <w:bCs/>
          <w:spacing w:val="30"/>
          <w:sz w:val="24"/>
        </w:rPr>
        <w:t xml:space="preserve"> negative correlation.</w:t>
      </w:r>
    </w:p>
    <w:p w14:paraId="6CAE95DD" w14:textId="77777777" w:rsidR="00C333FB" w:rsidRDefault="00C333FB" w:rsidP="00C333FB">
      <w:pPr>
        <w:rPr>
          <w:rFonts w:ascii="Times New Roman" w:hAnsi="Times New Roman" w:cs="Times New Roman"/>
          <w:b/>
          <w:bCs/>
          <w:spacing w:val="30"/>
          <w:sz w:val="24"/>
        </w:rPr>
      </w:pPr>
    </w:p>
    <w:p w14:paraId="00B8396C" w14:textId="77777777" w:rsidR="00C333FB" w:rsidRPr="00266847" w:rsidRDefault="00C333FB" w:rsidP="00C333FB">
      <w:pPr>
        <w:rPr>
          <w:rFonts w:ascii="Times New Roman" w:hAnsi="Times New Roman" w:cs="Times New Roman"/>
          <w:b/>
          <w:bCs/>
          <w:spacing w:val="30"/>
          <w:sz w:val="24"/>
        </w:rPr>
      </w:pPr>
      <w:r w:rsidRPr="00266847">
        <w:rPr>
          <w:rFonts w:ascii="Times New Roman" w:hAnsi="Times New Roman" w:cs="Times New Roman"/>
          <w:b/>
          <w:bCs/>
          <w:noProof/>
          <w:spacing w:val="30"/>
          <w:sz w:val="24"/>
        </w:rPr>
        <w:lastRenderedPageBreak/>
        <w:drawing>
          <wp:inline distT="0" distB="0" distL="0" distR="0" wp14:anchorId="722F1303" wp14:editId="12F958F2">
            <wp:extent cx="5274310" cy="3513455"/>
            <wp:effectExtent l="0" t="0" r="0" b="4445"/>
            <wp:docPr id="1559711777" name="图片 14" descr="图表, 雷达图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711777" name="图片 14" descr="图表, 雷达图&#10;&#10;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F9AB5" w14:textId="77777777" w:rsidR="00C333FB" w:rsidRPr="00BD27EC" w:rsidRDefault="00C333FB" w:rsidP="00C333FB">
      <w:pPr>
        <w:rPr>
          <w:rFonts w:ascii="Times New Roman" w:hAnsi="Times New Roman" w:cs="Times New Roman"/>
          <w:b/>
          <w:bCs/>
          <w:spacing w:val="30"/>
          <w:sz w:val="24"/>
        </w:rPr>
      </w:pPr>
      <w:r w:rsidRPr="00BD27EC">
        <w:rPr>
          <w:rFonts w:ascii="Times New Roman" w:hAnsi="Times New Roman" w:cs="Times New Roman"/>
          <w:b/>
          <w:bCs/>
          <w:spacing w:val="30"/>
          <w:sz w:val="24"/>
        </w:rPr>
        <w:t>Fig. S5. MDM2 dependency stratified by TP53 mutation status.</w:t>
      </w:r>
    </w:p>
    <w:p w14:paraId="585EED9E" w14:textId="77777777" w:rsidR="00C333FB" w:rsidRDefault="00C333FB" w:rsidP="00C333FB">
      <w:pPr>
        <w:rPr>
          <w:rFonts w:ascii="Times New Roman" w:hAnsi="Times New Roman" w:cs="Times New Roman"/>
          <w:b/>
          <w:bCs/>
          <w:spacing w:val="30"/>
          <w:sz w:val="24"/>
        </w:rPr>
      </w:pPr>
      <w:r w:rsidRPr="007B23BB">
        <w:rPr>
          <w:rFonts w:ascii="Times New Roman" w:hAnsi="Times New Roman" w:cs="Times New Roman"/>
          <w:b/>
          <w:bCs/>
          <w:spacing w:val="30"/>
          <w:sz w:val="24"/>
        </w:rPr>
        <w:t xml:space="preserve">Violin plots with embedded boxplots showing MDM2 Chronos dependency scores in TP53-mutant versus TP53 wild-type cell lines, based on </w:t>
      </w:r>
      <w:proofErr w:type="spellStart"/>
      <w:r w:rsidRPr="007B23BB">
        <w:rPr>
          <w:rFonts w:ascii="Times New Roman" w:hAnsi="Times New Roman" w:cs="Times New Roman"/>
          <w:b/>
          <w:bCs/>
          <w:spacing w:val="30"/>
          <w:sz w:val="24"/>
        </w:rPr>
        <w:t>OmicsSomaticMutations</w:t>
      </w:r>
      <w:proofErr w:type="spellEnd"/>
      <w:r w:rsidRPr="007B23BB">
        <w:rPr>
          <w:rFonts w:ascii="Times New Roman" w:hAnsi="Times New Roman" w:cs="Times New Roman"/>
          <w:b/>
          <w:bCs/>
          <w:spacing w:val="30"/>
          <w:sz w:val="24"/>
        </w:rPr>
        <w:t xml:space="preserve"> data. TP53 wild-type cells exhibit significantly deeper MDM2 dependency (lower Chronos scores, median ≈ −1.1) compared to TP53-mutant cells (median ≈ −0.35; Mann-Whitney p &lt; 1 × 10⁻⁴). This result is mechanistically consistent with known TP53 biology: in TP53 wild-type cancers, MDM2 is the primary suppressor of p53-mediated apoptosis, rendering these cells highly dependent on MDM2 activity. Dashed line indicates the essentiality threshold (Chronos</w:t>
      </w:r>
      <w:r>
        <w:rPr>
          <w:rFonts w:ascii="Times New Roman" w:hAnsi="Times New Roman" w:cs="Times New Roman"/>
          <w:b/>
          <w:bCs/>
          <w:spacing w:val="30"/>
          <w:sz w:val="24"/>
        </w:rPr>
        <w:t xml:space="preserve"> =</w:t>
      </w:r>
      <w:r w:rsidRPr="007B23BB">
        <w:rPr>
          <w:rFonts w:ascii="Times New Roman" w:hAnsi="Times New Roman" w:cs="Times New Roman"/>
          <w:b/>
          <w:bCs/>
          <w:spacing w:val="30"/>
          <w:sz w:val="24"/>
        </w:rPr>
        <w:t xml:space="preserve"> −1.0).</w:t>
      </w:r>
    </w:p>
    <w:p w14:paraId="4CCE9FDD" w14:textId="77777777" w:rsidR="00C333FB" w:rsidRDefault="00C333FB" w:rsidP="00C333FB">
      <w:pPr>
        <w:rPr>
          <w:rFonts w:ascii="Times New Roman" w:hAnsi="Times New Roman" w:cs="Times New Roman"/>
          <w:spacing w:val="30"/>
          <w:sz w:val="24"/>
        </w:rPr>
      </w:pPr>
    </w:p>
    <w:p w14:paraId="2DD7B67B" w14:textId="77777777" w:rsidR="00C333FB" w:rsidRDefault="00C333FB" w:rsidP="00C333FB">
      <w:pPr>
        <w:rPr>
          <w:rFonts w:ascii="Times New Roman" w:hAnsi="Times New Roman" w:cs="Times New Roman"/>
          <w:spacing w:val="30"/>
          <w:sz w:val="24"/>
        </w:rPr>
      </w:pPr>
      <w:r>
        <w:rPr>
          <w:rFonts w:ascii="Times New Roman" w:hAnsi="Times New Roman" w:cs="Times New Roman"/>
          <w:noProof/>
          <w:spacing w:val="30"/>
          <w:sz w:val="24"/>
        </w:rPr>
        <w:lastRenderedPageBreak/>
        <w:drawing>
          <wp:inline distT="0" distB="0" distL="0" distR="0" wp14:anchorId="02D60353" wp14:editId="674A3E99">
            <wp:extent cx="5274310" cy="3164840"/>
            <wp:effectExtent l="0" t="0" r="0" b="0"/>
            <wp:docPr id="818302986" name="图片 1" descr="图表, 条形图, 漏斗图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302986" name="图片 1" descr="图表, 条形图, 漏斗图&#10;&#10;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05451" w14:textId="77777777" w:rsidR="00C333FB" w:rsidRPr="00BD27EC" w:rsidRDefault="00C333FB" w:rsidP="00C333FB">
      <w:pPr>
        <w:rPr>
          <w:rFonts w:ascii="Times New Roman" w:hAnsi="Times New Roman" w:cs="Times New Roman"/>
          <w:b/>
          <w:bCs/>
          <w:spacing w:val="30"/>
          <w:sz w:val="24"/>
        </w:rPr>
      </w:pPr>
      <w:bookmarkStart w:id="0" w:name="OLE_LINK26"/>
      <w:r w:rsidRPr="00BD27EC">
        <w:rPr>
          <w:rFonts w:ascii="Times New Roman" w:hAnsi="Times New Roman" w:cs="Times New Roman"/>
          <w:b/>
          <w:bCs/>
          <w:spacing w:val="30"/>
          <w:sz w:val="24"/>
        </w:rPr>
        <w:t xml:space="preserve">Fig. S6. Top 10 lineage-specific dependencies from </w:t>
      </w:r>
      <w:proofErr w:type="spellStart"/>
      <w:r w:rsidRPr="00BD27EC">
        <w:rPr>
          <w:rFonts w:ascii="Times New Roman" w:hAnsi="Times New Roman" w:cs="Times New Roman"/>
          <w:b/>
          <w:bCs/>
          <w:spacing w:val="30"/>
          <w:sz w:val="24"/>
        </w:rPr>
        <w:t>DepMap</w:t>
      </w:r>
      <w:proofErr w:type="spellEnd"/>
      <w:r w:rsidRPr="00BD27EC">
        <w:rPr>
          <w:rFonts w:ascii="Times New Roman" w:hAnsi="Times New Roman" w:cs="Times New Roman"/>
          <w:b/>
          <w:bCs/>
          <w:spacing w:val="30"/>
          <w:sz w:val="24"/>
        </w:rPr>
        <w:t xml:space="preserve"> 26Q1 release.</w:t>
      </w:r>
    </w:p>
    <w:bookmarkEnd w:id="0"/>
    <w:p w14:paraId="212F73C8" w14:textId="77777777" w:rsidR="00C333FB" w:rsidRDefault="00C333FB" w:rsidP="00C333FB">
      <w:pPr>
        <w:rPr>
          <w:rFonts w:ascii="Times New Roman" w:hAnsi="Times New Roman" w:cs="Times New Roman"/>
          <w:b/>
          <w:bCs/>
          <w:spacing w:val="30"/>
          <w:sz w:val="24"/>
        </w:rPr>
      </w:pPr>
      <w:r w:rsidRPr="007B23BB">
        <w:rPr>
          <w:rFonts w:ascii="Times New Roman" w:hAnsi="Times New Roman" w:cs="Times New Roman"/>
          <w:b/>
          <w:bCs/>
          <w:spacing w:val="30"/>
          <w:sz w:val="24"/>
        </w:rPr>
        <w:t>Horizontal bar chart displaying the 10 gene--lineage pairs with the strongest selectivity scores (most negative) among the 93 high-confidence pairs identified in this study. Bar color gradient (dark red to light red) reflects selectivity magnitude. Lineage labels are shown within each bar. KRAS (Pancreas, selectivity</w:t>
      </w:r>
      <w:r>
        <w:rPr>
          <w:rFonts w:ascii="Times New Roman" w:hAnsi="Times New Roman" w:cs="Times New Roman"/>
          <w:b/>
          <w:bCs/>
          <w:spacing w:val="30"/>
          <w:sz w:val="24"/>
        </w:rPr>
        <w:t xml:space="preserve"> =</w:t>
      </w:r>
      <w:r w:rsidRPr="007B23BB">
        <w:rPr>
          <w:rFonts w:ascii="Times New Roman" w:hAnsi="Times New Roman" w:cs="Times New Roman"/>
          <w:b/>
          <w:bCs/>
          <w:spacing w:val="30"/>
          <w:sz w:val="24"/>
        </w:rPr>
        <w:t xml:space="preserve"> −1.63) ranks first, followed by SOX10 (Skin) representing an established lineage-defining transcription factor, and MDM2 (Eye) reflecting a TP53-related dependency in uveal melanoma. NMNAT1, NAMPT, IRF4, and ADSL in Lymphoid lineage reflect the coordinated NAD and nucleotide metabolism vulnerability of hematological malignancies.</w:t>
      </w:r>
    </w:p>
    <w:p w14:paraId="347976A8" w14:textId="77777777" w:rsidR="00C333FB" w:rsidRDefault="00C333FB" w:rsidP="00C333FB">
      <w:pPr>
        <w:rPr>
          <w:rFonts w:ascii="Times New Roman" w:hAnsi="Times New Roman" w:cs="Times New Roman"/>
          <w:spacing w:val="30"/>
          <w:sz w:val="24"/>
        </w:rPr>
      </w:pPr>
    </w:p>
    <w:p w14:paraId="32C9CAF2" w14:textId="77777777" w:rsidR="00C333FB" w:rsidRPr="00DD1586" w:rsidRDefault="00C333FB" w:rsidP="00C333FB">
      <w:pPr>
        <w:rPr>
          <w:rFonts w:ascii="Times New Roman" w:hAnsi="Times New Roman" w:cs="Times New Roman"/>
          <w:spacing w:val="30"/>
          <w:sz w:val="24"/>
        </w:rPr>
      </w:pPr>
      <w:r w:rsidRPr="00DD1586">
        <w:rPr>
          <w:rFonts w:ascii="Times New Roman" w:hAnsi="Times New Roman" w:cs="Times New Roman"/>
          <w:spacing w:val="30"/>
          <w:sz w:val="24"/>
        </w:rPr>
        <w:t>Table 1. High-confidence gene</w:t>
      </w:r>
      <w:r>
        <w:rPr>
          <w:rFonts w:ascii="Times New Roman" w:hAnsi="Times New Roman" w:cs="Times New Roman"/>
          <w:spacing w:val="30"/>
          <w:sz w:val="24"/>
        </w:rPr>
        <w:t>–</w:t>
      </w:r>
      <w:r w:rsidRPr="00DD1586">
        <w:rPr>
          <w:rFonts w:ascii="Times New Roman" w:hAnsi="Times New Roman" w:cs="Times New Roman"/>
          <w:spacing w:val="30"/>
          <w:sz w:val="24"/>
        </w:rPr>
        <w:t>lineage essentiality pairs identified by selectivity-based screening.</w:t>
      </w:r>
    </w:p>
    <w:p w14:paraId="027B7D6F" w14:textId="77777777" w:rsidR="00C333FB" w:rsidRDefault="00C333FB" w:rsidP="00C333FB">
      <w:pPr>
        <w:rPr>
          <w:rFonts w:ascii="Times New Roman" w:hAnsi="Times New Roman" w:cs="Times New Roman"/>
          <w:spacing w:val="30"/>
          <w:sz w:val="24"/>
        </w:rPr>
      </w:pPr>
      <w:r w:rsidRPr="00DD1586">
        <w:rPr>
          <w:rFonts w:ascii="Times New Roman" w:hAnsi="Times New Roman" w:cs="Times New Roman"/>
          <w:spacing w:val="30"/>
          <w:sz w:val="24"/>
        </w:rPr>
        <w:t>The table summarizes the top-ranked gene</w:t>
      </w:r>
      <w:r>
        <w:rPr>
          <w:rFonts w:ascii="Times New Roman" w:hAnsi="Times New Roman" w:cs="Times New Roman"/>
          <w:spacing w:val="30"/>
          <w:sz w:val="24"/>
        </w:rPr>
        <w:t>–</w:t>
      </w:r>
      <w:r w:rsidRPr="00DD1586">
        <w:rPr>
          <w:rFonts w:ascii="Times New Roman" w:hAnsi="Times New Roman" w:cs="Times New Roman"/>
          <w:spacing w:val="30"/>
          <w:sz w:val="24"/>
        </w:rPr>
        <w:t xml:space="preserve">lineage dependency pairs (Confidence: High/Medium). </w:t>
      </w:r>
      <w:r w:rsidRPr="00994240">
        <w:rPr>
          <w:rFonts w:ascii="Times New Roman" w:hAnsi="Times New Roman" w:cs="Times New Roman"/>
          <w:spacing w:val="30"/>
          <w:sz w:val="24"/>
        </w:rPr>
        <w:t>Selectivity scores represent the degree of lineage-restricted growth inhibition relative to the pan-cancer median Chronos score.</w:t>
      </w:r>
      <w:r>
        <w:rPr>
          <w:rFonts w:ascii="Times New Roman" w:hAnsi="Times New Roman" w:cs="Times New Roman"/>
          <w:spacing w:val="30"/>
          <w:sz w:val="24"/>
        </w:rPr>
        <w:t xml:space="preserve"> </w:t>
      </w:r>
      <w:r w:rsidRPr="00E43F86">
        <w:rPr>
          <w:rFonts w:ascii="Times New Roman" w:hAnsi="Times New Roman" w:cs="Times New Roman"/>
          <w:spacing w:val="30"/>
          <w:sz w:val="24"/>
        </w:rPr>
        <w:t xml:space="preserve">P-values were adjusted using the </w:t>
      </w:r>
      <w:r>
        <w:rPr>
          <w:rFonts w:ascii="Times New Roman" w:hAnsi="Times New Roman" w:cs="Times New Roman"/>
          <w:spacing w:val="30"/>
          <w:sz w:val="24"/>
        </w:rPr>
        <w:t>Benjamini–Hochberg</w:t>
      </w:r>
      <w:r w:rsidRPr="00E43F86">
        <w:rPr>
          <w:rFonts w:ascii="Times New Roman" w:hAnsi="Times New Roman" w:cs="Times New Roman"/>
          <w:spacing w:val="30"/>
          <w:sz w:val="24"/>
        </w:rPr>
        <w:t xml:space="preserve"> procedure (BH-FDR). (See Supplementary Table S1 for the full list of 93 pairs.)</w:t>
      </w:r>
    </w:p>
    <w:p w14:paraId="5687C4CB" w14:textId="77777777" w:rsidR="00C333FB" w:rsidRPr="00DD1586" w:rsidRDefault="00C333FB" w:rsidP="00C333FB">
      <w:pPr>
        <w:rPr>
          <w:rFonts w:ascii="Times New Roman" w:hAnsi="Times New Roman" w:cs="Times New Roman"/>
          <w:spacing w:val="30"/>
          <w:sz w:val="24"/>
        </w:rPr>
      </w:pPr>
    </w:p>
    <w:p w14:paraId="319585CD" w14:textId="77777777" w:rsidR="00C333FB" w:rsidRPr="00DD1586" w:rsidRDefault="00C333FB" w:rsidP="00C333FB">
      <w:pPr>
        <w:rPr>
          <w:rFonts w:ascii="Times New Roman" w:hAnsi="Times New Roman" w:cs="Times New Roman"/>
          <w:spacing w:val="30"/>
          <w:sz w:val="24"/>
        </w:rPr>
      </w:pPr>
      <w:r w:rsidRPr="00DD1586">
        <w:rPr>
          <w:rFonts w:ascii="Times New Roman" w:hAnsi="Times New Roman" w:cs="Times New Roman"/>
          <w:spacing w:val="30"/>
          <w:sz w:val="24"/>
        </w:rPr>
        <w:t>Table 2. Clinical and survival metadata of the TCGA-PAAD cohort for dependency validation.</w:t>
      </w:r>
    </w:p>
    <w:p w14:paraId="503AE316" w14:textId="77777777" w:rsidR="00C333FB" w:rsidRPr="00DD1586" w:rsidRDefault="00C333FB" w:rsidP="00C333FB">
      <w:pPr>
        <w:rPr>
          <w:rFonts w:ascii="Times New Roman" w:hAnsi="Times New Roman" w:cs="Times New Roman"/>
          <w:spacing w:val="30"/>
          <w:sz w:val="24"/>
        </w:rPr>
      </w:pPr>
      <w:r w:rsidRPr="00DD1586">
        <w:rPr>
          <w:rFonts w:ascii="Times New Roman" w:hAnsi="Times New Roman" w:cs="Times New Roman"/>
          <w:spacing w:val="30"/>
          <w:sz w:val="24"/>
        </w:rPr>
        <w:t>Note: This table presents the comprehensive clinical follow-up records for 183 patients with pancreatic adenocarcinoma (PAAD) obtained from the TCGA database.</w:t>
      </w:r>
    </w:p>
    <w:p w14:paraId="7E26A61E" w14:textId="77777777" w:rsidR="00C333FB" w:rsidRPr="00DD1586" w:rsidRDefault="00C333FB" w:rsidP="00C333FB">
      <w:pPr>
        <w:rPr>
          <w:rFonts w:ascii="Times New Roman" w:hAnsi="Times New Roman" w:cs="Times New Roman"/>
          <w:spacing w:val="30"/>
          <w:sz w:val="24"/>
        </w:rPr>
      </w:pPr>
      <w:r w:rsidRPr="00DD1586">
        <w:rPr>
          <w:rFonts w:ascii="Times New Roman" w:hAnsi="Times New Roman" w:cs="Times New Roman"/>
          <w:spacing w:val="30"/>
          <w:sz w:val="24"/>
        </w:rPr>
        <w:t>Abbreviations: OS, Overall Survival; DSS, Disease-Specific Survival; DFI, Disease-Free Interval; PFI, Progression-Free Interval.</w:t>
      </w:r>
    </w:p>
    <w:p w14:paraId="2BBFD904" w14:textId="77777777" w:rsidR="00C333FB" w:rsidRPr="00DD1586" w:rsidRDefault="00C333FB" w:rsidP="00C333FB">
      <w:pPr>
        <w:rPr>
          <w:rFonts w:ascii="Times New Roman" w:hAnsi="Times New Roman" w:cs="Times New Roman"/>
          <w:spacing w:val="30"/>
          <w:sz w:val="24"/>
        </w:rPr>
      </w:pPr>
      <w:r w:rsidRPr="00DD1586">
        <w:rPr>
          <w:rFonts w:ascii="Times New Roman" w:hAnsi="Times New Roman" w:cs="Times New Roman"/>
          <w:spacing w:val="30"/>
          <w:sz w:val="24"/>
        </w:rPr>
        <w:t xml:space="preserve">Data Integrity: Columns containing empty cells (particularly DFI and </w:t>
      </w:r>
      <w:proofErr w:type="spellStart"/>
      <w:r w:rsidRPr="00DD1586">
        <w:rPr>
          <w:rFonts w:ascii="Times New Roman" w:hAnsi="Times New Roman" w:cs="Times New Roman"/>
          <w:spacing w:val="30"/>
          <w:sz w:val="24"/>
        </w:rPr>
        <w:t>DFI.time</w:t>
      </w:r>
      <w:proofErr w:type="spellEnd"/>
      <w:r w:rsidRPr="00DD1586">
        <w:rPr>
          <w:rFonts w:ascii="Times New Roman" w:hAnsi="Times New Roman" w:cs="Times New Roman"/>
          <w:spacing w:val="30"/>
          <w:sz w:val="24"/>
        </w:rPr>
        <w:t>) represent cases where specific clinical endpoints were not achieved (e.g., patients who did not reach a disease-free state post-treatment) or instances of incomplete longitudinal follow-up.</w:t>
      </w:r>
    </w:p>
    <w:p w14:paraId="79F53BB3" w14:textId="77777777" w:rsidR="00C333FB" w:rsidRPr="00462558" w:rsidRDefault="00C333FB" w:rsidP="00C333FB">
      <w:pPr>
        <w:rPr>
          <w:rFonts w:ascii="Times New Roman" w:hAnsi="Times New Roman" w:cs="Times New Roman"/>
          <w:spacing w:val="30"/>
          <w:sz w:val="24"/>
        </w:rPr>
      </w:pPr>
      <w:r w:rsidRPr="00DD1586">
        <w:rPr>
          <w:rFonts w:ascii="Times New Roman" w:hAnsi="Times New Roman" w:cs="Times New Roman"/>
          <w:spacing w:val="30"/>
          <w:sz w:val="24"/>
        </w:rPr>
        <w:t>Usage: These data served as the clinical gold standard for validating the impact of identified lineage-specific dependency genes on patient prognosis using Kaplan-Meier survival analysis.</w:t>
      </w:r>
    </w:p>
    <w:p w14:paraId="4BFBD1EA" w14:textId="77777777" w:rsidR="00A91650" w:rsidRDefault="00A91650"/>
    <w:sectPr w:rsidR="00A91650" w:rsidSect="00C333FB"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70391123"/>
      <w:docPartObj>
        <w:docPartGallery w:val="Page Numbers (Bottom of Page)"/>
        <w:docPartUnique/>
      </w:docPartObj>
    </w:sdtPr>
    <w:sdtContent>
      <w:p w14:paraId="26505D4F" w14:textId="77777777" w:rsidR="00C333FB" w:rsidRDefault="00C333FB" w:rsidP="006878B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418757D" w14:textId="77777777" w:rsidR="00C333FB" w:rsidRDefault="00C333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86169141"/>
      <w:docPartObj>
        <w:docPartGallery w:val="Page Numbers (Bottom of Page)"/>
        <w:docPartUnique/>
      </w:docPartObj>
    </w:sdtPr>
    <w:sdtContent>
      <w:p w14:paraId="2BE28622" w14:textId="77777777" w:rsidR="00C333FB" w:rsidRDefault="00C333FB" w:rsidP="006878B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C408059" w14:textId="77777777" w:rsidR="00C333FB" w:rsidRDefault="00C333F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3FB"/>
    <w:rsid w:val="000E2EDD"/>
    <w:rsid w:val="008A6085"/>
    <w:rsid w:val="00A91650"/>
    <w:rsid w:val="00C333FB"/>
    <w:rsid w:val="00E559FE"/>
    <w:rsid w:val="00E6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0DDA4"/>
  <w15:chartTrackingRefBased/>
  <w15:docId w15:val="{7057FED2-D43C-43D7-8A45-DC2043AF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3FB"/>
    <w:pPr>
      <w:widowControl w:val="0"/>
    </w:pPr>
    <w:rPr>
      <w:rFonts w:eastAsiaTheme="minorEastAsia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3FB"/>
    <w:pPr>
      <w:keepNext/>
      <w:keepLines/>
      <w:widowControl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3FB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3FB"/>
    <w:pPr>
      <w:keepNext/>
      <w:keepLines/>
      <w:widowControl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3FB"/>
    <w:pPr>
      <w:keepNext/>
      <w:keepLines/>
      <w:widowControl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4"/>
      <w:lang w:val="en-IN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3FB"/>
    <w:pPr>
      <w:keepNext/>
      <w:keepLines/>
      <w:widowControl/>
      <w:spacing w:before="80" w:after="40"/>
      <w:outlineLvl w:val="4"/>
    </w:pPr>
    <w:rPr>
      <w:rFonts w:eastAsiaTheme="majorEastAsia" w:cstheme="majorBidi"/>
      <w:color w:val="0F4761" w:themeColor="accent1" w:themeShade="BF"/>
      <w:sz w:val="24"/>
      <w:lang w:val="en-IN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3FB"/>
    <w:pPr>
      <w:keepNext/>
      <w:keepLines/>
      <w:widowControl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4"/>
      <w:lang w:val="en-IN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3FB"/>
    <w:pPr>
      <w:keepNext/>
      <w:keepLines/>
      <w:widowControl/>
      <w:spacing w:before="40" w:after="0"/>
      <w:outlineLvl w:val="6"/>
    </w:pPr>
    <w:rPr>
      <w:rFonts w:eastAsiaTheme="majorEastAsia" w:cstheme="majorBidi"/>
      <w:color w:val="595959" w:themeColor="text1" w:themeTint="A6"/>
      <w:sz w:val="24"/>
      <w:lang w:val="en-IN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3FB"/>
    <w:pPr>
      <w:keepNext/>
      <w:keepLines/>
      <w:widowControl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4"/>
      <w:lang w:val="en-IN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3FB"/>
    <w:pPr>
      <w:keepNext/>
      <w:keepLines/>
      <w:widowControl/>
      <w:spacing w:after="0"/>
      <w:outlineLvl w:val="8"/>
    </w:pPr>
    <w:rPr>
      <w:rFonts w:eastAsiaTheme="majorEastAsia" w:cstheme="majorBidi"/>
      <w:color w:val="272727" w:themeColor="text1" w:themeTint="D8"/>
      <w:sz w:val="24"/>
      <w:lang w:val="en-I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3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3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3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3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3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3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33FB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</w:rPr>
  </w:style>
  <w:style w:type="character" w:customStyle="1" w:styleId="TitleChar">
    <w:name w:val="Title Char"/>
    <w:basedOn w:val="DefaultParagraphFont"/>
    <w:link w:val="Title"/>
    <w:uiPriority w:val="10"/>
    <w:rsid w:val="00C33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3FB"/>
    <w:pPr>
      <w:widowControl/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IN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C33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33FB"/>
    <w:pPr>
      <w:widowControl/>
      <w:spacing w:before="160"/>
      <w:jc w:val="center"/>
    </w:pPr>
    <w:rPr>
      <w:rFonts w:eastAsiaTheme="minorHAnsi"/>
      <w:i/>
      <w:iCs/>
      <w:color w:val="404040" w:themeColor="text1" w:themeTint="BF"/>
      <w:sz w:val="24"/>
      <w:lang w:val="en-IN" w:eastAsia="en-US"/>
    </w:rPr>
  </w:style>
  <w:style w:type="character" w:customStyle="1" w:styleId="QuoteChar">
    <w:name w:val="Quote Char"/>
    <w:basedOn w:val="DefaultParagraphFont"/>
    <w:link w:val="Quote"/>
    <w:uiPriority w:val="29"/>
    <w:rsid w:val="00C333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33FB"/>
    <w:pPr>
      <w:widowControl/>
      <w:ind w:left="720"/>
      <w:contextualSpacing/>
    </w:pPr>
    <w:rPr>
      <w:rFonts w:eastAsiaTheme="minorHAnsi"/>
      <w:sz w:val="24"/>
      <w:lang w:val="en-IN" w:eastAsia="en-US"/>
    </w:rPr>
  </w:style>
  <w:style w:type="character" w:styleId="IntenseEmphasis">
    <w:name w:val="Intense Emphasis"/>
    <w:basedOn w:val="DefaultParagraphFont"/>
    <w:uiPriority w:val="21"/>
    <w:qFormat/>
    <w:rsid w:val="00C333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3F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lang w:val="en-IN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3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3F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333F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333FB"/>
    <w:rPr>
      <w:rFonts w:eastAsiaTheme="minorEastAsia"/>
      <w:sz w:val="18"/>
      <w:szCs w:val="18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  <w:rsid w:val="00C3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oter" Target="footer2.xml"/><Relationship Id="rId5" Type="http://schemas.openxmlformats.org/officeDocument/2006/relationships/image" Target="media/image2.png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860</Words>
  <Characters>4903</Characters>
  <Application>Microsoft Office Word</Application>
  <DocSecurity>0</DocSecurity>
  <Lines>40</Lines>
  <Paragraphs>11</Paragraphs>
  <ScaleCrop>false</ScaleCrop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Amruta Dange</dc:creator>
  <cp:keywords/>
  <dc:description/>
  <cp:lastModifiedBy>Amruta Dange</cp:lastModifiedBy>
  <cp:revision>1</cp:revision>
  <dcterms:created xsi:type="dcterms:W3CDTF">2026-05-14T18:58:00Z</dcterms:created>
  <dcterms:modified xsi:type="dcterms:W3CDTF">2026-05-14T18:59:00Z</dcterms:modified>
</cp:coreProperties>
</file>