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xo2n78g45p8j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Supplementary Table 1.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Deaths in Patients With Pulmonary Heart Disease and COPD in the United States, 1999–2020: Overall and Stratified by Sex and Race</w:t>
      </w:r>
    </w:p>
    <w:tbl>
      <w:tblPr>
        <w:tblStyle w:val="Table1"/>
        <w:tblW w:w="10790.0" w:type="dxa"/>
        <w:jc w:val="center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A0"/>
      </w:tblPr>
      <w:tblGrid>
        <w:gridCol w:w="961"/>
        <w:gridCol w:w="990"/>
        <w:gridCol w:w="963"/>
        <w:gridCol w:w="951"/>
        <w:gridCol w:w="1229"/>
        <w:gridCol w:w="1070"/>
        <w:gridCol w:w="1229"/>
        <w:gridCol w:w="937"/>
        <w:gridCol w:w="1123"/>
        <w:gridCol w:w="1337"/>
        <w:tblGridChange w:id="0">
          <w:tblGrid>
            <w:gridCol w:w="961"/>
            <w:gridCol w:w="990"/>
            <w:gridCol w:w="963"/>
            <w:gridCol w:w="951"/>
            <w:gridCol w:w="1229"/>
            <w:gridCol w:w="1070"/>
            <w:gridCol w:w="1229"/>
            <w:gridCol w:w="937"/>
            <w:gridCol w:w="1123"/>
            <w:gridCol w:w="1337"/>
          </w:tblGrid>
        </w:tblGridChange>
      </w:tblGrid>
      <w:tr>
        <w:trPr>
          <w:cantSplit w:val="0"/>
          <w:tblHeader w:val="0"/>
        </w:trPr>
        <w:tc>
          <w:tcPr>
            <w:gridSpan w:val="10"/>
            <w:vAlign w:val="center"/>
          </w:tcPr>
          <w:p w:rsidR="00000000" w:rsidDel="00000000" w:rsidP="00000000" w:rsidRDefault="00000000" w:rsidRPr="00000000" w14:paraId="00000002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Deaths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C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Year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Overall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Female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Male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NH American Indian or Alaska Native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NH Asian or Pacific Islander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NH Black or African American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NH White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Hispanic or Latino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Population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6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1999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17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7447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18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3747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19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3700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1A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1B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1C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1D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6840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1E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1F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34797841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0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2000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21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6925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22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3490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23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3435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24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25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26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27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6397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28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29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34991753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A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2001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2B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7093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2C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3580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2D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3513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2E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2F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30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480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31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6550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32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33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35290291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4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2002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35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6828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36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3479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37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3349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38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39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3A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497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3B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6258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3C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3D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35522207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E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2003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3F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6945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40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3680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41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3265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42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43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44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45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6359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46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148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47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35863529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8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2004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49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6769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4A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3536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4B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3233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4C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4D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4E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490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4F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6202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50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51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36203319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2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2005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53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7043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54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3766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55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3277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56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57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58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555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59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6398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5A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5B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36649798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C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2006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5D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6989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5E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3830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5F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3159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60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61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62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63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6369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64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167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65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37164107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6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2007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67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7187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68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3898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69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3289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6A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6B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6C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578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6D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6513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6E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6F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37825711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0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2008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71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7758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72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4258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73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3500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74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75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82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76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77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7032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78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187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79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38777621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A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2009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7B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7562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7C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4133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7D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3429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7E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7F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89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80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598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81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6841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82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83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39623175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4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2010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85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8201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86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4407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87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3794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88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89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97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8A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663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8B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7405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8C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8D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40267984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E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2011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8F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8303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90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4517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91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3786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92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93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94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670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95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7505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96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97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41394141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8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2012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99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8296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9A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4569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9B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3727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9C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9D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91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9E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656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9F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7517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A0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A1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43145356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2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2013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A3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8617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A4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4728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A5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3889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A6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A7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80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A8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807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A9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7693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AA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AB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44704074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C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2014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AD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8623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AE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4597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AF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B0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B1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B2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B3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7749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B4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B5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46243211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6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2015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B7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9220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B8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5023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B9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4197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BA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BB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BC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844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BD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8223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BE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BF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47760852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0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2016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C1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9396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C2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5024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C3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4372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C4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C5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C6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890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C7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8348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C8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272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C9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49244195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A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2017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CB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9997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CC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5453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CD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4544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CE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CF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D0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988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D1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8816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D2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282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D3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50858679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4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2018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D5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10289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D6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5617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D7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4672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D8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D9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174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DA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921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DB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9137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DC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DD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52431193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E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2019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DF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10810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E0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5914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E1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4896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E2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E3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E4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E5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9568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E6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359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E7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54058263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8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2020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E9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12099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EA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6566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EB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5533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EC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ED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178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EE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1252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EF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10597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F0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465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F1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55659365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2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F3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182397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F4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97812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F5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84585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F6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741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F7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2025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F8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15314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F9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164317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FA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4769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FB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928000000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C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NH = Non-Hispanic.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lu2bornr0p1d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Supplementary Table 2.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Place-of-Death-Stratified Deaths in Patients With Pulmonary Heart Disease and COPD in the United States, 1999–2020</w:t>
      </w:r>
    </w:p>
    <w:tbl>
      <w:tblPr>
        <w:tblStyle w:val="Table2"/>
        <w:tblW w:w="10790.0" w:type="dxa"/>
        <w:jc w:val="left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A0"/>
      </w:tblPr>
      <w:tblGrid>
        <w:gridCol w:w="1315"/>
        <w:gridCol w:w="1424"/>
        <w:gridCol w:w="1808"/>
        <w:gridCol w:w="1407"/>
        <w:gridCol w:w="2065"/>
        <w:gridCol w:w="1161"/>
        <w:gridCol w:w="1610"/>
        <w:tblGridChange w:id="0">
          <w:tblGrid>
            <w:gridCol w:w="1315"/>
            <w:gridCol w:w="1424"/>
            <w:gridCol w:w="1808"/>
            <w:gridCol w:w="1407"/>
            <w:gridCol w:w="2065"/>
            <w:gridCol w:w="1161"/>
            <w:gridCol w:w="1610"/>
          </w:tblGrid>
        </w:tblGridChange>
      </w:tblGrid>
      <w:tr>
        <w:trPr>
          <w:cantSplit w:val="0"/>
          <w:tblHeader w:val="0"/>
        </w:trPr>
        <w:tc>
          <w:tcPr>
            <w:gridSpan w:val="7"/>
            <w:vAlign w:val="center"/>
          </w:tcPr>
          <w:p w:rsidR="00000000" w:rsidDel="00000000" w:rsidP="00000000" w:rsidRDefault="00000000" w:rsidRPr="00000000" w14:paraId="000000FE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Deaths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5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Year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6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Medical</w:t>
            </w:r>
          </w:p>
          <w:p w:rsidR="00000000" w:rsidDel="00000000" w:rsidP="00000000" w:rsidRDefault="00000000" w:rsidRPr="00000000" w14:paraId="00000107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Facility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8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Decedent's home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9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Hospice facility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A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Nursing Home/long term</w:t>
            </w:r>
          </w:p>
          <w:p w:rsidR="00000000" w:rsidDel="00000000" w:rsidP="00000000" w:rsidRDefault="00000000" w:rsidRPr="00000000" w14:paraId="0000010B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care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C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Other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D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Place of death unknown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E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1999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0F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4538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10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1484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1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12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1284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13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140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4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15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2000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16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4064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17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1509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8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19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1208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1A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143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B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1C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2001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1D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4225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1E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1495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F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20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1198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21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175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2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23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2002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24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3960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25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1467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6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27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1192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28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9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2A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2003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2B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3938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2C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1533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2D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2E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1218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2F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30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31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2004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32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3713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33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1611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34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35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1165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36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37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38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2005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39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3956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3A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1530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3B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3C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1237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3D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3E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3F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2006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40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3824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41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1550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42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43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1288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44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45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46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2007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47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3819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48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1717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49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154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4A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1266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4B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4C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4D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2008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4E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4115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4F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1722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50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51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1401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52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53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54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2009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55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3824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56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1863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57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58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1296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59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5A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147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5B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2010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5C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4048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5D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2110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5E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5F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1420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60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290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1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62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2011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63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4059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64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2114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65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378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66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1472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67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276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8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69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2012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6A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3918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6B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2177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6C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489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6D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1377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6E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329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F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70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2013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71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3964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72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2412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73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74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1365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75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343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6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77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2014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78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3821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79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2503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7A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7B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1485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7C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284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D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7E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2015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7F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4038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80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2602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81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746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82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1558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83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268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4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85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2016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86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3896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87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2864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88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818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89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1534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8A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279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B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8C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2017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8D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4069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8E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3086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8F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903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90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1627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91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309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2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93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2018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94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4156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95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3258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96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891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97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1662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98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321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9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9A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2019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9B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4207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9C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3556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9D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998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9E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1693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9F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354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0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A1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2020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A2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4562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A3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4553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A4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973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A5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1597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A6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411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7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A8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9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88714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AA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48716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AB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8325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AC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30543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AD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5722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E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377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AF">
      <w:pPr>
        <w:spacing w:line="36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= Not Available.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0">
      <w:pPr>
        <w:spacing w:line="36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1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Supplementary Table 3.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Annual Percent Change (APC) in Pulmonary Heart Disease- and COPD-Related Age-Adjusted Mortality Rates per 100,000 in the United States, 1999–2020</w:t>
      </w:r>
    </w:p>
    <w:tbl>
      <w:tblPr>
        <w:tblStyle w:val="Table3"/>
        <w:tblW w:w="10790.0" w:type="dxa"/>
        <w:jc w:val="center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A0"/>
      </w:tblPr>
      <w:tblGrid>
        <w:gridCol w:w="5395"/>
        <w:gridCol w:w="5395"/>
        <w:tblGridChange w:id="0">
          <w:tblGrid>
            <w:gridCol w:w="5395"/>
            <w:gridCol w:w="5395"/>
          </w:tblGrid>
        </w:tblGridChange>
      </w:tblGrid>
      <w:tr>
        <w:trPr>
          <w:cantSplit w:val="0"/>
          <w:trHeight w:val="55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B2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Year Interval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3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APC (95% CI)</w:t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1B4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Overall</w:t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1B6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1999–2002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B7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-3.7993* (-7.3115 to -0.1541)</w:t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1B8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2002–2018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B9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0.4262* (0.0906 to 0.7629)</w:t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1BA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2018–2020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BB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5.6818 (-1.5374 to 13.4304)</w:t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1BC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Female</w:t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1BE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1999–2018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BF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0.7215* (0.4289 to 1.0149)</w:t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1C0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2018–2020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C1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6.2292 (-2.3587 to 15.5724)</w:t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1C2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Male</w:t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1C4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1999–2004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C5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-4.0856* (-5.8713 to -2.266)</w:t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1C6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2004–2018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C7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-0.0563 (-0.459 to 0.3481)</w:t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1C8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2018–2020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C9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5.3958 (-0.915 to 12.1085)</w:t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1CA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NH American Indian or Alaska Native</w:t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CC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2007–2020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D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1.4181 (-0.3588 to 3.2267)</w:t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1CE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NH Asian or Pacific Islander</w:t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D0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1999–2020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1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-0.3134 (-1.2117 to 0.5931)</w:t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1D2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NH Black or African American</w:t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D4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1999–2020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5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1.4844* (1.0216 to 1.9494)</w:t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1D6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NH White</w:t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1D8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1999–2003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D9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-2.7500* (-5.2871 to -0.145)</w:t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1DA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2003–2018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DB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0.5425* (0.2159 to 0.8701)</w:t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1DC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2018–2020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DD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5.5078 (-0.7709 to 12.1837)</w:t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1DE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Hispanic or Latino</w:t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1E0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1999–2017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E1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-0.5465 (-1.4994 to 0.4156)</w:t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1E2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2017–2020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E3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10.0826 (-0.978 to 22.3786)</w:t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1E4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Northeast region</w:t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1E6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1999–2002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E7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-5.2590* (-10.1687 to -0.081)</w:t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1E8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2002–2011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E9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1.0774 (-0.1839 to 2.3548)</w:t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1EA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2011–2018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EB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-1.1268 (-2.8031 to 0.5783)</w:t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1EC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2018–2020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ED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7.5379 (-1.1703 to 17.0134)</w:t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1EE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Midwest region</w:t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1F0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1999–2004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F1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-2.254 (-4.8239 to 0.3852)</w:t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1F2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2004–2020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F3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0.6849* (0.2519 to 1.1197)</w:t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1F4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South region</w:t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1F6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1999–2016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F7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-0.156 (-0.4051 to 0.0938)</w:t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1F8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2016–2020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F9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3.4091* (1.5856 to 5.2653)</w:t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1FA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West region</w:t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1FC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1999–2005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FD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-3.0256* (-4.6809 to -1.3415)</w:t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1FE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2005–2018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FF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1.5792* (1.0105 to 2.1511)</w:t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200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2018–2020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01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6.1912 (-1.8807 to 14.9271)</w:t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202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Metropolitan areas</w:t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204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1999–2003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05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-3.4679 (-7.7107 to 0.97)</w:t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206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2003–2020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07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0.8092* (0.4707 to 1.1489)</w:t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208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Non-Metropolitan areas</w:t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20A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1999–2016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0B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-0.0324 (-0.3116 to 0.2476)</w:t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20C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2016–2020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0D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4.7812* (2.5092 to 7.1036)</w:t>
            </w:r>
          </w:p>
        </w:tc>
      </w:tr>
    </w:tbl>
    <w:p w:rsidR="00000000" w:rsidDel="00000000" w:rsidP="00000000" w:rsidRDefault="00000000" w:rsidRPr="00000000" w14:paraId="0000020E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NH = Non-Hispanic; *  Indicates that the Annual Percent Change (APC) is significantly different from zero at the alpha = 0.05 level.</w:t>
      </w:r>
    </w:p>
    <w:p w:rsidR="00000000" w:rsidDel="00000000" w:rsidP="00000000" w:rsidRDefault="00000000" w:rsidRPr="00000000" w14:paraId="0000020F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Supplementary Table 4.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Overall and Sex-Stratified Age-Adjusted Mortality Rates per 100,000 in Patients With Pulmonary Heart Disease and COPD in the United States, 1999–2020</w:t>
      </w:r>
    </w:p>
    <w:tbl>
      <w:tblPr>
        <w:tblStyle w:val="Table4"/>
        <w:tblW w:w="10790.0" w:type="dxa"/>
        <w:jc w:val="center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A0"/>
      </w:tblPr>
      <w:tblGrid>
        <w:gridCol w:w="2697"/>
        <w:gridCol w:w="2697"/>
        <w:gridCol w:w="2698"/>
        <w:gridCol w:w="2698"/>
        <w:tblGridChange w:id="0">
          <w:tblGrid>
            <w:gridCol w:w="2697"/>
            <w:gridCol w:w="2697"/>
            <w:gridCol w:w="2698"/>
            <w:gridCol w:w="2698"/>
          </w:tblGrid>
        </w:tblGridChange>
      </w:tblGrid>
      <w:tr>
        <w:trPr>
          <w:cantSplit w:val="0"/>
          <w:trHeight w:val="552" w:hRule="atLeast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210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Age-Adjusted Rate (95% CI)</w:t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14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Year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5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Female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6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Male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7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Overall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18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1999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19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18 (17.4 to 18.6)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1A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27.5 (26.6 to 28.4)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1B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21.5 (21 to 22)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1C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2000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1D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16.6 (16 to 16.6.1)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1E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25.2 (24.3 to 26)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1F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19.4.8 (19.4 to 20.3)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20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2001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21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16.8 (16.3 to 16.8.4)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22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25.4 (24.6 to 26.3)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23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19.6.1 (19.6 to 20.5)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24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2002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25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16.3 (15.7 to 16.3.8)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26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24 (23.2 to 24.8)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27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18.7.1 (18.7 to 19.6)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28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2003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29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17 (16.5 to 17.6)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2A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22.9 (22.1 to 23.7)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2B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18.8.3 (18.8 to 19.7)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2C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2004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2D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16.3 (15.7 to 16.3.8)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2E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22.3 (21.6 to 23.1)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2F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18.2.6 (18.2 to 19)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30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2005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31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17.1 (16.6 to 17.1.7)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32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22.3 (21.5 to 23.1)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33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18.6.1 (18.6 to 19.5)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34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2006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35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17.1 (16.6 to 17.1.7)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36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21 (20.3 to 21.8)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37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18.2.7 (18.2 to 19.1)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38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2007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39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17.2 (16.6 to 17.2.7)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3A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21.5 (20.7 to 22.2)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3B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18.4.9 (18.4 to 19.3)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3C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2008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3D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18.4 (17.9 to 18.4.19)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3E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22.3 (21.6 to 23.1)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3F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19.5.20 (19.5 to 20.4)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40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2009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41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17.6 (17.1 to 17.6.2)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42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21.3 (20.6 to 22.1)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43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18.7.1 (18.7 to 19.5)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44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2010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45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18.5 (18 to 18.5.1)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46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23.2 (22.4 to 23.9)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47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20.4 (20 to 20.8)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48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2011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49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18.5 (18 to 18.5.1)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4A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22.5 (21.7 to 23.2)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4B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19.7.2 (19.7 to 20.6)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4C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2012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4D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18.3 (17.8 to 18.3.9)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4E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21.3 (20.6 to 21.9)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4F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19.1.5 (19.1 to 19.9)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50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2013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51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18.5 (18 to 18.5.1)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52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21.5 (20.8 to 22.2)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53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19.3.7 (19.3 to 20.1)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54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2014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55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17.6 (17.1 to 17.6.1)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56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21.6 (20.9 to 22.2)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57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18.8.2 (18.8 to 19.6)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58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2015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59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18.7 (18.2 to 18.7.2)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5A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21.7 (21 to 22.3)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5B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19.6.20 (19.6 to 20.4)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5C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2016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5D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18.4 (17.9 to 18.4.9)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5E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22 (21.4 to 22.7)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5F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19.5.9 (19.5 to 20.3)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60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2017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61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19.4 (18.8 to 19.4.9)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62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22.1 (21.4 to 22.7)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63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20.1.5 (20.1 to 20.9)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64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2018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65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19.4 (18.9 to 19.4.9)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66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22.1 (21.4 to 22.7)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67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20.1.5 (20.1 to 20.9)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68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2019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69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 (19.5 to 20.5)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6A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22.4 (21.8 to 23)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6B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20.6.21 (20.6 to 21.4)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6C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2020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6D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21.6 (21.1 to 21.6.1)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6E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24.5 (23.8 to 25.1)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6F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22.4.8 (22.4 to 23.2)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70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71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18.1 (18 to 18.1.3)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72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22.7 (22.5 to 22.8)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73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19.9.9 (19.9 to 20)</w:t>
            </w:r>
          </w:p>
        </w:tc>
      </w:tr>
    </w:tbl>
    <w:p w:rsidR="00000000" w:rsidDel="00000000" w:rsidP="00000000" w:rsidRDefault="00000000" w:rsidRPr="00000000" w14:paraId="00000274">
      <w:pPr>
        <w:spacing w:line="36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5">
      <w:pPr>
        <w:spacing w:line="36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6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Supplementary Table 5.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Race-Stratified Age-Adjusted Mortality Rates per 100,000 in Patients With Pulmonary Heart Disease and COPD in the United States, 1999–2020</w:t>
      </w:r>
    </w:p>
    <w:tbl>
      <w:tblPr>
        <w:tblStyle w:val="Table5"/>
        <w:tblW w:w="10790.0" w:type="dxa"/>
        <w:jc w:val="center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A0"/>
      </w:tblPr>
      <w:tblGrid>
        <w:gridCol w:w="1797"/>
        <w:gridCol w:w="1797"/>
        <w:gridCol w:w="1800"/>
        <w:gridCol w:w="1798"/>
        <w:gridCol w:w="1798"/>
        <w:gridCol w:w="1800"/>
        <w:tblGridChange w:id="0">
          <w:tblGrid>
            <w:gridCol w:w="1797"/>
            <w:gridCol w:w="1797"/>
            <w:gridCol w:w="1800"/>
            <w:gridCol w:w="1798"/>
            <w:gridCol w:w="1798"/>
            <w:gridCol w:w="1800"/>
          </w:tblGrid>
        </w:tblGridChange>
      </w:tblGrid>
      <w:tr>
        <w:trPr>
          <w:cantSplit w:val="0"/>
          <w:trHeight w:val="312" w:hRule="atLeast"/>
          <w:tblHeader w:val="0"/>
        </w:trPr>
        <w:tc>
          <w:tcPr>
            <w:gridSpan w:val="6"/>
            <w:vAlign w:val="center"/>
          </w:tcPr>
          <w:p w:rsidR="00000000" w:rsidDel="00000000" w:rsidP="00000000" w:rsidRDefault="00000000" w:rsidRPr="00000000" w14:paraId="00000277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Age-Adjusted Rate (95% CI)</w:t>
            </w:r>
          </w:p>
        </w:tc>
      </w:tr>
      <w:tr>
        <w:trPr>
          <w:cantSplit w:val="0"/>
          <w:trHeight w:val="118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7D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Year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E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NH American Indian or Alaska Native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F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NH Asian or Pacific Islander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0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NH Black or African American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1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NH White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2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Hispanic or Latino</w:t>
            </w:r>
          </w:p>
        </w:tc>
      </w:tr>
      <w:tr>
        <w:trPr>
          <w:cantSplit w:val="0"/>
          <w:trHeight w:val="118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83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1999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84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Unreliable (5.6 to 18)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85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8.3 (6.3 to 10.7)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86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19 (17.4 to 20.6)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87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22.1 (21.6 to 22.6)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88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9.2 (7.6 to 10.8)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8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89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2000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8A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14.5 (9.1 to 22)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8B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7.2 (5.4 to 9.4)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8C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15.9 (14.4 to 17.4)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8D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20.5 (20 to 21)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8E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7.7 (6.3 to 9.1)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8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8F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2001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90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Unreliable (5 to 16)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91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5.9 (4.3 to 7.8)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92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16.8 (15.3 to 18.3)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93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20.9 (20.4 to 21.4)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94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8.7 (7.3 to 10.2)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8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95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2002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96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14.7 (9.2 to 22.2)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97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5.6 (4.1 to 7.4)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98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17.2 (15.7 to 18.8)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99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19.7 (19.3 to 20.2)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9A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8.1 (6.7 to 9.5)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8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9B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2003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9C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13.7 (8.5 to 20.9)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9D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6.5 (4.9 to 8.4)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9E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17.1 (15.6 to 18.6)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9F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19.8 (19.4 to 20.3)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A0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8.5 (7.1 to 9.8)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8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A1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2004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A2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Unreliable (5.6 to 15.8)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A3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6.3 (4.7 to 8.1)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A4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16.3 (14.9 to 17.8)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A5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19.2 (18.8 to 19.7)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A6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6.5 (5.3 to 7.6)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8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A7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2005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A8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16.3 (10.8 to 23.6)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A9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6.1 (4.6 to 7.8)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AA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18.3 (16.8 to 19.8)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AB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19.6 (19.1 to 20.1)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AC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7.9 (6.6 to 9.1)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8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AD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2006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AE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Unreliable (5.3 to 15.1)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AF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5.7 (4.3 to 7.3)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B0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17.4 (15.9 to 18.9)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B1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19.3 (18.8 to 19.7)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B2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8.2 (7 to 9.5)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8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B3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2007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B4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11.7 (7.4 to 17.6)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B5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6.4 (5 to 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B6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18.3 (16.8 to 19.9)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B7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19.4 (18.9 to 19.9)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B8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6.1 (5 to 7.1)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8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B9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2008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BA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13.2 (9 to 18.6)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BB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6.8 (5.4 to 8.5)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BC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18.9 (17.4 to 20.4)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BD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20.6 (20.1 to 21)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BE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8.1 (6.9 to 9.2)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8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BF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2009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C0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14.2 (9.7 to 20)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C1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7.1 (5.7 to 8.7)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C2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18 (16.5 to 19.4)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C3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19.8 (19.3 to 20.2)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C4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7.2 (6.1 to 8.3)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8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C5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2010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C6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16.2 (11.2 to 22.7)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C7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7.1 (5.8 to 8.7)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C8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19.5 (18 to 21)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C9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21.1 (20.6 to 21.6)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CA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8.9 (7.8 to 10.1)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8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CB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2011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CC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10.6 (6.9 to 15.5)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CD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 (5.6 to 8.3)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CE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19 (17.5 to 20.4)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CF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20.8 (20.4 to 21.3)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D0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7.5 (6.5 to 8.6)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8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D1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2012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D2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12.4 (8.4 to 17.7)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D3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5.8 (4.6 to 7.1)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D4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17.9 (16.5 to 19.3)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D5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20.3 (19.8 to 20.8)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D6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8.5 (7.5 to 9.6)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8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D7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2013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D8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13.6 (9.4 to 18.8)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D9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4.8 (3.8 to 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DA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21.1 (19.6 to 22.6)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DB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20.3 (19.8 to 20.7)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DC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7.9 (6.9 to 8.9)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8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DD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2014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DE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12.8 (9 to 17.6)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DF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5.5 (4.4 to 6.6)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E0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18.4 (17 to 19.7)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E1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 (19.5 to 20.4)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E2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7.4 (6.4 to 8.3)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8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E3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2015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E4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14.5 (10.5 to 19.7)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E5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5.6 (4.5 to 6.6)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E6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20.3 (18.9 to 21.7)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E7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20.7 (20.2 to 21.1)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E8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7.5 (6.6 to 8.5)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8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E9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2016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EA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10.8 (7.5 to 15)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EB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 (4.9 to 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EC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20.6 (19.2 to 21.9)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ED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20.6 (20.1 to 21)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EE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7.6 (6.7 to 8.5)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8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EF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2017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F0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14.7 (10.9 to 19.5)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F1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6.4 (5.3 to 7.4)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F2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21.9 (20.5 to 23.3)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F3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21.1 (20.7 to 21.5)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F4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7.4 (6.5 to 8.2)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8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F5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2018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F6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14.4 (10.8 to 18.8)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F7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7.4 (6.3 to 8.5)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F8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19.9 (18.6 to 21.2)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F9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21.3 (20.9 to 21.8)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FA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8.4 (7.5 to 9.3)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8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FB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2019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FC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14.6 (11 to 19.1)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FD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5.4 (4.5 to 6.3)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FE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21.6 (20.3 to 22.9)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FF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21.9 (21.4 to 22.3)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00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8.4 (7.5 to 9.3)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8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01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2020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02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16.6 (12.9 to 21)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03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6.7 (5.7 to 7.7)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04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24.8 (23.4 to 26.2)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05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23.6 (23.1 to 24)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06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10.4 (9.5 to 11.4)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8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07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08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13.4 (12.4 to 14.4)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09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6.3 (6 to 6.5)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0A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19.3 (19 to 19.6)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0B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20.6 (20.5 to 20.7)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0C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8.1 (7.9 to 8.3)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0D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NH = Non-Hispanic.</w:t>
      </w:r>
    </w:p>
    <w:p w:rsidR="00000000" w:rsidDel="00000000" w:rsidP="00000000" w:rsidRDefault="00000000" w:rsidRPr="00000000" w14:paraId="0000030E">
      <w:pPr>
        <w:spacing w:line="36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F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Supplementary Table 6.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State-Stratified Age-Adjusted Mortality Rates per 100,000 in Patients With Pulmonary Heart Disease and COPD in the United States, 1999–2020</w:t>
      </w:r>
    </w:p>
    <w:tbl>
      <w:tblPr>
        <w:tblStyle w:val="Table6"/>
        <w:tblW w:w="10790.0" w:type="dxa"/>
        <w:jc w:val="center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A0"/>
      </w:tblPr>
      <w:tblGrid>
        <w:gridCol w:w="5395"/>
        <w:gridCol w:w="5395"/>
        <w:tblGridChange w:id="0">
          <w:tblGrid>
            <w:gridCol w:w="5395"/>
            <w:gridCol w:w="5395"/>
          </w:tblGrid>
        </w:tblGridChange>
      </w:tblGrid>
      <w:tr>
        <w:trPr>
          <w:cantSplit w:val="0"/>
          <w:trHeight w:val="55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10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State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1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Age-Adjusted Rate (95% CI)</w:t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312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rtl w:val="0"/>
              </w:rPr>
              <w:t xml:space="preserve">Alabama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13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14.6 (14 to 15.3)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314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rtl w:val="0"/>
              </w:rPr>
              <w:t xml:space="preserve">Alaska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15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23.8 (20.9 to 26.7)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316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rtl w:val="0"/>
              </w:rPr>
              <w:t xml:space="preserve">Arizona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17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16.2 (15.6 to 16.8)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318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rtl w:val="0"/>
              </w:rPr>
              <w:t xml:space="preserve">Arkansas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19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14.2 (13.5 to 15)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31A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rtl w:val="0"/>
              </w:rPr>
              <w:t xml:space="preserve">California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1B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17.1 (16.8 to 17.3)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31C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rtl w:val="0"/>
              </w:rPr>
              <w:t xml:space="preserve">Colorado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1D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42.9 (41.8 to 44.1)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31E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rtl w:val="0"/>
              </w:rPr>
              <w:t xml:space="preserve">Connecticut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1F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16.6 (15.9 to 17.4)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320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rtl w:val="0"/>
              </w:rPr>
              <w:t xml:space="preserve">Delaware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21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22.2 (20.4 to 23.9)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322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rtl w:val="0"/>
              </w:rPr>
              <w:t xml:space="preserve">District of Columbia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23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19.7 (17.5 to 21.8)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324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rtl w:val="0"/>
              </w:rPr>
              <w:t xml:space="preserve">Florida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25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15 (14.7 to 15.3)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326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rtl w:val="0"/>
              </w:rPr>
              <w:t xml:space="preserve">Georgia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27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13.8 (13.3 to 14.3)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328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rtl w:val="0"/>
              </w:rPr>
              <w:t xml:space="preserve">Hawaii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29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12.1 (11 to 13.1)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32A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rtl w:val="0"/>
              </w:rPr>
              <w:t xml:space="preserve">Idaho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2B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30.1 (28.4 to 31.7)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32C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rtl w:val="0"/>
              </w:rPr>
              <w:t xml:space="preserve">Illinois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2D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17.2 (16.8 to 17.7)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32E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rtl w:val="0"/>
              </w:rPr>
              <w:t xml:space="preserve">Indiana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2F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26.2 (25.4 to 26.9)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330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rtl w:val="0"/>
              </w:rPr>
              <w:t xml:space="preserve">Iowa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31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29.6 (28.6 to 30.7)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332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rtl w:val="0"/>
              </w:rPr>
              <w:t xml:space="preserve">Kansas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33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18.7 (17.8 to 19.6)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334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rtl w:val="0"/>
              </w:rPr>
              <w:t xml:space="preserve">Kentucky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35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25.1 (24.2 to 26)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336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rtl w:val="0"/>
              </w:rPr>
              <w:t xml:space="preserve">Louisiana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37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10.8 (10.2 to 11.4)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338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rtl w:val="0"/>
              </w:rPr>
              <w:t xml:space="preserve">Maine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39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24.1 (22.7 to 25.5)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33A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rtl w:val="0"/>
              </w:rPr>
              <w:t xml:space="preserve">Maryland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3B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22.2 (21.5 to 23)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33C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rtl w:val="0"/>
              </w:rPr>
              <w:t xml:space="preserve">Massachusetts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3D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14.7 (14.2 to 15.2)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33E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rtl w:val="0"/>
              </w:rPr>
              <w:t xml:space="preserve">Michigan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3F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21 (20.5 to 21.5)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340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rtl w:val="0"/>
              </w:rPr>
              <w:t xml:space="preserve">Minnesota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41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28.6 (27.8 to 29.4)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342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rtl w:val="0"/>
              </w:rPr>
              <w:t xml:space="preserve">Mississippi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43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14.4 (13.6 to 15.2)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344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rtl w:val="0"/>
              </w:rPr>
              <w:t xml:space="preserve">Missouri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45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19.8 (19.1 to 20.4)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346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rtl w:val="0"/>
              </w:rPr>
              <w:t xml:space="preserve">Montana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47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34 (32 to 36)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348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rtl w:val="0"/>
              </w:rPr>
              <w:t xml:space="preserve">Nebraska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49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29.8 (28.3 to 31.2)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34A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rtl w:val="0"/>
              </w:rPr>
              <w:t xml:space="preserve">Nevada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4B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17.1 (16.1 to 18.1)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34C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rtl w:val="0"/>
              </w:rPr>
              <w:t xml:space="preserve">New Hampshire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4D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28.3 (26.7 to 30)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34E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rtl w:val="0"/>
              </w:rPr>
              <w:t xml:space="preserve">New Jersey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4F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16.4 (15.9 to 16.9)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350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rtl w:val="0"/>
              </w:rPr>
              <w:t xml:space="preserve">New Mexico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51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24.5 (23.2 to 25.8)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352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rtl w:val="0"/>
              </w:rPr>
              <w:t xml:space="preserve">New York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53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13 (12.7 to 13.3)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354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rtl w:val="0"/>
              </w:rPr>
              <w:t xml:space="preserve">North Carolina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55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24 (23.4 to 24.6)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356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rtl w:val="0"/>
              </w:rPr>
              <w:t xml:space="preserve">North Dakota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57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24.4 (22.3 to 26.4)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358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rtl w:val="0"/>
              </w:rPr>
              <w:t xml:space="preserve">Ohio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59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26.6 (26.1 to 27.1)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35A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rtl w:val="0"/>
              </w:rPr>
              <w:t xml:space="preserve">Oklahoma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5B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17.6 (16.9 to 18.4)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35C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rtl w:val="0"/>
              </w:rPr>
              <w:t xml:space="preserve">Oregon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5D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30.4 (29.4 to 31.4)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35E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rtl w:val="0"/>
              </w:rPr>
              <w:t xml:space="preserve">Pennsylvania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5F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20.2 (19.8 to 20.6)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360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rtl w:val="0"/>
              </w:rPr>
              <w:t xml:space="preserve">Rhode Island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61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21.8 (20.3 to 23.3)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362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rtl w:val="0"/>
              </w:rPr>
              <w:t xml:space="preserve">South Carolina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63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24.5 (23.6 to 25.3)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364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rtl w:val="0"/>
              </w:rPr>
              <w:t xml:space="preserve">South Dakota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65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29.5 (27.5 to 31.5)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366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rtl w:val="0"/>
              </w:rPr>
              <w:t xml:space="preserve">Tennessee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67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24.7 (24 to 25.4)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368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rtl w:val="0"/>
              </w:rPr>
              <w:t xml:space="preserve">Texas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69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19.9 (19.6 to 20.3)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36A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rtl w:val="0"/>
              </w:rPr>
              <w:t xml:space="preserve">Utah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6B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17.4 (16.3 to 18.5)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36C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rtl w:val="0"/>
              </w:rPr>
              <w:t xml:space="preserve">Vermont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6D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41.3 (38.5 to 44.1)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36E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rtl w:val="0"/>
              </w:rPr>
              <w:t xml:space="preserve">Virginia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6F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18.1 (17.5 to 18.7)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370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rtl w:val="0"/>
              </w:rPr>
              <w:t xml:space="preserve">Washington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71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29.8 (29.1 to 30.6)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372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rtl w:val="0"/>
              </w:rPr>
              <w:t xml:space="preserve">West Virginia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73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26.5 (25.2 to 27.7)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374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rtl w:val="0"/>
              </w:rPr>
              <w:t xml:space="preserve">Wisconsin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75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24.2 (23.5 to 25)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376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rtl w:val="0"/>
              </w:rPr>
              <w:t xml:space="preserve">Wyoming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77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41.2 (38 to 44.4)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78">
      <w:pPr>
        <w:spacing w:line="36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9">
      <w:pPr>
        <w:spacing w:line="36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A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Supplementary Table 7.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Census-Region-Stratified Age-Adjusted Mortality Rates per 100,000 in Patients With Pulmonary Heart Disease and COPD in the United States, 1999–2020</w:t>
      </w:r>
    </w:p>
    <w:tbl>
      <w:tblPr>
        <w:tblStyle w:val="Table7"/>
        <w:tblW w:w="10790.0" w:type="dxa"/>
        <w:jc w:val="center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A0"/>
      </w:tblPr>
      <w:tblGrid>
        <w:gridCol w:w="3596"/>
        <w:gridCol w:w="3597"/>
        <w:gridCol w:w="3597"/>
        <w:tblGridChange w:id="0">
          <w:tblGrid>
            <w:gridCol w:w="3596"/>
            <w:gridCol w:w="3597"/>
            <w:gridCol w:w="3597"/>
          </w:tblGrid>
        </w:tblGridChange>
      </w:tblGrid>
      <w:tr>
        <w:trPr>
          <w:cantSplit w:val="0"/>
          <w:trHeight w:val="3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7B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Census Region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7C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Year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7D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Age-Adjusted Rate (95% CI)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7E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Northeast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7F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1999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80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18.6 (17.6 to 19.6)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81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Northeast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2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2000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83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17.5 (16.6 to 18.5)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84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Northeast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5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2001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86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17.1 (16.2 to 18.1)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87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Northeast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8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2002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89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15.8 (14.9 to 16.7)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8A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Northeast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B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2003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8C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15.7 (14.8 to 16.6)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8D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Northeast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8E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2004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8F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16.2 (15.3 to 17.1)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90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Northeast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1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2005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92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16.8 (15.9 to 17.7)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93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Northeast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4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2006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95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16.1 (15.2 to 17)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96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Northeast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7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2007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98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16.3 (15.4 to 17.2)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99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Northeast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A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2008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9B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17.9 (17 to 18.8)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9C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Northeast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9D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2009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9E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16.1 (15.2 to 16.9)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9F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Northeast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A0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2010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A1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17.3 (16.4 to 18.2)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A2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Northeast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A3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2011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A4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17.7 (16.8 to 18.6)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A5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Northeast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A6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2012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A7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17.3 (16.4 to 18.2)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A8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Northeast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A9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2013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AA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17.4 (16.5 to 18.3)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AB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Northeast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AC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2014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AD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16.2 (15.3 to 17)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AE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Northeast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AF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2015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B0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17.2 (16.3 to 18)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B1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Northeast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B2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2016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B3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16.1 (15.3 to 17)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B4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Northeast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B5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2017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B6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16.2 (15.4 to 17.1)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B7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Northeast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B8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2018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B9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16.3 (15.5 to 17.1)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BA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Northeast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BB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2019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BC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17.4 (16.6 to 18.2)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BD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Northeast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BE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2020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BF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18.6 (17.7 to 19.4)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C0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Northeast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1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Total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C2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16.9 (16.7 to 17.1)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C3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Midwest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4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1999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C5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25.5 (24.4 to 26.5)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C6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Midwest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7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2000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C8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22.7 (21.7 to 23.8)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C9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Midwest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A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2001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CB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24.2 (23.2 to 25.3)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CC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Midwest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CD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2002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CE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23 (22 to 24)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CF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Midwest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D0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2003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D1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22.8 (21.7 to 23.8)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D2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Midwest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D3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2004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D4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21.4 (20.4 to 22.4)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D5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Midwest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D6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2005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D7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22.7 (21.7 to 23.7)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D8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Midwest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D9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2006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DA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21.9 (20.9 to 22.9)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DB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Midwest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DC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2007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DD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22 (21 to 23)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DE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Midwest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DF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2008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E0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23.8 (22.8 to 24.8)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E1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Midwest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E2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2009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E3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22.2 (21.2 to 23.2)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E4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Midwest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E5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2010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E6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23.5 (22.5 to 24.5)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E7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Midwest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E8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2011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E9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24.5 (23.5 to 25.5)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EA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Midwest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EB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2012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EC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22.5 (21.5 to 23.4)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ED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Midwest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EE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2013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EF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23 (22.1 to 24)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F0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Midwest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F1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2014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F2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22.6 (21.6 to 23.5)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F3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Midwest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F4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2015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F5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23.2 (22.2 to 24.1)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F6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Midwest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F7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2016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F8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23.7 (22.8 to 24.7)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F9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Midwest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FA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2017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FB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24.3 (23.3 to 25.2)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FC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Midwest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FD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2018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FE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23.2 (22.3 to 24.2)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FF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Midwest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0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2019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01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24 (23.1 to 24.9)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02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Midwest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3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2020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04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26.1 (25.2 to 27.1)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05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Midwest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6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Total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07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23.3 (23.1 to 23.5)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08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South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9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1999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0A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19.3 (18.5 to 20.1)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0B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South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C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2000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0D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18.5 (17.8 to 19.3)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0E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South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0F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2001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10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18.4 (17.6 to 19.1)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11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South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12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2002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13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18.1 (17.3 to 18.8)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14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South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15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2003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16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18.5 (17.8 to 19.3)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17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South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18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2004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19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17.7 (16.9 to 18.4)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1A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South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1B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2005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1C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18.1 (17.4 to 18.8)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1D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South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1E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2006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1F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17.9 (17.1 to 18.6)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20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South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21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2007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22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17.9 (17.2 to 18.6)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23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South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24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2008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25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18.7 (18 to 19.5)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26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South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27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2009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28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18.2 (17.5 to 18.9)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29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South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2A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2010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2B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19.2 (18.5 to 19.9)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2C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South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2D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2011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2E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18 (17.3 to 18.7)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2F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South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0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2012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31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18.1 (17.4 to 18.8)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32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South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3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2013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34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18.2 (17.6 to 18.9)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35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South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6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2014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37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17.6 (17 to 18.3)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38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South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9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2015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3A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18.3 (17.7 to 19)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3B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South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C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2016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3D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18 (17.4 to 18.6)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3E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South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3F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2017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40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19.1 (18.4 to 19.7)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41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South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2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2018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43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19.1 (18.5 to 19.8)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44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South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5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2019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46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19.5 (18.9 to 20.1)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47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South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8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2020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49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20.9 (20.3 to 21.5)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4A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South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B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Total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4C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18.6 (18.4 to 18.7)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4D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West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4E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1999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4F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23.8 (22.7 to 25)</w:t>
            </w:r>
          </w:p>
        </w:tc>
      </w:tr>
      <w:tr>
        <w:trPr>
          <w:cantSplit w:val="0"/>
          <w:trHeight w:val="33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50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West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51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2000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52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21 (19.9 to 22.1)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53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West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54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2001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55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21.4 (20.3 to 22.4)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56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West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57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2002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58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20.1 (19.1 to 21.2)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59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West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5A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2003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5B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20.2 (19.2 to 21.2)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5C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West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5D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2004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5E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19.5 (18.5 to 20.5)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5F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West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60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2005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61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18.9 (17.9 to 19.9)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62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West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63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2006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64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18.8 (17.9 to 19.8)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65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West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66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2007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67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19.5 (18.6 to 20.5)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68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West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69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2008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6A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19.7 (18.8 to 20.7)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6B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West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6C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2009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6D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20.2 (19.2 to 21.1)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6E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West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6F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2010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70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22 (21 to 23)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71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West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72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2011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73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21.4 (20.4 to 22.4)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74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West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75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2012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76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20.8 (19.9 to 21.8)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77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West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78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2013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79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20.7 (19.8 to 21.6)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7A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West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7B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2014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7C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21.2 (20.2 to 22.1)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7D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West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7E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2015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7F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21.8 (20.9 to 22.8)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80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West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81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2016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82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22.6 (21.7 to 23.5)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83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West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84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2017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85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22.9 (22 to 23.8)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86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West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87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2018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88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23.7 (22.8 to 24.7)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89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West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8A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2019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8B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23.8 (22.9 to 24.7)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8C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West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8D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2020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8E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26.5 (25.6 to 27.5)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8F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West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90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Total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91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21.6 (21.4 to 21.8)</w:t>
            </w:r>
          </w:p>
        </w:tc>
      </w:tr>
      <w:tr>
        <w:trPr>
          <w:cantSplit w:val="0"/>
          <w:trHeight w:val="31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92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Total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93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Total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94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19.9 (19.9 to 20)</w:t>
            </w:r>
          </w:p>
        </w:tc>
      </w:tr>
    </w:tbl>
    <w:p w:rsidR="00000000" w:rsidDel="00000000" w:rsidP="00000000" w:rsidRDefault="00000000" w:rsidRPr="00000000" w14:paraId="00000495">
      <w:pPr>
        <w:spacing w:line="36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6">
      <w:pPr>
        <w:spacing w:line="36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7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lv0xpk4zc3ap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Supplementary Table 8.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Urbanization-Stratified Age-Adjusted Mortality Rates per 100,000 in Patients With Pulmonary Heart Disease and COPD in the United States, 1999–2020</w:t>
      </w:r>
    </w:p>
    <w:tbl>
      <w:tblPr>
        <w:tblStyle w:val="Table8"/>
        <w:tblW w:w="10790.0" w:type="dxa"/>
        <w:jc w:val="center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A0"/>
      </w:tblPr>
      <w:tblGrid>
        <w:gridCol w:w="3595"/>
        <w:gridCol w:w="3595"/>
        <w:gridCol w:w="3600"/>
        <w:tblGridChange w:id="0">
          <w:tblGrid>
            <w:gridCol w:w="3595"/>
            <w:gridCol w:w="3595"/>
            <w:gridCol w:w="3600"/>
          </w:tblGrid>
        </w:tblGridChange>
      </w:tblGrid>
      <w:tr>
        <w:trPr>
          <w:cantSplit w:val="0"/>
          <w:trHeight w:val="552" w:hRule="atLeast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498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Age-Adjusted Rate (95% CI)</w:t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9B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Year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9C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Metropolitan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9D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Non-Metropolitan</w:t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9E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rtl w:val="0"/>
              </w:rPr>
              <w:t xml:space="preserve">1999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9F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20.9 (20.4 to 21.5)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A0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23.9 (22.7 to 25.1)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A1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rtl w:val="0"/>
              </w:rPr>
              <w:t xml:space="preserve">2000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A2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19.1 (18.6 to 19.6)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A3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22.8 (21.7 to 24)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A4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rtl w:val="0"/>
              </w:rPr>
              <w:t xml:space="preserve">2001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A5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19.1 (18.6 to 19.6)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A6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24.1 (22.9 to 25.2)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A7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rtl w:val="0"/>
              </w:rPr>
              <w:t xml:space="preserve">2002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A8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18.2 (17.7 to 18.7)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A9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23.3 (22.2 to 24.5)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AA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rtl w:val="0"/>
              </w:rPr>
              <w:t xml:space="preserve">2003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AB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18.4 (17.9 to 18.9)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AC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23 (21.9 to 24.2)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AD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rtl w:val="0"/>
              </w:rPr>
              <w:t xml:space="preserve">2004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AE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17.8 (17.3 to 18.3)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AF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22.2 (21.1 to 23.3)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B0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rtl w:val="0"/>
              </w:rPr>
              <w:t xml:space="preserve">2005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B1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18.3 (17.8 to 18.8)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B2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22.5 (21.4 to 23.6)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B3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rtl w:val="0"/>
              </w:rPr>
              <w:t xml:space="preserve">2006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B4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17.7 (17.3 to 18.2)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B5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22.5 (21.4 to 23.6)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B6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rtl w:val="0"/>
              </w:rPr>
              <w:t xml:space="preserve">2007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B7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18.1 (17.6 to 18.6)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B8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22.1 (21 to 23.2)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B9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rtl w:val="0"/>
              </w:rPr>
              <w:t xml:space="preserve">2008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BA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19.1 (18.6 to 19.6)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BB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23.5 (22.4 to 24.6)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BC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rtl w:val="0"/>
              </w:rPr>
              <w:t xml:space="preserve">2009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BD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18.2 (17.7 to 18.7)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BE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23.4 (22.3 to 24.5)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BF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rtl w:val="0"/>
              </w:rPr>
              <w:t xml:space="preserve">2010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C0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19.8 (19.3 to 20.3)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C1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23 (21.9 to 24.1)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C2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rtl w:val="0"/>
              </w:rPr>
              <w:t xml:space="preserve">2011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C3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19.6 (19.1 to 20)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C4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22.7 (21.6 to 23.8)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C5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rtl w:val="0"/>
              </w:rPr>
              <w:t xml:space="preserve">2012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C6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18.7 (18.3 to 19.2)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C7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23.2 (22.1 to 24.3)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C8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rtl w:val="0"/>
              </w:rPr>
              <w:t xml:space="preserve">2013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C9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19.1 (18.6 to 19.5)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CA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22.6 (21.5 to 23.6)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CB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rtl w:val="0"/>
              </w:rPr>
              <w:t xml:space="preserve">2014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CC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18.4 (18 to 18.9)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CD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22.8 (21.7 to 23.8)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CE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rtl w:val="0"/>
              </w:rPr>
              <w:t xml:space="preserve">2015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CF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19.1 (18.7 to 19.6)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D0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23.9 (22.8 to 25)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D1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rtl w:val="0"/>
              </w:rPr>
              <w:t xml:space="preserve">2016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D2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19.2 (18.7 to 19.6)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D3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23.4 (22.3 to 24.5)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D4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rtl w:val="0"/>
              </w:rPr>
              <w:t xml:space="preserve">2017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D5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19.8 (19.3 to 20.2)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D6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23.9 (22.8 to 24.9)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D7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rtl w:val="0"/>
              </w:rPr>
              <w:t xml:space="preserve">2018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D8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19.5 (19.1 to 20)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D9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25.4 (24.3 to 26.4)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DA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  <w:rtl w:val="0"/>
              </w:rPr>
              <w:t xml:space="preserve">2019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DB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20.1 (19.7 to 20.5)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DC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25.6 (24.5 to 26.6)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DD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00000"/>
                <w:sz w:val="24"/>
                <w:szCs w:val="24"/>
                <w:rtl w:val="0"/>
              </w:rPr>
              <w:t xml:space="preserve">2020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DE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21.7 (21.3 to 22.1)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DF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28.5 (27.4 to 29.6)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4E0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Total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E1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19.1 (19 to 19.2)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4E2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23.6 (23.3 to 23.8)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E3">
      <w:pPr>
        <w:spacing w:line="36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4">
      <w:pPr>
        <w:spacing w:line="36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4E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2e75b5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2e75b5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e75b5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e75b5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e75b5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4B188A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4B188A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4B188A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4B188A"/>
    <w:rPr>
      <w:rFonts w:asciiTheme="majorHAnsi" w:cstheme="majorBidi" w:eastAsiaTheme="majorEastAsia" w:hAnsiTheme="majorHAnsi"/>
      <w:color w:val="2e74b5" w:themeColor="accent1" w:themeShade="0000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 w:val="1"/>
    <w:rsid w:val="004B188A"/>
    <w:rPr>
      <w:rFonts w:asciiTheme="majorHAnsi" w:cstheme="majorBidi" w:eastAsiaTheme="majorEastAsia" w:hAnsiTheme="majorHAnsi"/>
      <w:color w:val="2e74b5" w:themeColor="accent1" w:themeShade="0000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 w:val="1"/>
    <w:rsid w:val="004B188A"/>
    <w:rPr>
      <w:rFonts w:cstheme="majorBidi" w:eastAsiaTheme="majorEastAsia"/>
      <w:color w:val="2e74b5" w:themeColor="accent1" w:themeShade="0000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4B188A"/>
    <w:rPr>
      <w:rFonts w:cstheme="majorBidi" w:eastAsiaTheme="majorEastAsia"/>
      <w:i w:val="1"/>
      <w:iCs w:val="1"/>
      <w:color w:val="2e74b5" w:themeColor="accent1" w:themeShade="0000BF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4B188A"/>
    <w:rPr>
      <w:rFonts w:cstheme="majorBidi" w:eastAsiaTheme="majorEastAsia"/>
      <w:color w:val="2e74b5" w:themeColor="accent1" w:themeShade="0000B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4B188A"/>
    <w:rPr>
      <w:rFonts w:cstheme="majorBidi" w:eastAsiaTheme="majorEastAsia"/>
      <w:i w:val="1"/>
      <w:iCs w:val="1"/>
      <w:color w:val="595959" w:themeColor="text1" w:themeTint="0000A6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4B188A"/>
    <w:rPr>
      <w:rFonts w:cstheme="majorBidi" w:eastAsiaTheme="majorEastAsia"/>
      <w:color w:val="595959" w:themeColor="text1" w:themeTint="0000A6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4B188A"/>
    <w:rPr>
      <w:rFonts w:cstheme="majorBidi" w:eastAsiaTheme="majorEastAsia"/>
      <w:i w:val="1"/>
      <w:iCs w:val="1"/>
      <w:color w:val="272727" w:themeColor="text1" w:themeTint="0000D8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4B188A"/>
    <w:rPr>
      <w:rFonts w:cstheme="majorBidi" w:eastAsiaTheme="majorEastAsia"/>
      <w:color w:val="272727" w:themeColor="text1" w:themeTint="0000D8"/>
    </w:rPr>
  </w:style>
  <w:style w:type="character" w:styleId="TitleChar" w:customStyle="1">
    <w:name w:val="Title Char"/>
    <w:basedOn w:val="DefaultParagraphFont"/>
    <w:link w:val="Title"/>
    <w:uiPriority w:val="10"/>
    <w:rsid w:val="004B188A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sid w:val="004B188A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 w:val="1"/>
    <w:rsid w:val="004B188A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QuoteChar" w:customStyle="1">
    <w:name w:val="Quote Char"/>
    <w:basedOn w:val="DefaultParagraphFont"/>
    <w:link w:val="Quote"/>
    <w:uiPriority w:val="29"/>
    <w:rsid w:val="004B188A"/>
    <w:rPr>
      <w:i w:val="1"/>
      <w:iCs w:val="1"/>
      <w:color w:val="404040" w:themeColor="text1" w:themeTint="0000BF"/>
    </w:rPr>
  </w:style>
  <w:style w:type="paragraph" w:styleId="ListParagraph">
    <w:name w:val="List Paragraph"/>
    <w:basedOn w:val="Normal"/>
    <w:uiPriority w:val="34"/>
    <w:qFormat w:val="1"/>
    <w:rsid w:val="004B188A"/>
    <w:pPr>
      <w:ind w:left="720"/>
      <w:contextualSpacing w:val="1"/>
    </w:pPr>
  </w:style>
  <w:style w:type="character" w:styleId="IntenseEmphasis">
    <w:name w:val="Intense Emphasis"/>
    <w:basedOn w:val="DefaultParagraphFont"/>
    <w:uiPriority w:val="21"/>
    <w:qFormat w:val="1"/>
    <w:rsid w:val="004B188A"/>
    <w:rPr>
      <w:i w:val="1"/>
      <w:iCs w:val="1"/>
      <w:color w:val="2e74b5" w:themeColor="accent1" w:themeShade="0000BF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4B188A"/>
    <w:pPr>
      <w:pBdr>
        <w:top w:color="2e74b5" w:space="10" w:sz="4" w:themeColor="accent1" w:themeShade="0000BF" w:val="single"/>
        <w:bottom w:color="2e74b5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2e74b5" w:themeColor="accent1" w:themeShade="0000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4B188A"/>
    <w:rPr>
      <w:i w:val="1"/>
      <w:iCs w:val="1"/>
      <w:color w:val="2e74b5" w:themeColor="accent1" w:themeShade="0000BF"/>
    </w:rPr>
  </w:style>
  <w:style w:type="character" w:styleId="IntenseReference">
    <w:name w:val="Intense Reference"/>
    <w:basedOn w:val="DefaultParagraphFont"/>
    <w:uiPriority w:val="32"/>
    <w:qFormat w:val="1"/>
    <w:rsid w:val="004B188A"/>
    <w:rPr>
      <w:b w:val="1"/>
      <w:bCs w:val="1"/>
      <w:smallCaps w:val="1"/>
      <w:color w:val="2e74b5" w:themeColor="accent1" w:themeShade="0000BF"/>
      <w:spacing w:val="5"/>
    </w:rPr>
  </w:style>
  <w:style w:type="paragraph" w:styleId="Header">
    <w:name w:val="header"/>
    <w:basedOn w:val="Normal"/>
    <w:link w:val="HeaderChar"/>
    <w:uiPriority w:val="99"/>
    <w:unhideWhenUsed w:val="1"/>
    <w:rsid w:val="004B188A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4B188A"/>
  </w:style>
  <w:style w:type="paragraph" w:styleId="Footer">
    <w:name w:val="footer"/>
    <w:basedOn w:val="Normal"/>
    <w:link w:val="FooterChar"/>
    <w:uiPriority w:val="99"/>
    <w:unhideWhenUsed w:val="1"/>
    <w:rsid w:val="004B188A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4B188A"/>
  </w:style>
  <w:style w:type="table" w:styleId="TableGrid">
    <w:name w:val="Table Grid"/>
    <w:basedOn w:val="TableNormal"/>
    <w:uiPriority w:val="39"/>
    <w:rsid w:val="004B188A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PlainTable1">
    <w:name w:val="Plain Table 1"/>
    <w:basedOn w:val="TableNormal"/>
    <w:uiPriority w:val="41"/>
    <w:rsid w:val="00133F18"/>
    <w:pPr>
      <w:spacing w:after="0" w:line="240" w:lineRule="auto"/>
    </w:pPr>
    <w:tblPr>
      <w:tblStyleRowBandSize w:val="1"/>
      <w:tblStyleColBandSize w:val="1"/>
      <w:tblBorders>
        <w:top w:color="bfbfbf" w:space="0" w:sz="4" w:themeColor="background1" w:themeShade="0000BF" w:val="single"/>
        <w:left w:color="bfbfbf" w:space="0" w:sz="4" w:themeColor="background1" w:themeShade="0000BF" w:val="single"/>
        <w:bottom w:color="bfbfbf" w:space="0" w:sz="4" w:themeColor="background1" w:themeShade="0000BF" w:val="single"/>
        <w:right w:color="bfbfbf" w:space="0" w:sz="4" w:themeColor="background1" w:themeShade="0000BF" w:val="single"/>
        <w:insideH w:color="bfbfbf" w:space="0" w:sz="4" w:themeColor="background1" w:themeShade="0000BF" w:val="single"/>
        <w:insideV w:color="bfbfbf" w:space="0" w:sz="4" w:themeColor="background1" w:themeShade="0000BF" w:val="single"/>
      </w:tblBorders>
    </w:tbl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fbfbf" w:space="0" w:sz="4" w:themeColor="background1" w:themeShade="0000BF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2f2f2" w:themeFill="background1" w:themeFillShade="0000F2" w:val="clear"/>
      </w:tcPr>
    </w:tblStylePr>
    <w:tblStylePr w:type="band1Horz">
      <w:tblPr/>
      <w:tcPr>
        <w:shd w:color="auto" w:fill="f2f2f2" w:themeFill="background1" w:themeFillShade="0000F2" w:val="clear"/>
      </w:tcPr>
    </w:tblStylePr>
  </w:style>
  <w:style w:type="table" w:styleId="TableGridLight">
    <w:name w:val="Grid Table Light"/>
    <w:basedOn w:val="TableNormal"/>
    <w:uiPriority w:val="40"/>
    <w:rsid w:val="00133F18"/>
    <w:pPr>
      <w:spacing w:after="0" w:line="240" w:lineRule="auto"/>
    </w:pPr>
    <w:tblPr>
      <w:tblBorders>
        <w:top w:color="bfbfbf" w:space="0" w:sz="4" w:themeColor="background1" w:themeShade="0000BF" w:val="single"/>
        <w:left w:color="bfbfbf" w:space="0" w:sz="4" w:themeColor="background1" w:themeShade="0000BF" w:val="single"/>
        <w:bottom w:color="bfbfbf" w:space="0" w:sz="4" w:themeColor="background1" w:themeShade="0000BF" w:val="single"/>
        <w:right w:color="bfbfbf" w:space="0" w:sz="4" w:themeColor="background1" w:themeShade="0000BF" w:val="single"/>
        <w:insideH w:color="bfbfbf" w:space="0" w:sz="4" w:themeColor="background1" w:themeShade="0000BF" w:val="single"/>
        <w:insideV w:color="bfbfbf" w:space="0" w:sz="4" w:themeColor="background1" w:themeShade="0000BF" w:val="single"/>
      </w:tblBorders>
    </w:tblPr>
  </w:style>
  <w:style w:type="table" w:styleId="PlainTable2">
    <w:name w:val="Plain Table 2"/>
    <w:basedOn w:val="TableNormal"/>
    <w:uiPriority w:val="42"/>
    <w:rsid w:val="00133F18"/>
    <w:pPr>
      <w:spacing w:after="0" w:line="240" w:lineRule="auto"/>
    </w:pPr>
    <w:tblPr>
      <w:tblStyleRowBandSize w:val="1"/>
      <w:tblStyleColBandSize w:val="1"/>
      <w:tblBorders>
        <w:top w:color="7f7f7f" w:space="0" w:sz="4" w:themeColor="text1" w:themeTint="000080" w:val="single"/>
        <w:bottom w:color="7f7f7f" w:space="0" w:sz="4" w:themeColor="text1" w:themeTint="000080" w:val="single"/>
      </w:tblBorders>
    </w:tblPr>
    <w:tblStylePr w:type="firstRow">
      <w:rPr>
        <w:b w:val="1"/>
        <w:bCs w:val="1"/>
      </w:rPr>
      <w:tblPr/>
      <w:tcPr>
        <w:tcBorders>
          <w:bottom w:color="7f7f7f" w:space="0" w:sz="4" w:themeColor="text1" w:themeTint="000080" w:val="single"/>
        </w:tcBorders>
      </w:tcPr>
    </w:tblStylePr>
    <w:tblStylePr w:type="lastRow">
      <w:rPr>
        <w:b w:val="1"/>
        <w:bCs w:val="1"/>
      </w:rPr>
      <w:tblPr/>
      <w:tcPr>
        <w:tcBorders>
          <w:top w:color="7f7f7f" w:space="0" w:sz="4" w:themeColor="text1" w:themeTint="000080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color="7f7f7f" w:space="0" w:sz="4" w:themeColor="text1" w:themeTint="000080" w:val="single"/>
          <w:right w:color="7f7f7f" w:space="0" w:sz="4" w:themeColor="text1" w:themeTint="000080" w:val="single"/>
        </w:tcBorders>
      </w:tcPr>
    </w:tblStylePr>
    <w:tblStylePr w:type="band2Vert">
      <w:tblPr/>
      <w:tcPr>
        <w:tcBorders>
          <w:left w:color="7f7f7f" w:space="0" w:sz="4" w:themeColor="text1" w:themeTint="000080" w:val="single"/>
          <w:right w:color="7f7f7f" w:space="0" w:sz="4" w:themeColor="text1" w:themeTint="000080" w:val="single"/>
        </w:tcBorders>
      </w:tcPr>
    </w:tblStylePr>
    <w:tblStylePr w:type="band1Horz">
      <w:tblPr/>
      <w:tcPr>
        <w:tcBorders>
          <w:top w:color="7f7f7f" w:space="0" w:sz="4" w:themeColor="text1" w:themeTint="000080" w:val="single"/>
          <w:bottom w:color="7f7f7f" w:space="0" w:sz="4" w:themeColor="text1" w:themeTint="000080" w:val="single"/>
        </w:tcBorders>
      </w:tcPr>
    </w:tblStyle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fill="f2f2f2" w:val="clear"/>
      </w:tcPr>
    </w:tblStylePr>
    <w:tblStylePr w:type="band1Vert">
      <w:tcPr>
        <w:shd w:fill="f2f2f2" w:val="clear"/>
      </w:tcPr>
    </w:tblStylePr>
    <w:tblStylePr w:type="firstCol">
      <w:rPr>
        <w:b w:val="1"/>
        <w:bCs w:val="1"/>
      </w:rPr>
    </w:tblStylePr>
    <w:tblStylePr w:type="firstRow">
      <w:rPr>
        <w:b w:val="1"/>
        <w:bCs w:val="1"/>
      </w:rPr>
    </w:tblStylePr>
    <w:tblStylePr w:type="lastCol">
      <w:rPr>
        <w:b w:val="1"/>
        <w:bCs w:val="1"/>
      </w:rPr>
    </w:tblStylePr>
    <w:tblStylePr w:type="lastRow">
      <w:rPr>
        <w:b w:val="1"/>
        <w:bCs w:val="1"/>
      </w:rPr>
      <w:tcPr>
        <w:tcBorders>
          <w:top w:color="bfbfbf" w:space="0" w:sz="4" w:val="single"/>
        </w:tcBorders>
      </w:tcPr>
    </w:tblStyle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fill="f2f2f2" w:val="clear"/>
      </w:tcPr>
    </w:tblStylePr>
    <w:tblStylePr w:type="band1Vert">
      <w:tcPr>
        <w:shd w:fill="f2f2f2" w:val="clear"/>
      </w:tcPr>
    </w:tblStylePr>
    <w:tblStylePr w:type="firstCol">
      <w:rPr>
        <w:b w:val="1"/>
        <w:bCs w:val="1"/>
      </w:rPr>
    </w:tblStylePr>
    <w:tblStylePr w:type="firstRow">
      <w:rPr>
        <w:b w:val="1"/>
        <w:bCs w:val="1"/>
      </w:rPr>
    </w:tblStylePr>
    <w:tblStylePr w:type="lastCol">
      <w:rPr>
        <w:b w:val="1"/>
        <w:bCs w:val="1"/>
      </w:rPr>
    </w:tblStylePr>
    <w:tblStylePr w:type="lastRow">
      <w:rPr>
        <w:b w:val="1"/>
        <w:bCs w:val="1"/>
      </w:rPr>
      <w:tcPr>
        <w:tcBorders>
          <w:top w:color="bfbfbf" w:space="0" w:sz="4" w:val="single"/>
        </w:tcBorders>
      </w:tcPr>
    </w:tblStyle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fill="f2f2f2" w:val="clear"/>
      </w:tcPr>
    </w:tblStylePr>
    <w:tblStylePr w:type="band1Vert">
      <w:tcPr>
        <w:shd w:fill="f2f2f2" w:val="clear"/>
      </w:tcPr>
    </w:tblStylePr>
    <w:tblStylePr w:type="firstCol">
      <w:rPr>
        <w:b w:val="1"/>
        <w:bCs w:val="1"/>
      </w:rPr>
    </w:tblStylePr>
    <w:tblStylePr w:type="firstRow">
      <w:rPr>
        <w:b w:val="1"/>
        <w:bCs w:val="1"/>
      </w:rPr>
    </w:tblStylePr>
    <w:tblStylePr w:type="lastCol">
      <w:rPr>
        <w:b w:val="1"/>
        <w:bCs w:val="1"/>
      </w:rPr>
    </w:tblStylePr>
    <w:tblStylePr w:type="lastRow">
      <w:rPr>
        <w:b w:val="1"/>
        <w:bCs w:val="1"/>
      </w:rPr>
      <w:tcPr>
        <w:tcBorders>
          <w:top w:color="bfbfbf" w:space="0" w:sz="4" w:val="single"/>
        </w:tcBorders>
      </w:tcPr>
    </w:tblStyle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fill="f2f2f2" w:val="clear"/>
      </w:tcPr>
    </w:tblStylePr>
    <w:tblStylePr w:type="band1Vert">
      <w:tcPr>
        <w:shd w:fill="f2f2f2" w:val="clear"/>
      </w:tcPr>
    </w:tblStylePr>
    <w:tblStylePr w:type="firstCol">
      <w:rPr>
        <w:b w:val="1"/>
        <w:bCs w:val="1"/>
      </w:rPr>
    </w:tblStylePr>
    <w:tblStylePr w:type="firstRow">
      <w:rPr>
        <w:b w:val="1"/>
        <w:bCs w:val="1"/>
      </w:rPr>
    </w:tblStylePr>
    <w:tblStylePr w:type="lastCol">
      <w:rPr>
        <w:b w:val="1"/>
        <w:bCs w:val="1"/>
      </w:rPr>
    </w:tblStylePr>
    <w:tblStylePr w:type="lastRow">
      <w:rPr>
        <w:b w:val="1"/>
        <w:bCs w:val="1"/>
      </w:rPr>
      <w:tcPr>
        <w:tcBorders>
          <w:top w:color="bfbfbf" w:space="0" w:sz="4" w:val="single"/>
        </w:tcBorders>
      </w:tcPr>
    </w:tblStyle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fill="f2f2f2" w:val="clear"/>
      </w:tcPr>
    </w:tblStylePr>
    <w:tblStylePr w:type="band1Vert">
      <w:tcPr>
        <w:shd w:fill="f2f2f2" w:val="clear"/>
      </w:tcPr>
    </w:tblStylePr>
    <w:tblStylePr w:type="firstCol">
      <w:rPr>
        <w:b w:val="1"/>
        <w:bCs w:val="1"/>
      </w:rPr>
    </w:tblStylePr>
    <w:tblStylePr w:type="firstRow">
      <w:rPr>
        <w:b w:val="1"/>
        <w:bCs w:val="1"/>
      </w:rPr>
    </w:tblStylePr>
    <w:tblStylePr w:type="lastCol">
      <w:rPr>
        <w:b w:val="1"/>
        <w:bCs w:val="1"/>
      </w:rPr>
    </w:tblStylePr>
    <w:tblStylePr w:type="lastRow">
      <w:rPr>
        <w:b w:val="1"/>
        <w:bCs w:val="1"/>
      </w:rPr>
      <w:tcPr>
        <w:tcBorders>
          <w:top w:color="bfbfbf" w:space="0" w:sz="4" w:val="single"/>
        </w:tcBorders>
      </w:tcPr>
    </w:tblStyle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fill="f2f2f2" w:val="clear"/>
      </w:tcPr>
    </w:tblStylePr>
    <w:tblStylePr w:type="band1Vert">
      <w:tcPr>
        <w:shd w:fill="f2f2f2" w:val="clear"/>
      </w:tcPr>
    </w:tblStylePr>
    <w:tblStylePr w:type="firstCol">
      <w:rPr>
        <w:b w:val="1"/>
        <w:bCs w:val="1"/>
      </w:rPr>
    </w:tblStylePr>
    <w:tblStylePr w:type="firstRow">
      <w:rPr>
        <w:b w:val="1"/>
        <w:bCs w:val="1"/>
      </w:rPr>
    </w:tblStylePr>
    <w:tblStylePr w:type="lastCol">
      <w:rPr>
        <w:b w:val="1"/>
        <w:bCs w:val="1"/>
      </w:rPr>
    </w:tblStylePr>
    <w:tblStylePr w:type="lastRow">
      <w:rPr>
        <w:b w:val="1"/>
        <w:bCs w:val="1"/>
      </w:rPr>
      <w:tcPr>
        <w:tcBorders>
          <w:top w:color="bfbfbf" w:space="0" w:sz="4" w:val="single"/>
        </w:tcBorders>
      </w:tcPr>
    </w:tblStyle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fill="f2f2f2" w:val="clear"/>
      </w:tcPr>
    </w:tblStylePr>
    <w:tblStylePr w:type="band1Vert">
      <w:tcPr>
        <w:shd w:fill="f2f2f2" w:val="clear"/>
      </w:tcPr>
    </w:tblStylePr>
    <w:tblStylePr w:type="firstCol">
      <w:rPr>
        <w:b w:val="1"/>
        <w:bCs w:val="1"/>
      </w:rPr>
    </w:tblStylePr>
    <w:tblStylePr w:type="firstRow">
      <w:rPr>
        <w:b w:val="1"/>
        <w:bCs w:val="1"/>
      </w:rPr>
    </w:tblStylePr>
    <w:tblStylePr w:type="lastCol">
      <w:rPr>
        <w:b w:val="1"/>
        <w:bCs w:val="1"/>
      </w:rPr>
    </w:tblStylePr>
    <w:tblStylePr w:type="lastRow">
      <w:rPr>
        <w:b w:val="1"/>
        <w:bCs w:val="1"/>
      </w:rPr>
      <w:tcPr>
        <w:tcBorders>
          <w:top w:color="bfbfbf" w:space="0" w:sz="4" w:val="single"/>
        </w:tcBorders>
      </w:tcPr>
    </w:tblStyle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fill="f2f2f2" w:val="clear"/>
      </w:tcPr>
    </w:tblStylePr>
    <w:tblStylePr w:type="band1Vert">
      <w:tcPr>
        <w:shd w:fill="f2f2f2" w:val="clear"/>
      </w:tcPr>
    </w:tblStylePr>
    <w:tblStylePr w:type="firstCol">
      <w:rPr>
        <w:b w:val="1"/>
        <w:bCs w:val="1"/>
      </w:rPr>
    </w:tblStylePr>
    <w:tblStylePr w:type="firstRow">
      <w:rPr>
        <w:b w:val="1"/>
        <w:bCs w:val="1"/>
      </w:rPr>
    </w:tblStylePr>
    <w:tblStylePr w:type="lastCol">
      <w:rPr>
        <w:b w:val="1"/>
        <w:bCs w:val="1"/>
      </w:rPr>
    </w:tblStylePr>
    <w:tblStylePr w:type="lastRow">
      <w:rPr>
        <w:b w:val="1"/>
        <w:bCs w:val="1"/>
      </w:rPr>
      <w:tcPr>
        <w:tcBorders>
          <w:top w:color="bfbfbf" w:space="0" w:sz="4" w:val="single"/>
        </w:tcBorders>
      </w:tcPr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+y1aJK38t189Z1X+IQX4oGF5qQ==">CgMxLjAyDmgueG8ybjc4ZzQ1cDhqMg5oLmx1MmJvcm5yMHAxZDIOaC5sdjB4cGs0emMzYXA4AHIhMVRnODEzcW0wS01iU2p2SGc0Yml6NnU4Y050ZUZHYlBy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2025-11-26T17:36:00Z</dcterms:created>
  <dc:creator>aleem h</dc:creator>
</cp:coreProperties>
</file>