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22488B">
      <w:pPr>
        <w:tabs>
          <w:tab w:val="left" w:pos="1373"/>
        </w:tabs>
        <w:spacing w:before="156" w:beforeLines="5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</w:rPr>
        <w:drawing>
          <wp:inline distT="0" distB="0" distL="114300" distR="114300">
            <wp:extent cx="4617720" cy="2639695"/>
            <wp:effectExtent l="0" t="0" r="5080" b="1905"/>
            <wp:docPr id="1" name="图片 1" descr="SF1-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F1-4.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3BDA">
      <w:pPr>
        <w:keepNext w:val="0"/>
        <w:keepLines w:val="0"/>
        <w:pageBreakBefore w:val="0"/>
        <w:widowControl w:val="0"/>
        <w:tabs>
          <w:tab w:val="left" w:pos="1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upplementary Fig.1|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Validation of transgenic components. (A)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PsBBML::cPsBBML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PsBBML::gPsBBML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; (B)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PsBBML::cPsBBML_MiMe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PsBBML::gPsBBML_MiMe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; (C)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AtEC1.2::gPsBBML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OsECA1::gPsBBML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;  (D)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AtEC1.2::gPsBBML_MiMe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  <w:lang w:val="en-US" w:eastAsia="zh-CN"/>
        </w:rPr>
        <w:t>OsECA1::gPsBBML_MiMe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. For each panel, the upper band represents the PCR amplicon using the primer pair BBML-TF/R, and the lower band represents the amplicon using the internal control primer pair Actin-TF/R. M, 2000 bp DNA marker; -, negative control (non-transgenic sample). Numbers above the lanes indicate independent transgenic lines (e.g., 1-18). </w:t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DF00A10">
      <w:pPr>
        <w:tabs>
          <w:tab w:val="left" w:pos="1373"/>
        </w:tabs>
        <w:spacing w:before="156" w:beforeLines="5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CBEE8FF">
      <w:pPr>
        <w:tabs>
          <w:tab w:val="left" w:pos="1373"/>
        </w:tabs>
        <w:spacing w:before="156" w:beforeLines="5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</w:rPr>
        <w:drawing>
          <wp:inline distT="0" distB="0" distL="114300" distR="114300">
            <wp:extent cx="3520440" cy="3752215"/>
            <wp:effectExtent l="0" t="0" r="10160" b="6985"/>
            <wp:docPr id="9" name="图片 9" descr="Supplementary Fig.2-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plementary Fig.2-5.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C4C7">
      <w:pPr>
        <w:tabs>
          <w:tab w:val="left" w:pos="1373"/>
        </w:tabs>
        <w:spacing w:before="156" w:beforeLines="5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Fig.2</w:t>
      </w:r>
      <w:r>
        <w:rPr>
          <w:rFonts w:ascii="Times New Roman" w:hAnsi="Times New Roman" w:cs="Times New Roman"/>
          <w:bCs/>
          <w:sz w:val="24"/>
          <w:szCs w:val="24"/>
        </w:rPr>
        <w:t xml:space="preserve">| </w:t>
      </w:r>
      <w:r>
        <w:rPr>
          <w:rFonts w:ascii="Times New Roman" w:hAnsi="Times New Roman" w:eastAsia="MS Mincho" w:cs="Times New Roman"/>
          <w:sz w:val="24"/>
          <w:szCs w:val="21"/>
          <w:lang w:eastAsia="ja-JP"/>
        </w:rPr>
        <w:t xml:space="preserve"> Phenotypic observation of clonal plants and wild-type CY927. </w:t>
      </w:r>
      <w:r>
        <w:rPr>
          <w:rFonts w:hint="eastAsia" w:ascii="Times New Roman" w:hAnsi="Times New Roman" w:eastAsia="宋体" w:cs="Times New Roman"/>
          <w:sz w:val="24"/>
          <w:szCs w:val="21"/>
        </w:rPr>
        <w:t>A</w:t>
      </w:r>
      <w:r>
        <w:rPr>
          <w:rFonts w:ascii="Times New Roman" w:hAnsi="Times New Roman" w:eastAsia="MS Mincho" w:cs="Times New Roman"/>
          <w:sz w:val="24"/>
          <w:szCs w:val="21"/>
          <w:lang w:eastAsia="ja-JP"/>
        </w:rPr>
        <w:t xml:space="preserve">) </w:t>
      </w:r>
      <w:r>
        <w:rPr>
          <w:rFonts w:hint="eastAsia" w:ascii="Times New Roman" w:hAnsi="Times New Roman" w:eastAsia="宋体" w:cs="Times New Roman"/>
          <w:sz w:val="24"/>
          <w:szCs w:val="21"/>
        </w:rPr>
        <w:t>T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1</w:t>
      </w:r>
      <w:r>
        <w:rPr>
          <w:rFonts w:hint="eastAsia" w:ascii="Times New Roman" w:hAnsi="Times New Roman" w:eastAsia="宋体" w:cs="Times New Roman"/>
          <w:sz w:val="24"/>
          <w:szCs w:val="21"/>
        </w:rPr>
        <w:t xml:space="preserve"> </w:t>
      </w:r>
      <w:r>
        <w:rPr>
          <w:rFonts w:ascii="Times New Roman" w:hAnsi="Times New Roman" w:eastAsia="MS Mincho" w:cs="Times New Roman"/>
          <w:sz w:val="24"/>
          <w:szCs w:val="21"/>
          <w:lang w:eastAsia="ja-JP"/>
        </w:rPr>
        <w:t>clonal plants and wild-type CY927.</w:t>
      </w:r>
      <w:r>
        <w:rPr>
          <w:rFonts w:hint="eastAsia" w:ascii="Times New Roman" w:hAnsi="Times New Roman" w:eastAsia="宋体" w:cs="Times New Roman"/>
          <w:sz w:val="24"/>
          <w:szCs w:val="21"/>
        </w:rPr>
        <w:t xml:space="preserve"> </w:t>
      </w:r>
      <w:r>
        <w:rPr>
          <w:rFonts w:ascii="Times New Roman" w:hAnsi="Times New Roman" w:eastAsia="MS Mincho" w:cs="Times New Roman"/>
          <w:sz w:val="24"/>
          <w:szCs w:val="21"/>
          <w:lang w:eastAsia="ja-JP"/>
        </w:rPr>
        <w:t>Scale bars correspond to 16 cm for plants and 4 cm for panicles.</w:t>
      </w:r>
      <w:r>
        <w:rPr>
          <w:rFonts w:hint="eastAsia" w:ascii="Times New Roman" w:hAnsi="Times New Roman" w:eastAsia="宋体" w:cs="Times New Roman"/>
          <w:sz w:val="24"/>
          <w:szCs w:val="21"/>
        </w:rPr>
        <w:t xml:space="preserve"> B</w:t>
      </w:r>
      <w:r>
        <w:rPr>
          <w:rFonts w:ascii="Times New Roman" w:hAnsi="Times New Roman" w:eastAsia="MS Mincho" w:cs="Times New Roman"/>
          <w:sz w:val="24"/>
          <w:szCs w:val="21"/>
          <w:lang w:eastAsia="ja-JP"/>
        </w:rPr>
        <w:t xml:space="preserve">) </w:t>
      </w:r>
      <w:r>
        <w:rPr>
          <w:rFonts w:hint="eastAsia" w:ascii="Times New Roman" w:hAnsi="Times New Roman" w:eastAsia="宋体" w:cs="Times New Roman"/>
          <w:sz w:val="24"/>
          <w:szCs w:val="21"/>
        </w:rPr>
        <w:t>T</w:t>
      </w:r>
      <w:r>
        <w:rPr>
          <w:rFonts w:hint="eastAsia" w:ascii="Times New Roman" w:hAnsi="Times New Roman" w:eastAsia="宋体" w:cs="Times New Roman"/>
          <w:sz w:val="24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 w:val="24"/>
          <w:szCs w:val="21"/>
        </w:rPr>
        <w:t xml:space="preserve"> </w:t>
      </w:r>
      <w:r>
        <w:rPr>
          <w:rFonts w:ascii="Times New Roman" w:hAnsi="Times New Roman" w:eastAsia="MS Mincho" w:cs="Times New Roman"/>
          <w:sz w:val="24"/>
          <w:szCs w:val="21"/>
          <w:lang w:eastAsia="ja-JP"/>
        </w:rPr>
        <w:t>clonal plants and wild-type CY927.</w:t>
      </w:r>
      <w:r>
        <w:rPr>
          <w:rFonts w:hint="eastAsia" w:ascii="Times New Roman" w:hAnsi="Times New Roman" w:eastAsia="宋体" w:cs="Times New Roman"/>
          <w:sz w:val="24"/>
          <w:szCs w:val="21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 xml:space="preserve">Scale bars correspond to </w:t>
      </w:r>
      <w:r>
        <w:rPr>
          <w:rFonts w:hint="eastAsia" w:ascii="Times New Roman" w:hAnsi="Times New Roman" w:eastAsia="宋体" w:cs="Times New Roman"/>
          <w:sz w:val="24"/>
          <w:szCs w:val="24"/>
        </w:rPr>
        <w:t>20</w:t>
      </w:r>
      <w:r>
        <w:rPr>
          <w:rFonts w:ascii="Times New Roman" w:hAnsi="Times New Roman" w:eastAsia="宋体" w:cs="Times New Roman"/>
          <w:sz w:val="24"/>
          <w:szCs w:val="24"/>
        </w:rPr>
        <w:t xml:space="preserve"> cm for plants and 4 cm for panicles.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464D5D9">
      <w:pPr>
        <w:tabs>
          <w:tab w:val="left" w:pos="1373"/>
        </w:tabs>
        <w:spacing w:before="156" w:beforeLines="50" w:line="360" w:lineRule="auto"/>
        <w:rPr>
          <w:rFonts w:ascii="Times New Roman" w:hAnsi="Times New Roman" w:cs="Times New Roman"/>
          <w:bCs/>
          <w:sz w:val="24"/>
          <w:szCs w:val="24"/>
          <w:lang w:eastAsia="ja-JP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Supplemental Table 1</w:t>
      </w:r>
      <w:r>
        <w:rPr>
          <w:rFonts w:hint="eastAsia" w:ascii="Times New Roman" w:hAnsi="Times New Roman" w:cs="Times New Roman"/>
          <w:bCs/>
          <w:sz w:val="24"/>
          <w:szCs w:val="24"/>
        </w:rPr>
        <w:t>| Table of seed setting rates in T</w:t>
      </w:r>
      <w:r>
        <w:rPr>
          <w:rFonts w:hint="eastAsia" w:ascii="Times New Roman" w:hAnsi="Times New Roman" w:cs="Times New Roman"/>
          <w:bCs/>
          <w:sz w:val="24"/>
          <w:szCs w:val="24"/>
          <w:vertAlign w:val="subscript"/>
        </w:rPr>
        <w:t>0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 plants</w:t>
      </w:r>
      <w:r>
        <w:rPr>
          <w:rFonts w:hint="eastAsia" w:ascii="Times New Roman" w:hAnsi="Times New Roman" w:cs="Times New Roman"/>
          <w:bCs/>
          <w:sz w:val="24"/>
          <w:szCs w:val="24"/>
          <w:lang w:eastAsia="ja-JP"/>
        </w:rPr>
        <w:t>.</w:t>
      </w:r>
    </w:p>
    <w:p w14:paraId="03F212D8">
      <w:pPr>
        <w:tabs>
          <w:tab w:val="left" w:pos="1373"/>
        </w:tabs>
        <w:spacing w:before="156" w:beforeLines="5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</w:rPr>
        <w:drawing>
          <wp:inline distT="0" distB="0" distL="114300" distR="114300">
            <wp:extent cx="5274310" cy="6363335"/>
            <wp:effectExtent l="0" t="0" r="8890" b="12065"/>
            <wp:docPr id="8" name="图片 8" descr="s-Tab1-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-Tab1-5.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301F">
      <w:pPr>
        <w:tabs>
          <w:tab w:val="left" w:pos="1373"/>
        </w:tabs>
        <w:spacing w:before="156" w:beforeLines="5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44F5054C">
      <w:pPr>
        <w:tabs>
          <w:tab w:val="left" w:pos="1373"/>
        </w:tabs>
        <w:spacing w:before="156" w:beforeLines="50" w:line="360" w:lineRule="auto"/>
        <w:rPr>
          <w:rFonts w:ascii="Times New Roman" w:hAnsi="Times New Roman" w:cs="Times New Roman"/>
          <w:bCs/>
          <w:sz w:val="24"/>
          <w:szCs w:val="24"/>
          <w:lang w:eastAsia="ja-JP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Supplemental Table 2</w:t>
      </w:r>
      <w:r>
        <w:rPr>
          <w:rFonts w:hint="eastAsia" w:ascii="Times New Roman" w:hAnsi="Times New Roman" w:cs="Times New Roman"/>
          <w:bCs/>
          <w:sz w:val="24"/>
          <w:szCs w:val="24"/>
        </w:rPr>
        <w:t>| Table of target gene mutation types in T</w:t>
      </w:r>
      <w:r>
        <w:rPr>
          <w:rFonts w:hint="eastAsia" w:ascii="Times New Roman" w:hAnsi="Times New Roman" w:cs="Times New Roman"/>
          <w:bCs/>
          <w:sz w:val="24"/>
          <w:szCs w:val="24"/>
          <w:vertAlign w:val="subscript"/>
        </w:rPr>
        <w:t>0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 plants</w:t>
      </w:r>
      <w:r>
        <w:rPr>
          <w:rFonts w:hint="eastAsia" w:ascii="Times New Roman" w:hAnsi="Times New Roman" w:cs="Times New Roman"/>
          <w:bCs/>
          <w:sz w:val="24"/>
          <w:szCs w:val="24"/>
          <w:lang w:eastAsia="ja-JP"/>
        </w:rPr>
        <w:t>.</w:t>
      </w:r>
    </w:p>
    <w:p w14:paraId="7FBD11A4">
      <w:pPr>
        <w:tabs>
          <w:tab w:val="left" w:pos="1373"/>
        </w:tabs>
        <w:spacing w:before="156" w:beforeLines="50" w:line="360" w:lineRule="auto"/>
        <w:jc w:val="left"/>
        <w:rPr>
          <w:rFonts w:ascii="Times New Roman" w:hAnsi="Times New Roman" w:cs="Times New Roman"/>
          <w:bCs/>
          <w:sz w:val="24"/>
          <w:szCs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Cs/>
          <w:sz w:val="24"/>
          <w:szCs w:val="24"/>
        </w:rPr>
        <w:drawing>
          <wp:inline distT="0" distB="0" distL="114300" distR="114300">
            <wp:extent cx="5272405" cy="7679690"/>
            <wp:effectExtent l="0" t="0" r="10795" b="3810"/>
            <wp:docPr id="7" name="图片 7" descr="s-T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-Ta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CFBC">
      <w:pPr>
        <w:tabs>
          <w:tab w:val="left" w:pos="1373"/>
        </w:tabs>
        <w:spacing w:before="156" w:beforeLines="5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Supplemental Table 3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| </w:t>
      </w:r>
      <w:r>
        <w:rPr>
          <w:rFonts w:hint="eastAsia" w:ascii="Times New Roman" w:hAnsi="Times New Roman" w:cs="Times New Roman"/>
          <w:bCs/>
          <w:sz w:val="24"/>
          <w:szCs w:val="24"/>
          <w:lang w:eastAsia="ja-JP"/>
        </w:rPr>
        <w:t>Description of sgRNA target sites and sequences.</w:t>
      </w:r>
    </w:p>
    <w:tbl>
      <w:tblPr>
        <w:tblW w:w="8305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0"/>
        <w:gridCol w:w="6395"/>
      </w:tblGrid>
      <w:tr w14:paraId="3D8A85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910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1DA808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Target name</w:t>
            </w:r>
          </w:p>
        </w:tc>
        <w:tc>
          <w:tcPr>
            <w:tcW w:w="6395" w:type="dxa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2BB7CF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Target sequences (5’-3’)</w:t>
            </w:r>
          </w:p>
        </w:tc>
      </w:tr>
      <w:tr w14:paraId="4FF4A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5DB3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sgRNA-OSD1-g1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997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rFonts w:eastAsia="宋体"/>
                <w:bdr w:val="none" w:color="auto" w:sz="0" w:space="0"/>
                <w:lang w:val="en-US" w:eastAsia="zh-CN" w:bidi="ar"/>
                <w14:ligatures w14:val="standardContextual"/>
              </w:rPr>
              <w:t>CTGCCGCCGACGAGCAACA</w:t>
            </w:r>
            <w:r>
              <w:rPr>
                <w:rStyle w:val="27"/>
                <w:rFonts w:eastAsia="宋体"/>
                <w:bdr w:val="none" w:color="auto" w:sz="0" w:space="0"/>
                <w:lang w:val="en-US" w:eastAsia="zh-CN" w:bidi="ar"/>
                <w14:ligatures w14:val="standardContextual"/>
              </w:rPr>
              <w:t>AGG</w:t>
            </w:r>
          </w:p>
        </w:tc>
      </w:tr>
      <w:tr w14:paraId="62483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58D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sgRNA-OSD1-g2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DCAF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rFonts w:eastAsia="宋体"/>
                <w:bdr w:val="none" w:color="auto" w:sz="0" w:space="0"/>
                <w:lang w:val="en-US" w:eastAsia="zh-CN" w:bidi="ar"/>
                <w14:ligatures w14:val="standardContextual"/>
              </w:rPr>
              <w:t>TTGACCGCCACGGCTCCCGG</w:t>
            </w:r>
            <w:r>
              <w:rPr>
                <w:rStyle w:val="27"/>
                <w:rFonts w:eastAsia="宋体"/>
                <w:bdr w:val="none" w:color="auto" w:sz="0" w:space="0"/>
                <w:lang w:val="en-US" w:eastAsia="zh-CN" w:bidi="ar"/>
                <w14:ligatures w14:val="standardContextual"/>
              </w:rPr>
              <w:t>CGG</w:t>
            </w:r>
          </w:p>
        </w:tc>
      </w:tr>
      <w:tr w14:paraId="249D3D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C14F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sgRNA-PAIR1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AC1C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rFonts w:eastAsia="宋体"/>
                <w:bdr w:val="none" w:color="auto" w:sz="0" w:space="0"/>
                <w:lang w:val="en-US" w:eastAsia="zh-CN" w:bidi="ar"/>
                <w14:ligatures w14:val="standardContextual"/>
              </w:rPr>
              <w:t>AAGCAACCCAGTGCACCGC</w:t>
            </w:r>
            <w:r>
              <w:rPr>
                <w:rStyle w:val="27"/>
                <w:rFonts w:eastAsia="宋体"/>
                <w:bdr w:val="none" w:color="auto" w:sz="0" w:space="0"/>
                <w:lang w:val="en-US" w:eastAsia="zh-CN" w:bidi="ar"/>
                <w14:ligatures w14:val="standardContextual"/>
              </w:rPr>
              <w:t>TGG</w:t>
            </w:r>
          </w:p>
        </w:tc>
      </w:tr>
      <w:tr w14:paraId="41197D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F5ACA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sgRNA-REC8</w:t>
            </w:r>
          </w:p>
        </w:tc>
        <w:tc>
          <w:tcPr>
            <w:tcW w:w="6395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83B0C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26"/>
                <w:rFonts w:eastAsia="宋体"/>
                <w:bdr w:val="none" w:color="auto" w:sz="0" w:space="0"/>
                <w:lang w:val="en-US" w:eastAsia="zh-CN" w:bidi="ar"/>
                <w14:ligatures w14:val="standardContextual"/>
              </w:rPr>
              <w:t>CGGAGAGCCTTAGTGCCAT</w:t>
            </w:r>
            <w:r>
              <w:rPr>
                <w:rStyle w:val="27"/>
                <w:rFonts w:eastAsia="宋体"/>
                <w:bdr w:val="none" w:color="auto" w:sz="0" w:space="0"/>
                <w:lang w:val="en-US" w:eastAsia="zh-CN" w:bidi="ar"/>
                <w14:ligatures w14:val="standardContextual"/>
              </w:rPr>
              <w:t>GGG</w:t>
            </w:r>
          </w:p>
        </w:tc>
      </w:tr>
    </w:tbl>
    <w:p w14:paraId="6F8350B0">
      <w:pPr>
        <w:tabs>
          <w:tab w:val="left" w:pos="1373"/>
        </w:tabs>
        <w:spacing w:before="156" w:beforeLines="5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</w:rPr>
        <w:t xml:space="preserve">The PAM motif of target sequence ia shown in red.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BBB6B92">
      <w:pPr>
        <w:tabs>
          <w:tab w:val="left" w:pos="1373"/>
        </w:tabs>
        <w:spacing w:before="156" w:beforeLines="50" w:line="360" w:lineRule="auto"/>
        <w:rPr>
          <w:rFonts w:ascii="Times New Roman" w:hAnsi="Times New Roman" w:cs="Times New Roman"/>
          <w:b/>
          <w:sz w:val="24"/>
          <w:szCs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001A8ECB">
      <w:pPr>
        <w:tabs>
          <w:tab w:val="left" w:pos="1373"/>
        </w:tabs>
        <w:spacing w:before="156" w:beforeLines="5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Supplemental Table 4</w:t>
      </w:r>
      <w:r>
        <w:rPr>
          <w:rFonts w:hint="eastAsia" w:ascii="Times New Roman" w:hAnsi="Times New Roman" w:cs="Times New Roman"/>
          <w:bCs/>
          <w:sz w:val="24"/>
          <w:szCs w:val="24"/>
        </w:rPr>
        <w:t>|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Cs/>
          <w:sz w:val="24"/>
          <w:szCs w:val="24"/>
        </w:rPr>
        <w:t>The primers were used in this study.</w:t>
      </w: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4584"/>
        <w:gridCol w:w="2442"/>
      </w:tblGrid>
      <w:tr w14:paraId="0ADB6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877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bottom"/>
          </w:tcPr>
          <w:p w14:paraId="61826D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Primer name</w:t>
            </w:r>
          </w:p>
        </w:tc>
        <w:tc>
          <w:tcPr>
            <w:tcW w:w="2689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210EE6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Primer sequences (5’-3’)</w:t>
            </w:r>
          </w:p>
        </w:tc>
        <w:tc>
          <w:tcPr>
            <w:tcW w:w="1432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FFFFFF"/>
            <w:noWrap/>
            <w:vAlign w:val="center"/>
          </w:tcPr>
          <w:p w14:paraId="31DDD0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Remarks</w:t>
            </w:r>
          </w:p>
        </w:tc>
      </w:tr>
      <w:tr w14:paraId="2DCAC6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C72A0A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PsBBML-PF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F1E6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ctgtcaaacactgatagtttggatccagccatgtctaaacgatca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CAE9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fragment amplification primers</w:t>
            </w:r>
          </w:p>
        </w:tc>
      </w:tr>
      <w:tr w14:paraId="280F02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990C5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AtEC1.2-PF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B333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ctgtcaaacactgatagtttaagcatttgcgtttggtttatcattgc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48E4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fragment amplification primers</w:t>
            </w:r>
          </w:p>
        </w:tc>
      </w:tr>
      <w:tr w14:paraId="49BAB0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ADD0E2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OsECA1-PF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C260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F1115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F1115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ctgtcaaaacactgatagttttatacatgggagtctagtgcaatattactcatgtttttgc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E259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fragment amplification primers</w:t>
            </w:r>
          </w:p>
        </w:tc>
      </w:tr>
      <w:tr w14:paraId="38A28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D2955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NOS-PR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9BC1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F1115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F1115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gtcgtttcccggccttcagtttaaacgatctagtaacatagatgac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53FC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fragment amplification primers</w:t>
            </w:r>
          </w:p>
        </w:tc>
      </w:tr>
      <w:tr w14:paraId="64A4F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153E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BBML-TF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FF711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GGGACACCAACCACTGTAAC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0BCF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Transgene detection</w:t>
            </w:r>
          </w:p>
        </w:tc>
      </w:tr>
      <w:tr w14:paraId="536862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A048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BBML-TR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802A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AGGTGGCAAGCAAGAATAGG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43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Transgene detection</w:t>
            </w:r>
          </w:p>
        </w:tc>
      </w:tr>
      <w:tr w14:paraId="2CFC08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B441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Actin-TF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0FCB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AGTGTCTGGATTGGAGGATCCATCT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2A7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Transgene detection</w:t>
            </w:r>
          </w:p>
        </w:tc>
      </w:tr>
      <w:tr w14:paraId="06B50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3CB0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Actin-TR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C7AE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TTTCCTGTGCACAATGGATGGG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4E2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Transgene detection</w:t>
            </w:r>
          </w:p>
        </w:tc>
      </w:tr>
      <w:tr w14:paraId="440DAC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6046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OSD1-HF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6D59E5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GGAGTGAGTACGGTGTGCTATCAGGAGGACGACGTCGCCG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7A95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Hi-TOM</w:t>
            </w:r>
          </w:p>
        </w:tc>
      </w:tr>
      <w:tr w14:paraId="378892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B0BF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OSD1-HR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86DD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GAGTTGGATGCTGAGTGGCCTCCTCCTCTTGGGTGTAGC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9C08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Hi-TOM</w:t>
            </w:r>
          </w:p>
        </w:tc>
      </w:tr>
      <w:tr w14:paraId="7B8AF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C6A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PAIR1-HF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FCAB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GGAGTGAGTA</w:t>
            </w:r>
            <w:bookmarkStart w:id="0" w:name="_GoBack"/>
            <w:bookmarkEnd w:id="0"/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CGGTGTGCCTTCTTGCGCGCGAAGAAGAGTCTC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0D36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Hi-TOM</w:t>
            </w:r>
          </w:p>
        </w:tc>
      </w:tr>
      <w:tr w14:paraId="0089F3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6D71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PAIR1-HR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43B613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GAGTTGGATGCTGAGTGGGAGATGTAGTGCGTGGGTCTTG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DC05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Hi-TOM</w:t>
            </w:r>
          </w:p>
        </w:tc>
      </w:tr>
      <w:tr w14:paraId="6A064F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FF3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REC8-HF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78790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GGAGTGAGTACGGTGTGCTTGGGTTAGTGAGGAGAT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95CD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Hi-TOM</w:t>
            </w:r>
          </w:p>
        </w:tc>
      </w:tr>
      <w:tr w14:paraId="30F0B7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1821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REC8-HR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B3C2F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GAGTTGGATGCTGAGTGGTGCGATCGGAACTATGGAGAC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F575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Hi-TOM</w:t>
            </w:r>
          </w:p>
        </w:tc>
      </w:tr>
      <w:tr w14:paraId="1A6602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F754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1-2F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0302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TGCTCTAGGCTGGGTTTAGT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C41E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1</w:t>
            </w:r>
          </w:p>
        </w:tc>
      </w:tr>
      <w:tr w14:paraId="7D21C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635B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1-2R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1E5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CTAACACACCGAAGCATCAC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2284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1</w:t>
            </w:r>
          </w:p>
        </w:tc>
      </w:tr>
      <w:tr w14:paraId="7E0210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A494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2-1F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CA8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CGTGGCCATCTTGTAGTG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51B1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2</w:t>
            </w:r>
          </w:p>
        </w:tc>
      </w:tr>
      <w:tr w14:paraId="5FC65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8FFF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2-1R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CF20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GCTGCAGTAGACAGAGAT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C0AD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2</w:t>
            </w:r>
          </w:p>
        </w:tc>
      </w:tr>
      <w:tr w14:paraId="77843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F3F1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3-1F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53C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CTTGCCCATCAGCCTATCAC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166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3</w:t>
            </w:r>
          </w:p>
        </w:tc>
      </w:tr>
      <w:tr w14:paraId="64C36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8149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3-1R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0252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ACACGTACACAGCCATGAGA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9DC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3</w:t>
            </w:r>
          </w:p>
        </w:tc>
      </w:tr>
      <w:tr w14:paraId="7D73D2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6BE1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4-1F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01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TGCCTCTTTCGAACGTATCC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23FE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4</w:t>
            </w:r>
          </w:p>
        </w:tc>
      </w:tr>
      <w:tr w14:paraId="76999B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75F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4-1R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2ECA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TAAGCTACGAGCAGTGGACA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9124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4</w:t>
            </w:r>
          </w:p>
        </w:tc>
      </w:tr>
      <w:tr w14:paraId="4EE15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5CA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5-1F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91F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ACAGCGATAATAACACGCACAA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F2C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5</w:t>
            </w:r>
          </w:p>
        </w:tc>
      </w:tr>
      <w:tr w14:paraId="341596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5374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5-1R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C071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TCAAGTGCTATACTTGACACGG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556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5</w:t>
            </w:r>
          </w:p>
        </w:tc>
      </w:tr>
      <w:tr w14:paraId="6AE55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890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6-1F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F70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CCATAAGATGCAGGCCGTTGT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66C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6</w:t>
            </w:r>
          </w:p>
        </w:tc>
      </w:tr>
      <w:tr w14:paraId="2458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AFA8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6-1R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437A6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CAGCTTTGGTCAGATGGTCAC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888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6</w:t>
            </w:r>
          </w:p>
        </w:tc>
      </w:tr>
      <w:tr w14:paraId="76F745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4224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7-1F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9D1CC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GATTTATAGTTTGAGTGTTTGC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6EEE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7</w:t>
            </w:r>
          </w:p>
        </w:tc>
      </w:tr>
      <w:tr w14:paraId="2967D9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5EB5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7-1R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3D3B5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CTTGGTTAGTTTCTACCCTGCT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76F4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7</w:t>
            </w:r>
          </w:p>
        </w:tc>
      </w:tr>
      <w:tr w14:paraId="22B27F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8A53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8-3F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1491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AGGTCTTCTGTCCAAGTTCA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1A87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8</w:t>
            </w:r>
          </w:p>
        </w:tc>
      </w:tr>
      <w:tr w14:paraId="60A7F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DD9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8-3R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B616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AACCATATAAACTCATCTGC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7AA0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8</w:t>
            </w:r>
          </w:p>
        </w:tc>
      </w:tr>
      <w:tr w14:paraId="1222C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5D6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9-1F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8CA6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ATTCTTGTGAGGACGGGAGG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3F98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9</w:t>
            </w:r>
          </w:p>
        </w:tc>
      </w:tr>
      <w:tr w14:paraId="36959E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7A92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9-1R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3772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GAGAGGCGGTTACCATCTGC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7E55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9</w:t>
            </w:r>
          </w:p>
        </w:tc>
      </w:tr>
      <w:tr w14:paraId="4C604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D2C3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10-1F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DB0B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GCGCATCCATGCATATCCAA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1B60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10</w:t>
            </w:r>
          </w:p>
        </w:tc>
      </w:tr>
      <w:tr w14:paraId="7536B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AE7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10-1R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333F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GACAAGGTGTTGCCCAAGAA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733D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10</w:t>
            </w:r>
          </w:p>
        </w:tc>
      </w:tr>
      <w:tr w14:paraId="26606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47F1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11-1F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A21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GGCATCATTAAGGCTTGT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ACF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11</w:t>
            </w:r>
          </w:p>
        </w:tc>
      </w:tr>
      <w:tr w14:paraId="6B005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A8C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11-1R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9468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CTGGCGATCTCTGTGAGG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D9D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11</w:t>
            </w:r>
          </w:p>
        </w:tc>
      </w:tr>
      <w:tr w14:paraId="738A1A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3C0D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12-1F</w:t>
            </w:r>
          </w:p>
        </w:tc>
        <w:tc>
          <w:tcPr>
            <w:tcW w:w="26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095F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GAGCAGATCACCCCTAAATTATG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09F1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12</w:t>
            </w:r>
          </w:p>
        </w:tc>
      </w:tr>
      <w:tr w14:paraId="239E6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87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6CC572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12-1R</w:t>
            </w:r>
          </w:p>
        </w:tc>
        <w:tc>
          <w:tcPr>
            <w:tcW w:w="268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12442D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GATTCATTCATCTTTCGAAGAG</w:t>
            </w:r>
          </w:p>
        </w:tc>
        <w:tc>
          <w:tcPr>
            <w:tcW w:w="143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/>
            <w:vAlign w:val="center"/>
          </w:tcPr>
          <w:p w14:paraId="5F16D2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  <w14:ligatures w14:val="standardContextual"/>
              </w:rPr>
              <w:t>Indel marker primer, on chromosomes 12</w:t>
            </w:r>
          </w:p>
        </w:tc>
      </w:tr>
    </w:tbl>
    <w:p w14:paraId="326B82AF">
      <w:pPr>
        <w:tabs>
          <w:tab w:val="left" w:pos="1373"/>
        </w:tabs>
        <w:spacing w:before="156" w:beforeLines="50" w:line="360" w:lineRule="auto"/>
        <w:jc w:val="left"/>
        <w:rPr>
          <w:rFonts w:hint="eastAsia"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Cs/>
          <w:sz w:val="24"/>
          <w:szCs w:val="24"/>
        </w:rPr>
        <w:instrText xml:space="preserve"> ADDIN </w:instrText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Cs/>
          <w:sz w:val="24"/>
          <w:szCs w:val="24"/>
        </w:rPr>
        <w:instrText xml:space="preserve"> ADDIN </w:instrText>
      </w:r>
      <w:r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ionPro-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E30C5"/>
    <w:rsid w:val="0016550E"/>
    <w:rsid w:val="001F2F44"/>
    <w:rsid w:val="00212D7A"/>
    <w:rsid w:val="00257710"/>
    <w:rsid w:val="003342BA"/>
    <w:rsid w:val="004C2AC7"/>
    <w:rsid w:val="006A4D5C"/>
    <w:rsid w:val="007951E0"/>
    <w:rsid w:val="007A4EA9"/>
    <w:rsid w:val="007B5A86"/>
    <w:rsid w:val="00846395"/>
    <w:rsid w:val="008E30C5"/>
    <w:rsid w:val="00930E23"/>
    <w:rsid w:val="009E06A0"/>
    <w:rsid w:val="00BF3F3A"/>
    <w:rsid w:val="00C43859"/>
    <w:rsid w:val="00D0176E"/>
    <w:rsid w:val="00F01BE3"/>
    <w:rsid w:val="00FB3521"/>
    <w:rsid w:val="049B5681"/>
    <w:rsid w:val="0BB768C7"/>
    <w:rsid w:val="11CC58BC"/>
    <w:rsid w:val="189E6100"/>
    <w:rsid w:val="1B645ED2"/>
    <w:rsid w:val="1C5A5409"/>
    <w:rsid w:val="223E69B9"/>
    <w:rsid w:val="245416F5"/>
    <w:rsid w:val="266A2AD5"/>
    <w:rsid w:val="2C8C3BC0"/>
    <w:rsid w:val="3A0C6C65"/>
    <w:rsid w:val="400B1FA5"/>
    <w:rsid w:val="46556412"/>
    <w:rsid w:val="468844DC"/>
    <w:rsid w:val="55821EC6"/>
    <w:rsid w:val="559A3265"/>
    <w:rsid w:val="58E72AE7"/>
    <w:rsid w:val="5FD81389"/>
    <w:rsid w:val="63B12A7F"/>
    <w:rsid w:val="679317B0"/>
    <w:rsid w:val="67F561F2"/>
    <w:rsid w:val="6AA62C27"/>
    <w:rsid w:val="6C992139"/>
    <w:rsid w:val="6F3237D5"/>
    <w:rsid w:val="6F5B773E"/>
    <w:rsid w:val="79A74F98"/>
    <w:rsid w:val="7BED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22"/>
    <w:semiHidden/>
    <w:unhideWhenUsed/>
    <w:qFormat/>
    <w:uiPriority w:val="99"/>
    <w:rPr>
      <w:b/>
      <w:bCs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20"/>
    <w:rPr>
      <w:i/>
    </w:rPr>
  </w:style>
  <w:style w:type="character" w:styleId="10">
    <w:name w:val="line number"/>
    <w:basedOn w:val="7"/>
    <w:semiHidden/>
    <w:unhideWhenUsed/>
    <w:qFormat/>
    <w:uiPriority w:val="99"/>
  </w:style>
  <w:style w:type="character" w:styleId="11">
    <w:name w:val="Hyperlink"/>
    <w:basedOn w:val="7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13">
    <w:name w:val="fontstyle01"/>
    <w:basedOn w:val="7"/>
    <w:qFormat/>
    <w:uiPriority w:val="0"/>
    <w:rPr>
      <w:rFonts w:hint="default" w:ascii="MinionPro-Regular" w:hAnsi="MinionPro-Regular"/>
      <w:color w:val="000000"/>
      <w:sz w:val="20"/>
      <w:szCs w:val="20"/>
    </w:rPr>
  </w:style>
  <w:style w:type="paragraph" w:customStyle="1" w:styleId="14">
    <w:name w:val="EndNote Bibliography Title"/>
    <w:basedOn w:val="1"/>
    <w:link w:val="15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15">
    <w:name w:val="EndNote Bibliography Title 字符"/>
    <w:basedOn w:val="7"/>
    <w:link w:val="14"/>
    <w:qFormat/>
    <w:uiPriority w:val="0"/>
    <w:rPr>
      <w:rFonts w:ascii="等线" w:hAnsi="等线" w:eastAsia="等线"/>
      <w:sz w:val="20"/>
    </w:rPr>
  </w:style>
  <w:style w:type="paragraph" w:customStyle="1" w:styleId="16">
    <w:name w:val="EndNote Bibliography"/>
    <w:basedOn w:val="1"/>
    <w:link w:val="17"/>
    <w:qFormat/>
    <w:uiPriority w:val="0"/>
    <w:rPr>
      <w:rFonts w:ascii="等线" w:hAnsi="等线" w:eastAsia="等线"/>
      <w:sz w:val="20"/>
    </w:rPr>
  </w:style>
  <w:style w:type="character" w:customStyle="1" w:styleId="17">
    <w:name w:val="EndNote Bibliography 字符"/>
    <w:basedOn w:val="7"/>
    <w:link w:val="16"/>
    <w:qFormat/>
    <w:uiPriority w:val="0"/>
    <w:rPr>
      <w:rFonts w:ascii="等线" w:hAnsi="等线" w:eastAsia="等线"/>
      <w:sz w:val="20"/>
    </w:rPr>
  </w:style>
  <w:style w:type="character" w:customStyle="1" w:styleId="1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20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21">
    <w:name w:val="批注文字 字符"/>
    <w:basedOn w:val="7"/>
    <w:link w:val="2"/>
    <w:semiHidden/>
    <w:qFormat/>
    <w:uiPriority w:val="99"/>
  </w:style>
  <w:style w:type="character" w:customStyle="1" w:styleId="22">
    <w:name w:val="批注主题 字符"/>
    <w:basedOn w:val="21"/>
    <w:link w:val="5"/>
    <w:semiHidden/>
    <w:qFormat/>
    <w:uiPriority w:val="99"/>
    <w:rPr>
      <w:b/>
      <w:bCs/>
    </w:rPr>
  </w:style>
  <w:style w:type="character" w:customStyle="1" w:styleId="23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25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26">
    <w:name w:val="font21"/>
    <w:basedOn w:val="7"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27">
    <w:name w:val="font31"/>
    <w:basedOn w:val="7"/>
    <w:uiPriority w:val="0"/>
    <w:rPr>
      <w:rFonts w:hint="default" w:ascii="Arial" w:hAnsi="Arial" w:cs="Arial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E8EDB-C5AF-4A73-BE05-269F80D2C9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174</Words>
  <Characters>1010</Characters>
  <Lines>56</Lines>
  <Paragraphs>15</Paragraphs>
  <TotalTime>12</TotalTime>
  <ScaleCrop>false</ScaleCrop>
  <LinksUpToDate>false</LinksUpToDate>
  <CharactersWithSpaces>1182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2026-05-11T07:32:00Z</dcterms:created>
  <dc:creator>jinpeng zou</dc:creator>
  <cp:lastModifiedBy>Jerry Xiong</cp:lastModifiedBy>
  <dcterms:modified xsi:type="dcterms:W3CDTF">2026-05-12T02:48:14Z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eyJoZGlkIjoiMGMyYWEwYjc1YjZiNTMxYjJiNmE4ZWM2YTAzZmU0ZWIiLCJ1c2VySWQiOiIyOTY3NzQzNTkifQ==</vt:lpwstr>
  </property>
  <property fmtid="{D5CDD505-2E9C-101B-9397-08002B2CF9AE}" pid="3" name="KSOProductBuildVer">
    <vt:lpwstr>2052-12.1.0.26375</vt:lpwstr>
  </property>
  <property fmtid="{D5CDD505-2E9C-101B-9397-08002B2CF9AE}" pid="4" name="ICV">
    <vt:lpwstr>25096514994C401A830AE2FC6F512EC1_13</vt:lpwstr>
  </property>
</Properties>
</file>