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FBFE74" w14:textId="43AF0CFC" w:rsidR="005F13C8" w:rsidRPr="00CB2E46" w:rsidRDefault="003B742B" w:rsidP="006C2A11">
      <w:pPr>
        <w:rPr>
          <w:i/>
          <w:iCs/>
          <w:sz w:val="36"/>
          <w:szCs w:val="40"/>
        </w:rPr>
      </w:pPr>
      <w:r w:rsidRPr="00CB2E46">
        <w:rPr>
          <w:i/>
          <w:iCs/>
          <w:sz w:val="36"/>
          <w:szCs w:val="40"/>
        </w:rPr>
        <w:t>Supplemental Information for</w:t>
      </w:r>
      <w:r w:rsidR="00224390">
        <w:rPr>
          <w:i/>
          <w:iCs/>
          <w:sz w:val="36"/>
          <w:szCs w:val="40"/>
        </w:rPr>
        <w:t>:</w:t>
      </w:r>
      <w:r w:rsidRPr="00CB2E46">
        <w:rPr>
          <w:i/>
          <w:iCs/>
          <w:sz w:val="36"/>
          <w:szCs w:val="40"/>
        </w:rPr>
        <w:t xml:space="preserve"> </w:t>
      </w:r>
    </w:p>
    <w:p w14:paraId="04F0835F" w14:textId="77777777" w:rsidR="003B742B" w:rsidRDefault="003B742B" w:rsidP="006C2A11"/>
    <w:p w14:paraId="316D5167" w14:textId="77777777" w:rsidR="003B742B" w:rsidRPr="006061B8" w:rsidRDefault="003B742B" w:rsidP="003B742B">
      <w:pPr>
        <w:rPr>
          <w:i/>
          <w:iCs/>
          <w:sz w:val="28"/>
          <w:szCs w:val="32"/>
        </w:rPr>
      </w:pPr>
      <w:r w:rsidRPr="006061B8">
        <w:rPr>
          <w:b/>
          <w:bCs/>
          <w:sz w:val="36"/>
          <w:szCs w:val="40"/>
        </w:rPr>
        <w:t>Satellite-derived methane emissions reveal persistent gaps in global oil and gas mitigation performance</w:t>
      </w:r>
    </w:p>
    <w:p w14:paraId="49D8AFD0" w14:textId="77777777" w:rsidR="003B742B" w:rsidRDefault="003B742B" w:rsidP="003B742B">
      <w:pPr>
        <w:rPr>
          <w:b/>
          <w:bCs/>
          <w:sz w:val="28"/>
          <w:szCs w:val="32"/>
        </w:rPr>
      </w:pPr>
    </w:p>
    <w:p w14:paraId="14FA3CA4" w14:textId="77777777" w:rsidR="004160F9" w:rsidRDefault="004160F9" w:rsidP="004160F9">
      <w:pPr>
        <w:rPr>
          <w:rFonts w:cs="Arial"/>
          <w:sz w:val="24"/>
        </w:rPr>
      </w:pPr>
      <w:r>
        <w:rPr>
          <w:rFonts w:cs="Arial"/>
          <w:sz w:val="24"/>
        </w:rPr>
        <w:t>Mark Omara</w:t>
      </w:r>
      <w:r w:rsidRPr="001B508A">
        <w:rPr>
          <w:rFonts w:cs="Arial"/>
          <w:sz w:val="24"/>
          <w:vertAlign w:val="superscript"/>
        </w:rPr>
        <w:t>1,2</w:t>
      </w:r>
      <w:r>
        <w:rPr>
          <w:rFonts w:cs="Arial"/>
          <w:sz w:val="24"/>
        </w:rPr>
        <w:t>, James P. Williams</w:t>
      </w:r>
      <w:r w:rsidRPr="001B508A">
        <w:rPr>
          <w:rFonts w:cs="Arial"/>
          <w:sz w:val="24"/>
          <w:vertAlign w:val="superscript"/>
        </w:rPr>
        <w:t>1,2</w:t>
      </w:r>
      <w:r>
        <w:rPr>
          <w:rFonts w:cs="Arial"/>
          <w:sz w:val="24"/>
        </w:rPr>
        <w:t>, Anthony Himmelberger</w:t>
      </w:r>
      <w:r w:rsidRPr="001B508A">
        <w:rPr>
          <w:rFonts w:cs="Arial"/>
          <w:sz w:val="24"/>
          <w:vertAlign w:val="superscript"/>
        </w:rPr>
        <w:t>2</w:t>
      </w:r>
      <w:r>
        <w:rPr>
          <w:rFonts w:cs="Arial"/>
          <w:sz w:val="24"/>
        </w:rPr>
        <w:t>, Kaiya Weatherby</w:t>
      </w:r>
      <w:r w:rsidRPr="001B508A">
        <w:rPr>
          <w:rFonts w:cs="Arial"/>
          <w:sz w:val="24"/>
          <w:vertAlign w:val="superscript"/>
        </w:rPr>
        <w:t>1,2</w:t>
      </w:r>
      <w:r>
        <w:rPr>
          <w:rFonts w:cs="Arial"/>
          <w:sz w:val="24"/>
        </w:rPr>
        <w:t>, Ben Lyke</w:t>
      </w:r>
      <w:r w:rsidRPr="001B508A">
        <w:rPr>
          <w:rFonts w:cs="Arial"/>
          <w:sz w:val="24"/>
          <w:vertAlign w:val="superscript"/>
        </w:rPr>
        <w:t>1,2</w:t>
      </w:r>
      <w:r>
        <w:rPr>
          <w:rFonts w:cs="Arial"/>
          <w:sz w:val="24"/>
        </w:rPr>
        <w:t>, Jack Warren</w:t>
      </w:r>
      <w:r w:rsidRPr="001B508A">
        <w:rPr>
          <w:rFonts w:cs="Arial"/>
          <w:sz w:val="24"/>
          <w:vertAlign w:val="superscript"/>
        </w:rPr>
        <w:t>1,2</w:t>
      </w:r>
      <w:r>
        <w:rPr>
          <w:rFonts w:cs="Arial"/>
          <w:sz w:val="24"/>
        </w:rPr>
        <w:t>, Katlyn MacKay</w:t>
      </w:r>
      <w:r w:rsidRPr="001B508A">
        <w:rPr>
          <w:rFonts w:cs="Arial"/>
          <w:sz w:val="24"/>
          <w:vertAlign w:val="superscript"/>
        </w:rPr>
        <w:t>1,2</w:t>
      </w:r>
      <w:r>
        <w:rPr>
          <w:rFonts w:cs="Arial"/>
          <w:sz w:val="24"/>
        </w:rPr>
        <w:t>, Luis Guanter</w:t>
      </w:r>
      <w:r w:rsidRPr="001B508A">
        <w:rPr>
          <w:rFonts w:cs="Arial"/>
          <w:sz w:val="24"/>
          <w:vertAlign w:val="superscript"/>
        </w:rPr>
        <w:t>1,3</w:t>
      </w:r>
      <w:r>
        <w:rPr>
          <w:rFonts w:cs="Arial"/>
          <w:sz w:val="24"/>
        </w:rPr>
        <w:t>, Joshua Benmergui</w:t>
      </w:r>
      <w:r w:rsidRPr="001B508A">
        <w:rPr>
          <w:rFonts w:cs="Arial"/>
          <w:sz w:val="24"/>
          <w:vertAlign w:val="superscript"/>
        </w:rPr>
        <w:t>1,2,4</w:t>
      </w:r>
      <w:r>
        <w:rPr>
          <w:rFonts w:cs="Arial"/>
          <w:sz w:val="24"/>
        </w:rPr>
        <w:t>, Marvin Knapp</w:t>
      </w:r>
      <w:r w:rsidRPr="001B508A">
        <w:rPr>
          <w:rFonts w:cs="Arial"/>
          <w:sz w:val="24"/>
          <w:vertAlign w:val="superscript"/>
        </w:rPr>
        <w:t>1,2</w:t>
      </w:r>
      <w:r>
        <w:rPr>
          <w:rFonts w:cs="Arial"/>
          <w:sz w:val="24"/>
          <w:vertAlign w:val="superscript"/>
        </w:rPr>
        <w:t>,4</w:t>
      </w:r>
      <w:r>
        <w:rPr>
          <w:rFonts w:cs="Arial"/>
          <w:sz w:val="24"/>
        </w:rPr>
        <w:t>, Christopher C. Miller</w:t>
      </w:r>
      <w:r w:rsidRPr="001B508A">
        <w:rPr>
          <w:rFonts w:cs="Arial"/>
          <w:sz w:val="24"/>
          <w:vertAlign w:val="superscript"/>
        </w:rPr>
        <w:t>1,2</w:t>
      </w:r>
      <w:r>
        <w:rPr>
          <w:rFonts w:cs="Arial"/>
          <w:sz w:val="24"/>
          <w:vertAlign w:val="superscript"/>
        </w:rPr>
        <w:t>,4</w:t>
      </w:r>
      <w:r>
        <w:rPr>
          <w:rFonts w:cs="Arial"/>
          <w:sz w:val="24"/>
        </w:rPr>
        <w:t xml:space="preserve">, </w:t>
      </w:r>
      <w:proofErr w:type="spellStart"/>
      <w:r>
        <w:rPr>
          <w:rFonts w:cs="Arial"/>
          <w:sz w:val="24"/>
        </w:rPr>
        <w:t>Sèbastien</w:t>
      </w:r>
      <w:proofErr w:type="spellEnd"/>
      <w:r>
        <w:rPr>
          <w:rFonts w:cs="Arial"/>
          <w:sz w:val="24"/>
        </w:rPr>
        <w:t xml:space="preserve"> Roche</w:t>
      </w:r>
      <w:r w:rsidRPr="001B508A">
        <w:rPr>
          <w:rFonts w:cs="Arial"/>
          <w:sz w:val="24"/>
          <w:vertAlign w:val="superscript"/>
        </w:rPr>
        <w:t>1,2</w:t>
      </w:r>
      <w:r>
        <w:rPr>
          <w:rFonts w:cs="Arial"/>
          <w:sz w:val="24"/>
          <w:vertAlign w:val="superscript"/>
        </w:rPr>
        <w:t>,4</w:t>
      </w:r>
      <w:r>
        <w:rPr>
          <w:rFonts w:cs="Arial"/>
          <w:sz w:val="24"/>
        </w:rPr>
        <w:t xml:space="preserve">, Jonathan </w:t>
      </w:r>
      <w:r w:rsidRPr="00F1376A">
        <w:rPr>
          <w:rFonts w:cs="Arial"/>
          <w:sz w:val="24"/>
        </w:rPr>
        <w:t>Franklin</w:t>
      </w:r>
      <w:r w:rsidRPr="00F1376A">
        <w:rPr>
          <w:rFonts w:cs="Arial"/>
          <w:sz w:val="24"/>
          <w:vertAlign w:val="superscript"/>
        </w:rPr>
        <w:t>4</w:t>
      </w:r>
      <w:r>
        <w:rPr>
          <w:rFonts w:cs="Arial"/>
          <w:sz w:val="24"/>
        </w:rPr>
        <w:t xml:space="preserve">, </w:t>
      </w:r>
      <w:r w:rsidRPr="00F1376A">
        <w:rPr>
          <w:rFonts w:cs="Arial"/>
          <w:sz w:val="24"/>
        </w:rPr>
        <w:t>Steven</w:t>
      </w:r>
      <w:r>
        <w:rPr>
          <w:rFonts w:cs="Arial"/>
          <w:sz w:val="24"/>
        </w:rPr>
        <w:t xml:space="preserve"> P. Hamburg</w:t>
      </w:r>
      <w:r w:rsidRPr="001B508A">
        <w:rPr>
          <w:rFonts w:cs="Arial"/>
          <w:sz w:val="24"/>
          <w:vertAlign w:val="superscript"/>
        </w:rPr>
        <w:t>1,2</w:t>
      </w:r>
      <w:r>
        <w:rPr>
          <w:rFonts w:cs="Arial"/>
          <w:sz w:val="24"/>
        </w:rPr>
        <w:t>, Steven C. Wofsy</w:t>
      </w:r>
      <w:r w:rsidRPr="00077EEA">
        <w:rPr>
          <w:rFonts w:cs="Arial"/>
          <w:sz w:val="24"/>
          <w:vertAlign w:val="superscript"/>
        </w:rPr>
        <w:t>4</w:t>
      </w:r>
      <w:r>
        <w:rPr>
          <w:rFonts w:cs="Arial"/>
          <w:sz w:val="24"/>
        </w:rPr>
        <w:t>, Ritesh Gautam</w:t>
      </w:r>
      <w:r w:rsidRPr="001B508A">
        <w:rPr>
          <w:rFonts w:cs="Arial"/>
          <w:sz w:val="24"/>
          <w:vertAlign w:val="superscript"/>
        </w:rPr>
        <w:t>1,2</w:t>
      </w:r>
      <w:r>
        <w:rPr>
          <w:rFonts w:cs="Arial"/>
          <w:sz w:val="24"/>
          <w:vertAlign w:val="superscript"/>
        </w:rPr>
        <w:t xml:space="preserve"> </w:t>
      </w:r>
      <w:r>
        <w:rPr>
          <w:rFonts w:cs="Arial"/>
          <w:sz w:val="24"/>
        </w:rPr>
        <w:t xml:space="preserve"> </w:t>
      </w:r>
    </w:p>
    <w:p w14:paraId="6F06C95A" w14:textId="77777777" w:rsidR="003B742B" w:rsidRDefault="003B742B" w:rsidP="006C2A11"/>
    <w:p w14:paraId="70E057D3" w14:textId="77777777" w:rsidR="00FD166E" w:rsidRPr="004B4EB7" w:rsidRDefault="00FD166E" w:rsidP="00FD166E">
      <w:pPr>
        <w:rPr>
          <w:rFonts w:cs="Arial"/>
          <w:szCs w:val="22"/>
        </w:rPr>
      </w:pPr>
      <w:r w:rsidRPr="004B4EB7">
        <w:rPr>
          <w:rFonts w:cs="Arial"/>
          <w:szCs w:val="22"/>
          <w:vertAlign w:val="superscript"/>
        </w:rPr>
        <w:t xml:space="preserve">1 </w:t>
      </w:r>
      <w:r w:rsidRPr="004B4EB7">
        <w:rPr>
          <w:rFonts w:cs="Arial"/>
          <w:szCs w:val="22"/>
        </w:rPr>
        <w:t>Environmental Defense Fund, New York, NY 10010, USA</w:t>
      </w:r>
    </w:p>
    <w:p w14:paraId="69961A9B" w14:textId="77777777" w:rsidR="00FD166E" w:rsidRPr="004B4EB7" w:rsidRDefault="00FD166E" w:rsidP="00FD166E">
      <w:pPr>
        <w:rPr>
          <w:rFonts w:cs="Arial"/>
          <w:szCs w:val="22"/>
        </w:rPr>
      </w:pPr>
      <w:r w:rsidRPr="004B4EB7">
        <w:rPr>
          <w:rFonts w:cs="Arial"/>
          <w:szCs w:val="22"/>
          <w:vertAlign w:val="superscript"/>
        </w:rPr>
        <w:t xml:space="preserve">2 </w:t>
      </w:r>
      <w:r w:rsidRPr="004B4EB7">
        <w:rPr>
          <w:rFonts w:cs="Arial"/>
          <w:szCs w:val="22"/>
        </w:rPr>
        <w:t>MethaneSAT, LLC, Austin, TX 78701, USA</w:t>
      </w:r>
    </w:p>
    <w:p w14:paraId="3E87AE4F" w14:textId="77777777" w:rsidR="00FD166E" w:rsidRPr="004B4EB7" w:rsidRDefault="00FD166E" w:rsidP="00FD166E">
      <w:pPr>
        <w:rPr>
          <w:rFonts w:cs="Arial"/>
          <w:szCs w:val="22"/>
        </w:rPr>
      </w:pPr>
      <w:r w:rsidRPr="004B4EB7">
        <w:rPr>
          <w:rFonts w:cs="Arial"/>
          <w:szCs w:val="22"/>
          <w:vertAlign w:val="superscript"/>
        </w:rPr>
        <w:t xml:space="preserve">3 </w:t>
      </w:r>
      <w:r w:rsidRPr="004B4EB7">
        <w:rPr>
          <w:rFonts w:cs="Arial"/>
          <w:szCs w:val="22"/>
        </w:rPr>
        <w:t xml:space="preserve">Research Institute of Water and Environmental Engineering (IIAMA), </w:t>
      </w:r>
      <w:proofErr w:type="spellStart"/>
      <w:r w:rsidRPr="004B4EB7">
        <w:rPr>
          <w:rFonts w:cs="Arial"/>
          <w:szCs w:val="22"/>
        </w:rPr>
        <w:t>Universitat</w:t>
      </w:r>
      <w:proofErr w:type="spellEnd"/>
      <w:r w:rsidRPr="004B4EB7">
        <w:rPr>
          <w:rFonts w:cs="Arial"/>
          <w:szCs w:val="22"/>
        </w:rPr>
        <w:t xml:space="preserve"> </w:t>
      </w:r>
      <w:proofErr w:type="spellStart"/>
      <w:r w:rsidRPr="004B4EB7">
        <w:rPr>
          <w:rFonts w:cs="Arial"/>
          <w:szCs w:val="22"/>
        </w:rPr>
        <w:t>Politecnica</w:t>
      </w:r>
      <w:proofErr w:type="spellEnd"/>
      <w:r w:rsidRPr="004B4EB7">
        <w:rPr>
          <w:rFonts w:cs="Arial"/>
          <w:szCs w:val="22"/>
        </w:rPr>
        <w:t xml:space="preserve"> de Valencia, Valencia, Spain</w:t>
      </w:r>
    </w:p>
    <w:p w14:paraId="7636EC28" w14:textId="77777777" w:rsidR="00FD166E" w:rsidRPr="004B4EB7" w:rsidRDefault="00FD166E" w:rsidP="00FD166E">
      <w:pPr>
        <w:rPr>
          <w:rFonts w:cs="Arial"/>
          <w:szCs w:val="22"/>
        </w:rPr>
      </w:pPr>
      <w:r w:rsidRPr="004B4EB7">
        <w:rPr>
          <w:rFonts w:cs="Arial"/>
          <w:szCs w:val="22"/>
          <w:vertAlign w:val="superscript"/>
        </w:rPr>
        <w:t xml:space="preserve">4 </w:t>
      </w:r>
      <w:r w:rsidRPr="004B4EB7">
        <w:rPr>
          <w:rFonts w:cs="Arial"/>
          <w:szCs w:val="22"/>
        </w:rPr>
        <w:t>Harvard John A. Paulson School of Engineering and Applied Sciences, Harvard University, Cambridge, MA 02138, USA</w:t>
      </w:r>
    </w:p>
    <w:p w14:paraId="340EA41B" w14:textId="77777777" w:rsidR="00FD166E" w:rsidRPr="004B4EB7" w:rsidRDefault="00FD166E" w:rsidP="00FD166E">
      <w:pPr>
        <w:rPr>
          <w:rFonts w:cs="Arial"/>
          <w:szCs w:val="22"/>
        </w:rPr>
      </w:pPr>
    </w:p>
    <w:p w14:paraId="30BA771A" w14:textId="77777777" w:rsidR="00FD166E" w:rsidRPr="00F1376A" w:rsidRDefault="00FD166E" w:rsidP="00FD166E">
      <w:pPr>
        <w:rPr>
          <w:rFonts w:cs="Arial"/>
          <w:sz w:val="24"/>
        </w:rPr>
      </w:pPr>
      <w:r w:rsidRPr="00F1376A">
        <w:rPr>
          <w:rFonts w:cs="Arial"/>
          <w:i/>
          <w:iCs/>
          <w:szCs w:val="22"/>
        </w:rPr>
        <w:t>Correspondence to:</w:t>
      </w:r>
      <w:r w:rsidRPr="00F1376A">
        <w:rPr>
          <w:rFonts w:cs="Arial"/>
          <w:szCs w:val="22"/>
        </w:rPr>
        <w:t xml:space="preserve"> Mark Omara (</w:t>
      </w:r>
      <w:hyperlink r:id="rId10" w:history="1">
        <w:r w:rsidRPr="00F1376A">
          <w:rPr>
            <w:rStyle w:val="Hyperlink"/>
            <w:rFonts w:cs="Arial"/>
            <w:szCs w:val="22"/>
          </w:rPr>
          <w:t>momara@edf.org</w:t>
        </w:r>
      </w:hyperlink>
      <w:r w:rsidRPr="00F1376A">
        <w:rPr>
          <w:rFonts w:cs="Arial"/>
          <w:szCs w:val="22"/>
        </w:rPr>
        <w:t>)</w:t>
      </w:r>
    </w:p>
    <w:p w14:paraId="79E44824" w14:textId="77777777" w:rsidR="00FD166E" w:rsidRDefault="00FD166E" w:rsidP="006C2A11"/>
    <w:p w14:paraId="6116C4B2" w14:textId="77777777" w:rsidR="00CB2E46" w:rsidRDefault="00CB2E46" w:rsidP="006C2A11"/>
    <w:p w14:paraId="36765976" w14:textId="520EBFC6" w:rsidR="00CB2E46" w:rsidRDefault="00CB2E46" w:rsidP="006C2A11">
      <w:pPr>
        <w:rPr>
          <w:sz w:val="28"/>
          <w:szCs w:val="32"/>
        </w:rPr>
      </w:pPr>
      <w:r w:rsidRPr="00CB2E46">
        <w:rPr>
          <w:b/>
          <w:bCs/>
          <w:sz w:val="28"/>
          <w:szCs w:val="32"/>
        </w:rPr>
        <w:t>Supplementary Note 1:</w:t>
      </w:r>
      <w:r w:rsidRPr="00CB2E46">
        <w:rPr>
          <w:sz w:val="28"/>
          <w:szCs w:val="32"/>
        </w:rPr>
        <w:t xml:space="preserve"> Alternate methodology for the sectoral attribution of </w:t>
      </w:r>
      <w:r>
        <w:rPr>
          <w:sz w:val="28"/>
          <w:szCs w:val="32"/>
        </w:rPr>
        <w:t xml:space="preserve">spatially explicit </w:t>
      </w:r>
      <w:r w:rsidRPr="00CB2E46">
        <w:rPr>
          <w:sz w:val="28"/>
          <w:szCs w:val="32"/>
        </w:rPr>
        <w:t xml:space="preserve">MethaneSAT </w:t>
      </w:r>
      <w:r>
        <w:rPr>
          <w:sz w:val="28"/>
          <w:szCs w:val="32"/>
        </w:rPr>
        <w:t>methane</w:t>
      </w:r>
      <w:r w:rsidRPr="00CB2E46">
        <w:rPr>
          <w:sz w:val="28"/>
          <w:szCs w:val="32"/>
        </w:rPr>
        <w:t xml:space="preserve"> emissions </w:t>
      </w:r>
    </w:p>
    <w:p w14:paraId="6BBE1085" w14:textId="77777777" w:rsidR="00CB2E46" w:rsidRDefault="00CB2E46" w:rsidP="006C2A11">
      <w:pPr>
        <w:rPr>
          <w:sz w:val="28"/>
          <w:szCs w:val="32"/>
        </w:rPr>
      </w:pPr>
    </w:p>
    <w:p w14:paraId="10554C22" w14:textId="3C56A820" w:rsidR="00CB2E46" w:rsidRDefault="00CB2E46" w:rsidP="00CB2E46">
      <w:pPr>
        <w:rPr>
          <w:sz w:val="24"/>
        </w:rPr>
      </w:pPr>
      <w:r w:rsidRPr="02BD3B18">
        <w:rPr>
          <w:sz w:val="24"/>
        </w:rPr>
        <w:t xml:space="preserve">We adapt the procedure outlined in Shen et </w:t>
      </w:r>
      <w:r w:rsidRPr="00D118CD">
        <w:rPr>
          <w:sz w:val="24"/>
        </w:rPr>
        <w:t>al.</w:t>
      </w:r>
      <w:r w:rsidRPr="00D118CD">
        <w:rPr>
          <w:sz w:val="24"/>
          <w:vertAlign w:val="superscript"/>
        </w:rPr>
        <w:t>1</w:t>
      </w:r>
      <w:r w:rsidRPr="00D118CD">
        <w:rPr>
          <w:sz w:val="24"/>
        </w:rPr>
        <w:t xml:space="preserve"> to proportionally scale </w:t>
      </w:r>
      <w:proofErr w:type="spellStart"/>
      <w:r w:rsidR="00953A14" w:rsidRPr="00D118CD">
        <w:rPr>
          <w:sz w:val="24"/>
        </w:rPr>
        <w:t>MethaneSAT’s</w:t>
      </w:r>
      <w:proofErr w:type="spellEnd"/>
      <w:r w:rsidR="00953A14" w:rsidRPr="00D118CD">
        <w:rPr>
          <w:sz w:val="24"/>
        </w:rPr>
        <w:t xml:space="preserve"> </w:t>
      </w:r>
      <w:r w:rsidRPr="00D118CD">
        <w:rPr>
          <w:sz w:val="24"/>
        </w:rPr>
        <w:t xml:space="preserve">spatially explicit methane emissions to individual source sectors, using a Monte Carlo ensemble approach. We use the </w:t>
      </w:r>
      <w:proofErr w:type="spellStart"/>
      <w:proofErr w:type="gramStart"/>
      <w:r w:rsidRPr="00D118CD">
        <w:rPr>
          <w:sz w:val="24"/>
        </w:rPr>
        <w:t>sectorally</w:t>
      </w:r>
      <w:proofErr w:type="spellEnd"/>
      <w:r w:rsidRPr="00D118CD">
        <w:rPr>
          <w:sz w:val="24"/>
        </w:rPr>
        <w:t>-resolved</w:t>
      </w:r>
      <w:proofErr w:type="gramEnd"/>
      <w:r w:rsidRPr="00D118CD">
        <w:rPr>
          <w:sz w:val="24"/>
        </w:rPr>
        <w:t xml:space="preserve">, spatially explicit (25 </w:t>
      </w:r>
      <w:r w:rsidRPr="00D118CD">
        <w:rPr>
          <w:rFonts w:cs="Arial"/>
          <w:sz w:val="24"/>
        </w:rPr>
        <w:t>×</w:t>
      </w:r>
      <w:r w:rsidRPr="00D118CD">
        <w:rPr>
          <w:sz w:val="24"/>
        </w:rPr>
        <w:t xml:space="preserve"> 25 km grid) mean posterior methane emissions data from East et al.</w:t>
      </w:r>
      <w:r w:rsidRPr="00D118CD">
        <w:rPr>
          <w:sz w:val="24"/>
          <w:vertAlign w:val="superscript"/>
        </w:rPr>
        <w:t>2</w:t>
      </w:r>
      <w:r w:rsidRPr="00D118CD">
        <w:rPr>
          <w:sz w:val="24"/>
        </w:rPr>
        <w:t xml:space="preserve"> as</w:t>
      </w:r>
      <w:r w:rsidRPr="02BD3B18">
        <w:rPr>
          <w:sz w:val="24"/>
        </w:rPr>
        <w:t xml:space="preserve"> </w:t>
      </w:r>
      <w:r w:rsidRPr="02BD3B18">
        <w:rPr>
          <w:i/>
          <w:iCs/>
          <w:sz w:val="24"/>
        </w:rPr>
        <w:t xml:space="preserve">a priori </w:t>
      </w:r>
      <w:r w:rsidRPr="02BD3B18">
        <w:rPr>
          <w:sz w:val="24"/>
        </w:rPr>
        <w:t xml:space="preserve">information for the sectoral attribution of spatially explicit MethaneSAT total methane emissions. </w:t>
      </w:r>
      <w:r w:rsidR="0056611F" w:rsidRPr="02BD3B18">
        <w:rPr>
          <w:sz w:val="24"/>
        </w:rPr>
        <w:t xml:space="preserve">We use the </w:t>
      </w:r>
      <w:r w:rsidR="00CB5F61">
        <w:rPr>
          <w:sz w:val="24"/>
        </w:rPr>
        <w:t xml:space="preserve">mean posterior result from the </w:t>
      </w:r>
      <w:r w:rsidR="0056611F" w:rsidRPr="02BD3B18">
        <w:rPr>
          <w:sz w:val="24"/>
        </w:rPr>
        <w:t>East et al. dataset as an independent, measurement-based source of prior information on the ratios of oil and gas methane emissions to the total methane emissions in each region.</w:t>
      </w:r>
    </w:p>
    <w:p w14:paraId="143BE8CE" w14:textId="77777777" w:rsidR="00CB2E46" w:rsidRDefault="00CB2E46" w:rsidP="00CB2E46">
      <w:pPr>
        <w:rPr>
          <w:sz w:val="24"/>
          <w:szCs w:val="28"/>
        </w:rPr>
      </w:pPr>
    </w:p>
    <w:p w14:paraId="63745DE5" w14:textId="2F8BAFDB" w:rsidR="00CB2E46" w:rsidRPr="00CB2E46" w:rsidRDefault="00CB2E46" w:rsidP="00CB2E46">
      <w:pPr>
        <w:rPr>
          <w:sz w:val="24"/>
          <w:szCs w:val="28"/>
        </w:rPr>
      </w:pPr>
      <w:r>
        <w:rPr>
          <w:sz w:val="24"/>
          <w:szCs w:val="28"/>
        </w:rPr>
        <w:t xml:space="preserve">We begin by </w:t>
      </w:r>
      <w:proofErr w:type="spellStart"/>
      <w:r>
        <w:rPr>
          <w:sz w:val="24"/>
          <w:szCs w:val="28"/>
        </w:rPr>
        <w:t>regridding</w:t>
      </w:r>
      <w:proofErr w:type="spellEnd"/>
      <w:r>
        <w:rPr>
          <w:sz w:val="24"/>
          <w:szCs w:val="28"/>
        </w:rPr>
        <w:t xml:space="preserve"> the East et al. dataset on the MethaneSAT grid (0.04</w:t>
      </w:r>
      <w:r>
        <w:rPr>
          <w:rFonts w:cs="Arial"/>
          <w:sz w:val="24"/>
          <w:szCs w:val="28"/>
        </w:rPr>
        <w:t>º</w:t>
      </w:r>
      <w:r>
        <w:rPr>
          <w:sz w:val="24"/>
          <w:szCs w:val="28"/>
        </w:rPr>
        <w:t xml:space="preserve"> </w:t>
      </w:r>
      <w:r>
        <w:rPr>
          <w:rFonts w:cs="Arial"/>
          <w:sz w:val="24"/>
          <w:szCs w:val="28"/>
        </w:rPr>
        <w:t>×</w:t>
      </w:r>
      <w:r>
        <w:rPr>
          <w:sz w:val="24"/>
          <w:szCs w:val="28"/>
        </w:rPr>
        <w:t xml:space="preserve"> 0.04</w:t>
      </w:r>
      <w:r>
        <w:rPr>
          <w:rFonts w:cs="Arial"/>
          <w:sz w:val="24"/>
          <w:szCs w:val="28"/>
        </w:rPr>
        <w:t>º</w:t>
      </w:r>
      <w:r>
        <w:rPr>
          <w:sz w:val="24"/>
          <w:szCs w:val="28"/>
        </w:rPr>
        <w:t xml:space="preserve">) using a mass conservation approach. </w:t>
      </w:r>
      <w:r w:rsidRPr="00CB2E46">
        <w:rPr>
          <w:sz w:val="24"/>
          <w:szCs w:val="28"/>
        </w:rPr>
        <w:t xml:space="preserve">At each grid cell </w:t>
      </w:r>
      <m:oMath>
        <m:r>
          <w:rPr>
            <w:rFonts w:ascii="Cambria Math" w:hAnsi="Cambria Math"/>
            <w:sz w:val="24"/>
            <w:szCs w:val="28"/>
          </w:rPr>
          <m:t>(i,j)</m:t>
        </m:r>
      </m:oMath>
      <w:r w:rsidRPr="00CB2E46">
        <w:rPr>
          <w:sz w:val="24"/>
          <w:szCs w:val="28"/>
        </w:rPr>
        <w:t>, we express the posterior total emission as the sum of the sectoral posterior emissions</w:t>
      </w:r>
      <w:r>
        <w:rPr>
          <w:sz w:val="24"/>
          <w:szCs w:val="28"/>
        </w:rPr>
        <w:t xml:space="preserve"> (</w:t>
      </w:r>
      <w:r w:rsidRPr="00CB2E46">
        <w:rPr>
          <w:i/>
          <w:iCs/>
          <w:sz w:val="24"/>
          <w:szCs w:val="28"/>
        </w:rPr>
        <w:t>k</w:t>
      </w:r>
      <w:r>
        <w:rPr>
          <w:sz w:val="24"/>
          <w:szCs w:val="28"/>
        </w:rPr>
        <w:t>)</w:t>
      </w:r>
      <w:r w:rsidRPr="00CB2E46">
        <w:rPr>
          <w:sz w:val="24"/>
          <w:szCs w:val="28"/>
        </w:rPr>
        <w:t>:</w:t>
      </w:r>
    </w:p>
    <w:p w14:paraId="0242FD8D" w14:textId="1CE626B9" w:rsidR="00CB2E46" w:rsidRPr="00CB2E46" w:rsidRDefault="00ED5B0E" w:rsidP="00CB2E46">
      <w:pPr>
        <w:rPr>
          <w:sz w:val="24"/>
          <w:szCs w:val="28"/>
        </w:rPr>
      </w:pPr>
      <m:oMathPara>
        <m:oMath>
          <m:sSubSup>
            <m:sSubSupPr>
              <m:ctrlPr>
                <w:rPr>
                  <w:rFonts w:ascii="Cambria Math" w:hAnsi="Cambria Math"/>
                  <w:sz w:val="24"/>
                  <w:szCs w:val="28"/>
                </w:rPr>
              </m:ctrlPr>
            </m:sSubSupPr>
            <m:e>
              <m:r>
                <w:rPr>
                  <w:rFonts w:ascii="Cambria Math" w:hAnsi="Cambria Math"/>
                  <w:sz w:val="24"/>
                  <w:szCs w:val="28"/>
                </w:rPr>
                <m:t>E</m:t>
              </m:r>
            </m:e>
            <m:sub>
              <m:r>
                <w:rPr>
                  <w:rFonts w:ascii="Cambria Math" w:hAnsi="Cambria Math"/>
                  <w:sz w:val="24"/>
                  <w:szCs w:val="28"/>
                </w:rPr>
                <m:t>i</m:t>
              </m:r>
              <m:r>
                <w:rPr>
                  <w:rFonts w:ascii="Cambria Math" w:hAnsi="Cambria Math"/>
                  <w:sz w:val="24"/>
                  <w:szCs w:val="28"/>
                </w:rPr>
                <m:t>,</m:t>
              </m:r>
              <m:r>
                <w:rPr>
                  <w:rFonts w:ascii="Cambria Math" w:hAnsi="Cambria Math"/>
                  <w:sz w:val="24"/>
                  <w:szCs w:val="28"/>
                </w:rPr>
                <m:t>j</m:t>
              </m:r>
            </m:sub>
            <m:sup>
              <m:r>
                <w:rPr>
                  <w:rFonts w:ascii="Cambria Math" w:hAnsi="Cambria Math"/>
                  <w:sz w:val="24"/>
                  <w:szCs w:val="28"/>
                </w:rPr>
                <m:t>post</m:t>
              </m:r>
              <m:r>
                <w:rPr>
                  <w:rFonts w:ascii="Cambria Math" w:hAnsi="Cambria Math"/>
                  <w:sz w:val="24"/>
                  <w:szCs w:val="28"/>
                </w:rPr>
                <m:t>,</m:t>
              </m:r>
              <m:r>
                <w:rPr>
                  <w:rFonts w:ascii="Cambria Math" w:hAnsi="Cambria Math"/>
                  <w:sz w:val="24"/>
                  <w:szCs w:val="28"/>
                </w:rPr>
                <m:t>total</m:t>
              </m:r>
            </m:sup>
          </m:sSubSup>
          <m:r>
            <w:rPr>
              <w:rFonts w:ascii="Cambria Math" w:hAnsi="Cambria Math"/>
              <w:sz w:val="24"/>
              <w:szCs w:val="28"/>
            </w:rPr>
            <m:t>=</m:t>
          </m:r>
          <m:nary>
            <m:naryPr>
              <m:chr m:val="∑"/>
              <m:limLoc m:val="undOvr"/>
              <m:supHide m:val="1"/>
              <m:ctrlPr>
                <w:rPr>
                  <w:rFonts w:ascii="Cambria Math" w:hAnsi="Cambria Math"/>
                  <w:i/>
                  <w:sz w:val="24"/>
                  <w:szCs w:val="28"/>
                </w:rPr>
              </m:ctrlPr>
            </m:naryPr>
            <m:sub>
              <m:r>
                <w:rPr>
                  <w:rFonts w:ascii="Cambria Math" w:hAnsi="Cambria Math"/>
                  <w:sz w:val="24"/>
                  <w:szCs w:val="28"/>
                </w:rPr>
                <m:t>k</m:t>
              </m:r>
            </m:sub>
            <m:sup/>
            <m:e>
              <m:sSubSup>
                <m:sSubSupPr>
                  <m:ctrlPr>
                    <w:rPr>
                      <w:rFonts w:ascii="Cambria Math" w:hAnsi="Cambria Math"/>
                      <w:i/>
                      <w:sz w:val="24"/>
                      <w:szCs w:val="28"/>
                    </w:rPr>
                  </m:ctrlPr>
                </m:sSubSupPr>
                <m:e>
                  <m:r>
                    <w:rPr>
                      <w:rFonts w:ascii="Cambria Math" w:hAnsi="Cambria Math"/>
                      <w:sz w:val="24"/>
                      <w:szCs w:val="28"/>
                    </w:rPr>
                    <m:t>E</m:t>
                  </m:r>
                </m:e>
                <m:sub>
                  <m:r>
                    <w:rPr>
                      <w:rFonts w:ascii="Cambria Math" w:hAnsi="Cambria Math"/>
                      <w:sz w:val="24"/>
                      <w:szCs w:val="28"/>
                    </w:rPr>
                    <m:t>i</m:t>
                  </m:r>
                  <m:r>
                    <w:rPr>
                      <w:rFonts w:ascii="Cambria Math" w:hAnsi="Cambria Math"/>
                      <w:sz w:val="24"/>
                      <w:szCs w:val="28"/>
                    </w:rPr>
                    <m:t>,</m:t>
                  </m:r>
                  <m:r>
                    <w:rPr>
                      <w:rFonts w:ascii="Cambria Math" w:hAnsi="Cambria Math"/>
                      <w:sz w:val="24"/>
                      <w:szCs w:val="28"/>
                    </w:rPr>
                    <m:t>j</m:t>
                  </m:r>
                  <m:r>
                    <w:rPr>
                      <w:rFonts w:ascii="Cambria Math" w:hAnsi="Cambria Math"/>
                      <w:sz w:val="24"/>
                      <w:szCs w:val="28"/>
                    </w:rPr>
                    <m:t>,</m:t>
                  </m:r>
                  <m:r>
                    <w:rPr>
                      <w:rFonts w:ascii="Cambria Math" w:hAnsi="Cambria Math"/>
                      <w:sz w:val="24"/>
                      <w:szCs w:val="28"/>
                    </w:rPr>
                    <m:t>k</m:t>
                  </m:r>
                </m:sub>
                <m:sup>
                  <m:r>
                    <w:rPr>
                      <w:rFonts w:ascii="Cambria Math" w:hAnsi="Cambria Math"/>
                      <w:sz w:val="24"/>
                      <w:szCs w:val="28"/>
                    </w:rPr>
                    <m:t>post</m:t>
                  </m:r>
                </m:sup>
              </m:sSubSup>
            </m:e>
          </m:nary>
          <m:r>
            <m:rPr>
              <m:sty m:val="p"/>
            </m:rPr>
            <w:rPr>
              <w:rFonts w:ascii="Cambria Math" w:hAnsi="Cambria Math"/>
              <w:sz w:val="24"/>
              <w:szCs w:val="28"/>
            </w:rPr>
            <w:br/>
          </m:r>
        </m:oMath>
      </m:oMathPara>
    </w:p>
    <w:p w14:paraId="5F05B827" w14:textId="77777777" w:rsidR="00CB2E46" w:rsidRPr="00CB2E46" w:rsidRDefault="00CB2E46" w:rsidP="00CB2E46">
      <w:pPr>
        <w:rPr>
          <w:sz w:val="24"/>
          <w:szCs w:val="28"/>
        </w:rPr>
      </w:pPr>
      <w:r w:rsidRPr="00CB2E46">
        <w:rPr>
          <w:sz w:val="24"/>
          <w:szCs w:val="28"/>
        </w:rPr>
        <w:t xml:space="preserve">Each sector’s posterior emission is related to its prior emission by a multiplicative scaling factor </w:t>
      </w:r>
      <m:oMath>
        <m:sSub>
          <m:sSubPr>
            <m:ctrlPr>
              <w:rPr>
                <w:rFonts w:ascii="Cambria Math" w:hAnsi="Cambria Math"/>
                <w:sz w:val="24"/>
                <w:szCs w:val="28"/>
              </w:rPr>
            </m:ctrlPr>
          </m:sSubPr>
          <m:e>
            <m:r>
              <w:rPr>
                <w:rFonts w:ascii="Cambria Math" w:hAnsi="Cambria Math"/>
                <w:sz w:val="24"/>
                <w:szCs w:val="28"/>
              </w:rPr>
              <m:t>f</m:t>
            </m:r>
          </m:e>
          <m:sub>
            <m:r>
              <w:rPr>
                <w:rFonts w:ascii="Cambria Math" w:hAnsi="Cambria Math"/>
                <w:sz w:val="24"/>
                <w:szCs w:val="28"/>
              </w:rPr>
              <m:t>i,j,k</m:t>
            </m:r>
          </m:sub>
        </m:sSub>
      </m:oMath>
      <w:r w:rsidRPr="00CB2E46">
        <w:rPr>
          <w:sz w:val="24"/>
          <w:szCs w:val="28"/>
        </w:rPr>
        <w:t>:</w:t>
      </w:r>
    </w:p>
    <w:p w14:paraId="79769745" w14:textId="77777777" w:rsidR="00CB2E46" w:rsidRPr="00CB2E46" w:rsidRDefault="00ED5B0E" w:rsidP="00CB2E46">
      <w:pPr>
        <w:rPr>
          <w:sz w:val="28"/>
          <w:szCs w:val="32"/>
        </w:rPr>
      </w:pPr>
      <m:oMathPara>
        <m:oMath>
          <m:sSubSup>
            <m:sSubSupPr>
              <m:ctrlPr>
                <w:rPr>
                  <w:rFonts w:ascii="Cambria Math" w:hAnsi="Cambria Math"/>
                  <w:sz w:val="24"/>
                  <w:szCs w:val="28"/>
                </w:rPr>
              </m:ctrlPr>
            </m:sSubSupPr>
            <m:e>
              <m:r>
                <w:rPr>
                  <w:rFonts w:ascii="Cambria Math" w:hAnsi="Cambria Math"/>
                  <w:sz w:val="24"/>
                  <w:szCs w:val="28"/>
                </w:rPr>
                <m:t>E</m:t>
              </m:r>
            </m:e>
            <m:sub>
              <m:r>
                <w:rPr>
                  <w:rFonts w:ascii="Cambria Math" w:hAnsi="Cambria Math"/>
                  <w:sz w:val="24"/>
                  <w:szCs w:val="28"/>
                </w:rPr>
                <m:t>i</m:t>
              </m:r>
              <m:r>
                <w:rPr>
                  <w:rFonts w:ascii="Cambria Math" w:hAnsi="Cambria Math"/>
                  <w:sz w:val="24"/>
                  <w:szCs w:val="28"/>
                </w:rPr>
                <m:t>,</m:t>
              </m:r>
              <m:r>
                <w:rPr>
                  <w:rFonts w:ascii="Cambria Math" w:hAnsi="Cambria Math"/>
                  <w:sz w:val="24"/>
                  <w:szCs w:val="28"/>
                </w:rPr>
                <m:t>j</m:t>
              </m:r>
              <m:r>
                <w:rPr>
                  <w:rFonts w:ascii="Cambria Math" w:hAnsi="Cambria Math"/>
                  <w:sz w:val="24"/>
                  <w:szCs w:val="28"/>
                </w:rPr>
                <m:t>,</m:t>
              </m:r>
              <m:r>
                <w:rPr>
                  <w:rFonts w:ascii="Cambria Math" w:hAnsi="Cambria Math"/>
                  <w:sz w:val="24"/>
                  <w:szCs w:val="28"/>
                </w:rPr>
                <m:t>k</m:t>
              </m:r>
            </m:sub>
            <m:sup>
              <m:r>
                <w:rPr>
                  <w:rFonts w:ascii="Cambria Math" w:hAnsi="Cambria Math"/>
                  <w:sz w:val="24"/>
                  <w:szCs w:val="28"/>
                </w:rPr>
                <m:t>post</m:t>
              </m:r>
            </m:sup>
          </m:sSubSup>
          <m:r>
            <w:rPr>
              <w:rFonts w:ascii="Cambria Math" w:hAnsi="Cambria Math"/>
              <w:sz w:val="24"/>
              <w:szCs w:val="28"/>
            </w:rPr>
            <m:t>=</m:t>
          </m:r>
          <m:sSubSup>
            <m:sSubSupPr>
              <m:ctrlPr>
                <w:rPr>
                  <w:rFonts w:ascii="Cambria Math" w:hAnsi="Cambria Math"/>
                  <w:sz w:val="24"/>
                  <w:szCs w:val="28"/>
                </w:rPr>
              </m:ctrlPr>
            </m:sSubSupPr>
            <m:e>
              <m:r>
                <w:rPr>
                  <w:rFonts w:ascii="Cambria Math" w:hAnsi="Cambria Math"/>
                  <w:sz w:val="24"/>
                  <w:szCs w:val="28"/>
                </w:rPr>
                <m:t>E</m:t>
              </m:r>
            </m:e>
            <m:sub>
              <m:r>
                <w:rPr>
                  <w:rFonts w:ascii="Cambria Math" w:hAnsi="Cambria Math"/>
                  <w:sz w:val="24"/>
                  <w:szCs w:val="28"/>
                </w:rPr>
                <m:t>i</m:t>
              </m:r>
              <m:r>
                <w:rPr>
                  <w:rFonts w:ascii="Cambria Math" w:hAnsi="Cambria Math"/>
                  <w:sz w:val="24"/>
                  <w:szCs w:val="28"/>
                </w:rPr>
                <m:t>,</m:t>
              </m:r>
              <m:r>
                <w:rPr>
                  <w:rFonts w:ascii="Cambria Math" w:hAnsi="Cambria Math"/>
                  <w:sz w:val="24"/>
                  <w:szCs w:val="28"/>
                </w:rPr>
                <m:t>j</m:t>
              </m:r>
              <m:r>
                <w:rPr>
                  <w:rFonts w:ascii="Cambria Math" w:hAnsi="Cambria Math"/>
                  <w:sz w:val="24"/>
                  <w:szCs w:val="28"/>
                </w:rPr>
                <m:t>,</m:t>
              </m:r>
              <m:r>
                <w:rPr>
                  <w:rFonts w:ascii="Cambria Math" w:hAnsi="Cambria Math"/>
                  <w:sz w:val="24"/>
                  <w:szCs w:val="28"/>
                </w:rPr>
                <m:t>k</m:t>
              </m:r>
            </m:sub>
            <m:sup>
              <m:r>
                <w:rPr>
                  <w:rFonts w:ascii="Cambria Math" w:hAnsi="Cambria Math"/>
                  <w:sz w:val="24"/>
                  <w:szCs w:val="28"/>
                </w:rPr>
                <m:t>prior</m:t>
              </m:r>
            </m:sup>
          </m:sSubSup>
          <m:r>
            <w:rPr>
              <w:rFonts w:ascii="Cambria Math" w:hAnsi="Cambria Math"/>
              <w:sz w:val="24"/>
              <w:szCs w:val="28"/>
            </w:rPr>
            <m:t>×</m:t>
          </m:r>
          <m:sSub>
            <m:sSubPr>
              <m:ctrlPr>
                <w:rPr>
                  <w:rFonts w:ascii="Cambria Math" w:hAnsi="Cambria Math"/>
                  <w:sz w:val="24"/>
                  <w:szCs w:val="28"/>
                </w:rPr>
              </m:ctrlPr>
            </m:sSubPr>
            <m:e>
              <m:r>
                <w:rPr>
                  <w:rFonts w:ascii="Cambria Math" w:hAnsi="Cambria Math"/>
                  <w:sz w:val="24"/>
                  <w:szCs w:val="28"/>
                </w:rPr>
                <m:t>f</m:t>
              </m:r>
            </m:e>
            <m:sub>
              <m:r>
                <w:rPr>
                  <w:rFonts w:ascii="Cambria Math" w:hAnsi="Cambria Math"/>
                  <w:sz w:val="24"/>
                  <w:szCs w:val="28"/>
                </w:rPr>
                <m:t>i</m:t>
              </m:r>
              <m:r>
                <w:rPr>
                  <w:rFonts w:ascii="Cambria Math" w:hAnsi="Cambria Math"/>
                  <w:sz w:val="24"/>
                  <w:szCs w:val="28"/>
                </w:rPr>
                <m:t>,</m:t>
              </m:r>
              <m:r>
                <w:rPr>
                  <w:rFonts w:ascii="Cambria Math" w:hAnsi="Cambria Math"/>
                  <w:sz w:val="24"/>
                  <w:szCs w:val="28"/>
                </w:rPr>
                <m:t>j</m:t>
              </m:r>
              <m:r>
                <w:rPr>
                  <w:rFonts w:ascii="Cambria Math" w:hAnsi="Cambria Math"/>
                  <w:sz w:val="24"/>
                  <w:szCs w:val="28"/>
                </w:rPr>
                <m:t>,</m:t>
              </m:r>
              <m:r>
                <w:rPr>
                  <w:rFonts w:ascii="Cambria Math" w:hAnsi="Cambria Math"/>
                  <w:sz w:val="24"/>
                  <w:szCs w:val="28"/>
                </w:rPr>
                <m:t>k</m:t>
              </m:r>
            </m:sub>
          </m:sSub>
          <m:r>
            <m:rPr>
              <m:sty m:val="p"/>
            </m:rPr>
            <w:rPr>
              <w:rFonts w:ascii="Cambria Math" w:hAnsi="Cambria Math"/>
              <w:sz w:val="24"/>
              <w:szCs w:val="28"/>
            </w:rPr>
            <w:br/>
          </m:r>
        </m:oMath>
      </m:oMathPara>
    </w:p>
    <w:p w14:paraId="4651A773" w14:textId="382091A9" w:rsidR="00CB2E46" w:rsidRDefault="00CB2E46" w:rsidP="00CB2E46">
      <w:pPr>
        <w:rPr>
          <w:sz w:val="24"/>
          <w:szCs w:val="28"/>
        </w:rPr>
      </w:pPr>
      <w:r w:rsidRPr="00CB2E46">
        <w:rPr>
          <w:sz w:val="24"/>
          <w:szCs w:val="28"/>
        </w:rPr>
        <w:t>The scaling factors are determined such that</w:t>
      </w:r>
      <w:r>
        <w:rPr>
          <w:sz w:val="24"/>
          <w:szCs w:val="28"/>
        </w:rPr>
        <w:t xml:space="preserve"> t</w:t>
      </w:r>
      <w:r w:rsidRPr="00CB2E46">
        <w:rPr>
          <w:sz w:val="24"/>
          <w:szCs w:val="28"/>
        </w:rPr>
        <w:t>he total posterior emission constraint is satisfied, and</w:t>
      </w:r>
      <w:r>
        <w:rPr>
          <w:sz w:val="24"/>
          <w:szCs w:val="28"/>
        </w:rPr>
        <w:t xml:space="preserve"> s</w:t>
      </w:r>
      <w:r w:rsidRPr="00CB2E46">
        <w:rPr>
          <w:sz w:val="24"/>
          <w:szCs w:val="28"/>
        </w:rPr>
        <w:t>ectoral adjustments are weighted by their respective uncertainties</w:t>
      </w:r>
      <w:r>
        <w:rPr>
          <w:sz w:val="24"/>
          <w:szCs w:val="28"/>
        </w:rPr>
        <w:t xml:space="preserve"> </w:t>
      </w:r>
      <w:r w:rsidRPr="00B40FE4">
        <w:t xml:space="preserve"> </w:t>
      </w:r>
      <m:oMath>
        <m: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k</m:t>
            </m:r>
          </m:sub>
        </m:sSub>
        <m:r>
          <w:rPr>
            <w:rFonts w:ascii="Cambria Math" w:hAnsi="Cambria Math"/>
          </w:rPr>
          <m:t>)</m:t>
        </m:r>
      </m:oMath>
      <w:r w:rsidRPr="00CB2E46">
        <w:rPr>
          <w:sz w:val="24"/>
          <w:szCs w:val="28"/>
        </w:rPr>
        <w:t>.</w:t>
      </w:r>
      <w:r>
        <w:rPr>
          <w:sz w:val="24"/>
          <w:szCs w:val="28"/>
        </w:rPr>
        <w:t xml:space="preserve"> </w:t>
      </w:r>
      <w:r>
        <w:rPr>
          <w:sz w:val="24"/>
          <w:szCs w:val="28"/>
        </w:rPr>
        <w:lastRenderedPageBreak/>
        <w:t>Following Shen et al.</w:t>
      </w:r>
      <w:r w:rsidRPr="00CB2E46">
        <w:rPr>
          <w:sz w:val="24"/>
          <w:szCs w:val="28"/>
          <w:vertAlign w:val="superscript"/>
        </w:rPr>
        <w:t>1</w:t>
      </w:r>
      <w:r>
        <w:rPr>
          <w:sz w:val="24"/>
          <w:szCs w:val="28"/>
        </w:rPr>
        <w:t xml:space="preserve"> we assume a 50% uncertainty </w:t>
      </w:r>
      <w:proofErr w:type="gramStart"/>
      <w:r>
        <w:rPr>
          <w:sz w:val="24"/>
          <w:szCs w:val="28"/>
        </w:rPr>
        <w:t>on</w:t>
      </w:r>
      <w:proofErr w:type="gramEnd"/>
      <w:r>
        <w:rPr>
          <w:sz w:val="24"/>
          <w:szCs w:val="28"/>
        </w:rPr>
        <w:t xml:space="preserve"> sectoral emissions in each region. We define a posterior-to-prior ratio of total methane emissions at each grid cell as:</w:t>
      </w:r>
    </w:p>
    <w:p w14:paraId="2E13A076" w14:textId="2BC0BE17" w:rsidR="00CB2E46" w:rsidRDefault="00ED5B0E" w:rsidP="00CB2E46">
      <w:pPr>
        <w:rPr>
          <w:sz w:val="24"/>
          <w:szCs w:val="28"/>
        </w:rPr>
      </w:pPr>
      <m:oMathPara>
        <m:oMath>
          <m:sSub>
            <m:sSubPr>
              <m:ctrlPr>
                <w:rPr>
                  <w:rFonts w:ascii="Cambria Math" w:hAnsi="Cambria Math"/>
                </w:rPr>
              </m:ctrlPr>
            </m:sSubPr>
            <m:e>
              <m:r>
                <w:rPr>
                  <w:rFonts w:ascii="Cambria Math" w:hAnsi="Cambria Math"/>
                </w:rPr>
                <m:t>R</m:t>
              </m:r>
            </m:e>
            <m:sub>
              <m:r>
                <w:rPr>
                  <w:rFonts w:ascii="Cambria Math" w:hAnsi="Cambria Math"/>
                </w:rPr>
                <m:t>i</m:t>
              </m:r>
              <m:r>
                <w:rPr>
                  <w:rFonts w:ascii="Cambria Math" w:hAnsi="Cambria Math"/>
                </w:rPr>
                <m:t>,</m:t>
              </m:r>
              <m:r>
                <w:rPr>
                  <w:rFonts w:ascii="Cambria Math" w:hAnsi="Cambria Math"/>
                </w:rPr>
                <m:t>j</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E</m:t>
                  </m:r>
                </m:e>
                <m:sub>
                  <m:r>
                    <w:rPr>
                      <w:rFonts w:ascii="Cambria Math" w:hAnsi="Cambria Math"/>
                    </w:rPr>
                    <m:t>i</m:t>
                  </m:r>
                  <m:r>
                    <w:rPr>
                      <w:rFonts w:ascii="Cambria Math" w:hAnsi="Cambria Math"/>
                    </w:rPr>
                    <m:t>,</m:t>
                  </m:r>
                  <m:r>
                    <w:rPr>
                      <w:rFonts w:ascii="Cambria Math" w:hAnsi="Cambria Math"/>
                    </w:rPr>
                    <m:t>j</m:t>
                  </m:r>
                </m:sub>
                <m:sup>
                  <m:r>
                    <w:rPr>
                      <w:rFonts w:ascii="Cambria Math" w:hAnsi="Cambria Math"/>
                    </w:rPr>
                    <m:t>post</m:t>
                  </m:r>
                  <m:r>
                    <w:rPr>
                      <w:rFonts w:ascii="Cambria Math" w:hAnsi="Cambria Math"/>
                    </w:rPr>
                    <m:t>,</m:t>
                  </m:r>
                  <m:r>
                    <w:rPr>
                      <w:rFonts w:ascii="Cambria Math" w:hAnsi="Cambria Math"/>
                    </w:rPr>
                    <m:t>total</m:t>
                  </m:r>
                </m:sup>
              </m:sSubSup>
            </m:num>
            <m:den>
              <m:sSubSup>
                <m:sSubSupPr>
                  <m:ctrlPr>
                    <w:rPr>
                      <w:rFonts w:ascii="Cambria Math" w:hAnsi="Cambria Math"/>
                    </w:rPr>
                  </m:ctrlPr>
                </m:sSubSupPr>
                <m:e>
                  <m:r>
                    <w:rPr>
                      <w:rFonts w:ascii="Cambria Math" w:hAnsi="Cambria Math"/>
                    </w:rPr>
                    <m:t>E</m:t>
                  </m:r>
                </m:e>
                <m:sub>
                  <m:r>
                    <w:rPr>
                      <w:rFonts w:ascii="Cambria Math" w:hAnsi="Cambria Math"/>
                    </w:rPr>
                    <m:t>i</m:t>
                  </m:r>
                  <m:r>
                    <w:rPr>
                      <w:rFonts w:ascii="Cambria Math" w:hAnsi="Cambria Math"/>
                    </w:rPr>
                    <m:t>,</m:t>
                  </m:r>
                  <m:r>
                    <w:rPr>
                      <w:rFonts w:ascii="Cambria Math" w:hAnsi="Cambria Math"/>
                    </w:rPr>
                    <m:t>j</m:t>
                  </m:r>
                </m:sub>
                <m:sup>
                  <m:r>
                    <w:rPr>
                      <w:rFonts w:ascii="Cambria Math" w:hAnsi="Cambria Math"/>
                    </w:rPr>
                    <m:t>prior</m:t>
                  </m:r>
                  <m:r>
                    <w:rPr>
                      <w:rFonts w:ascii="Cambria Math" w:hAnsi="Cambria Math"/>
                    </w:rPr>
                    <m:t>,</m:t>
                  </m:r>
                  <m:r>
                    <w:rPr>
                      <w:rFonts w:ascii="Cambria Math" w:hAnsi="Cambria Math"/>
                    </w:rPr>
                    <m:t>total</m:t>
                  </m:r>
                </m:sup>
              </m:sSubSup>
            </m:den>
          </m:f>
        </m:oMath>
      </m:oMathPara>
    </w:p>
    <w:p w14:paraId="1E6F6F64" w14:textId="77777777" w:rsidR="00CB2E46" w:rsidRPr="00CB2E46" w:rsidRDefault="00CB2E46" w:rsidP="00CB2E46">
      <w:pPr>
        <w:rPr>
          <w:sz w:val="24"/>
          <w:szCs w:val="28"/>
        </w:rPr>
      </w:pPr>
    </w:p>
    <w:p w14:paraId="64254A2D" w14:textId="70DB90F7" w:rsidR="00CB2E46" w:rsidRDefault="00CB2E46" w:rsidP="006C2A11">
      <w:pPr>
        <w:rPr>
          <w:sz w:val="24"/>
          <w:szCs w:val="28"/>
        </w:rPr>
      </w:pPr>
      <w:r>
        <w:rPr>
          <w:sz w:val="24"/>
          <w:szCs w:val="28"/>
        </w:rPr>
        <w:t>Where:</w:t>
      </w:r>
    </w:p>
    <w:p w14:paraId="6FDC2382" w14:textId="77777777" w:rsidR="00CB2E46" w:rsidRPr="00CB2E46" w:rsidRDefault="00ED5B0E" w:rsidP="00CB2E46">
      <w:pPr>
        <w:rPr>
          <w:rFonts w:eastAsiaTheme="minorEastAsia"/>
          <w:sz w:val="24"/>
          <w:szCs w:val="28"/>
        </w:rPr>
      </w:pPr>
      <m:oMathPara>
        <m:oMath>
          <m:sSubSup>
            <m:sSubSupPr>
              <m:ctrlPr>
                <w:rPr>
                  <w:rFonts w:ascii="Cambria Math" w:hAnsi="Cambria Math"/>
                  <w:sz w:val="24"/>
                  <w:szCs w:val="28"/>
                </w:rPr>
              </m:ctrlPr>
            </m:sSubSupPr>
            <m:e>
              <m:r>
                <w:rPr>
                  <w:rFonts w:ascii="Cambria Math" w:hAnsi="Cambria Math"/>
                  <w:sz w:val="24"/>
                  <w:szCs w:val="28"/>
                </w:rPr>
                <m:t>E</m:t>
              </m:r>
            </m:e>
            <m:sub>
              <m:r>
                <w:rPr>
                  <w:rFonts w:ascii="Cambria Math" w:hAnsi="Cambria Math"/>
                  <w:sz w:val="24"/>
                  <w:szCs w:val="28"/>
                </w:rPr>
                <m:t>i</m:t>
              </m:r>
              <m:r>
                <w:rPr>
                  <w:rFonts w:ascii="Cambria Math" w:hAnsi="Cambria Math"/>
                  <w:sz w:val="24"/>
                  <w:szCs w:val="28"/>
                </w:rPr>
                <m:t>,</m:t>
              </m:r>
              <m:r>
                <w:rPr>
                  <w:rFonts w:ascii="Cambria Math" w:hAnsi="Cambria Math"/>
                  <w:sz w:val="24"/>
                  <w:szCs w:val="28"/>
                </w:rPr>
                <m:t>j</m:t>
              </m:r>
            </m:sub>
            <m:sup>
              <m:r>
                <w:rPr>
                  <w:rFonts w:ascii="Cambria Math" w:hAnsi="Cambria Math"/>
                  <w:sz w:val="24"/>
                  <w:szCs w:val="28"/>
                </w:rPr>
                <m:t>prior</m:t>
              </m:r>
              <m:r>
                <w:rPr>
                  <w:rFonts w:ascii="Cambria Math" w:hAnsi="Cambria Math"/>
                  <w:sz w:val="24"/>
                  <w:szCs w:val="28"/>
                </w:rPr>
                <m:t>,</m:t>
              </m:r>
              <m:r>
                <w:rPr>
                  <w:rFonts w:ascii="Cambria Math" w:hAnsi="Cambria Math"/>
                  <w:sz w:val="24"/>
                  <w:szCs w:val="28"/>
                </w:rPr>
                <m:t>total</m:t>
              </m:r>
            </m:sup>
          </m:sSubSup>
          <m:r>
            <w:rPr>
              <w:rFonts w:ascii="Cambria Math" w:hAnsi="Cambria Math"/>
              <w:sz w:val="24"/>
              <w:szCs w:val="28"/>
            </w:rPr>
            <m:t>=</m:t>
          </m:r>
          <m:nary>
            <m:naryPr>
              <m:chr m:val="∑"/>
              <m:limLoc m:val="undOvr"/>
              <m:supHide m:val="1"/>
              <m:ctrlPr>
                <w:rPr>
                  <w:rFonts w:ascii="Cambria Math" w:hAnsi="Cambria Math"/>
                  <w:i/>
                  <w:sz w:val="24"/>
                  <w:szCs w:val="28"/>
                </w:rPr>
              </m:ctrlPr>
            </m:naryPr>
            <m:sub>
              <m:r>
                <w:rPr>
                  <w:rFonts w:ascii="Cambria Math" w:hAnsi="Cambria Math"/>
                  <w:sz w:val="24"/>
                  <w:szCs w:val="28"/>
                </w:rPr>
                <m:t>k</m:t>
              </m:r>
            </m:sub>
            <m:sup/>
            <m:e>
              <m:sSubSup>
                <m:sSubSupPr>
                  <m:ctrlPr>
                    <w:rPr>
                      <w:rFonts w:ascii="Cambria Math" w:hAnsi="Cambria Math"/>
                      <w:i/>
                      <w:sz w:val="24"/>
                      <w:szCs w:val="28"/>
                    </w:rPr>
                  </m:ctrlPr>
                </m:sSubSupPr>
                <m:e>
                  <m:r>
                    <w:rPr>
                      <w:rFonts w:ascii="Cambria Math" w:hAnsi="Cambria Math"/>
                      <w:sz w:val="24"/>
                      <w:szCs w:val="28"/>
                    </w:rPr>
                    <m:t>E</m:t>
                  </m:r>
                </m:e>
                <m:sub>
                  <m:r>
                    <w:rPr>
                      <w:rFonts w:ascii="Cambria Math" w:hAnsi="Cambria Math"/>
                      <w:sz w:val="24"/>
                      <w:szCs w:val="28"/>
                    </w:rPr>
                    <m:t>i</m:t>
                  </m:r>
                  <m:r>
                    <w:rPr>
                      <w:rFonts w:ascii="Cambria Math" w:hAnsi="Cambria Math"/>
                      <w:sz w:val="24"/>
                      <w:szCs w:val="28"/>
                    </w:rPr>
                    <m:t>,</m:t>
                  </m:r>
                  <m:r>
                    <w:rPr>
                      <w:rFonts w:ascii="Cambria Math" w:hAnsi="Cambria Math"/>
                      <w:sz w:val="24"/>
                      <w:szCs w:val="28"/>
                    </w:rPr>
                    <m:t>j</m:t>
                  </m:r>
                  <m:r>
                    <w:rPr>
                      <w:rFonts w:ascii="Cambria Math" w:hAnsi="Cambria Math"/>
                      <w:sz w:val="24"/>
                      <w:szCs w:val="28"/>
                    </w:rPr>
                    <m:t>,</m:t>
                  </m:r>
                  <m:r>
                    <w:rPr>
                      <w:rFonts w:ascii="Cambria Math" w:hAnsi="Cambria Math"/>
                      <w:sz w:val="24"/>
                      <w:szCs w:val="28"/>
                    </w:rPr>
                    <m:t>k</m:t>
                  </m:r>
                </m:sub>
                <m:sup>
                  <m:r>
                    <w:rPr>
                      <w:rFonts w:ascii="Cambria Math" w:hAnsi="Cambria Math"/>
                      <w:sz w:val="24"/>
                      <w:szCs w:val="28"/>
                    </w:rPr>
                    <m:t>prior</m:t>
                  </m:r>
                </m:sup>
              </m:sSubSup>
            </m:e>
          </m:nary>
        </m:oMath>
      </m:oMathPara>
    </w:p>
    <w:p w14:paraId="3657B0CE" w14:textId="3D7E5D40" w:rsidR="00CB2E46" w:rsidRPr="00C24C75" w:rsidRDefault="00C24C75" w:rsidP="00CB2E46">
      <w:pPr>
        <w:rPr>
          <w:sz w:val="24"/>
          <w:szCs w:val="28"/>
        </w:rPr>
      </w:pPr>
      <w:r w:rsidRPr="00C24C75">
        <w:rPr>
          <w:rFonts w:eastAsiaTheme="minorEastAsia"/>
          <w:sz w:val="24"/>
          <w:szCs w:val="28"/>
        </w:rPr>
        <w:t>We then compute each sectoral scaling factor while ensuring that the posterior total methane emissions match the inversion results for each region.</w:t>
      </w:r>
    </w:p>
    <w:p w14:paraId="5FFCE722" w14:textId="77777777" w:rsidR="0056611F" w:rsidRDefault="0056611F" w:rsidP="0056611F"/>
    <w:p w14:paraId="09451F98" w14:textId="2A2B1823" w:rsidR="0056611F" w:rsidRPr="00C24C75" w:rsidRDefault="0056611F" w:rsidP="0056611F">
      <w:pPr>
        <w:rPr>
          <w:sz w:val="24"/>
          <w:szCs w:val="28"/>
        </w:rPr>
      </w:pPr>
      <w:r w:rsidRPr="00C24C75">
        <w:rPr>
          <w:sz w:val="24"/>
          <w:szCs w:val="28"/>
        </w:rPr>
        <w:t xml:space="preserve">This approach yields results that are in reasonable agreement within uncertainty of the primary sectoral attribution method outlined in the Main Text. Supplementary Figure 1 shows the </w:t>
      </w:r>
      <w:proofErr w:type="gramStart"/>
      <w:r w:rsidRPr="00C24C75">
        <w:rPr>
          <w:sz w:val="24"/>
          <w:szCs w:val="28"/>
        </w:rPr>
        <w:t>comparison</w:t>
      </w:r>
      <w:proofErr w:type="gramEnd"/>
      <w:r w:rsidRPr="00C24C75">
        <w:rPr>
          <w:sz w:val="24"/>
          <w:szCs w:val="28"/>
        </w:rPr>
        <w:t xml:space="preserve"> </w:t>
      </w:r>
      <w:r w:rsidR="00B46DE4" w:rsidRPr="00C24C75">
        <w:rPr>
          <w:sz w:val="24"/>
          <w:szCs w:val="28"/>
        </w:rPr>
        <w:t xml:space="preserve">the results </w:t>
      </w:r>
      <w:r w:rsidRPr="00C24C75">
        <w:rPr>
          <w:sz w:val="24"/>
          <w:szCs w:val="28"/>
        </w:rPr>
        <w:t xml:space="preserve">of oil and gas methane emissions based on </w:t>
      </w:r>
      <w:r w:rsidR="00B46DE4" w:rsidRPr="00C24C75">
        <w:rPr>
          <w:sz w:val="24"/>
          <w:szCs w:val="28"/>
        </w:rPr>
        <w:t>these two methods.</w:t>
      </w:r>
    </w:p>
    <w:p w14:paraId="3651A9FE" w14:textId="781CC18F" w:rsidR="0056611F" w:rsidRDefault="00E829D4" w:rsidP="0056611F">
      <w:r>
        <w:rPr>
          <w:noProof/>
        </w:rPr>
        <w:drawing>
          <wp:inline distT="0" distB="0" distL="0" distR="0" wp14:anchorId="31E07378" wp14:editId="6DD2EFB9">
            <wp:extent cx="6340475" cy="2440505"/>
            <wp:effectExtent l="0" t="0" r="3175" b="0"/>
            <wp:docPr id="14424419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60666" cy="2448277"/>
                    </a:xfrm>
                    <a:prstGeom prst="rect">
                      <a:avLst/>
                    </a:prstGeom>
                    <a:noFill/>
                  </pic:spPr>
                </pic:pic>
              </a:graphicData>
            </a:graphic>
          </wp:inline>
        </w:drawing>
      </w:r>
    </w:p>
    <w:p w14:paraId="10B08E69" w14:textId="13E40322" w:rsidR="0056611F" w:rsidRPr="00B40FE4" w:rsidRDefault="0056611F" w:rsidP="0056611F"/>
    <w:p w14:paraId="67374BA6" w14:textId="77777777" w:rsidR="0056611F" w:rsidRDefault="0056611F" w:rsidP="006C2A11">
      <w:pPr>
        <w:rPr>
          <w:sz w:val="24"/>
        </w:rPr>
      </w:pPr>
    </w:p>
    <w:p w14:paraId="266EFBD3" w14:textId="0ABF9955" w:rsidR="00CC7AA6" w:rsidRDefault="0056611F" w:rsidP="006C2A11">
      <w:pPr>
        <w:rPr>
          <w:vertAlign w:val="superscript"/>
        </w:rPr>
      </w:pPr>
      <w:r w:rsidRPr="0056611F">
        <w:rPr>
          <w:b/>
          <w:bCs/>
        </w:rPr>
        <w:t>Supplementary Figure 1.</w:t>
      </w:r>
      <w:r w:rsidRPr="0056611F">
        <w:t xml:space="preserve"> A comparison of two methods for sectoral attribution of total methane emissions quantified by MethaneSAT. Red bars show the sectoral attribution based on the methods outlined in the Main Text, incorporating a composite prior dataset based on facility-level or bottom-up datasets (error bars show the 95</w:t>
      </w:r>
      <w:r w:rsidRPr="0056611F">
        <w:rPr>
          <w:vertAlign w:val="superscript"/>
        </w:rPr>
        <w:t>th</w:t>
      </w:r>
      <w:r w:rsidRPr="0056611F">
        <w:t xml:space="preserve"> percent confidence intervals). Blue bars show the alternative method using the TROPOMI-estimated </w:t>
      </w:r>
      <w:proofErr w:type="spellStart"/>
      <w:proofErr w:type="gramStart"/>
      <w:r w:rsidRPr="0056611F">
        <w:t>sectorally</w:t>
      </w:r>
      <w:proofErr w:type="spellEnd"/>
      <w:r w:rsidRPr="0056611F">
        <w:t>-attributed</w:t>
      </w:r>
      <w:proofErr w:type="gramEnd"/>
      <w:r w:rsidRPr="0056611F">
        <w:t xml:space="preserve"> dataset from East et al. The sectoral attribution here follows the methods outlined in Shen e</w:t>
      </w:r>
      <w:r w:rsidRPr="00D118CD">
        <w:t>t al.</w:t>
      </w:r>
      <w:r w:rsidRPr="00D118CD">
        <w:rPr>
          <w:vertAlign w:val="superscript"/>
        </w:rPr>
        <w:t>1</w:t>
      </w:r>
    </w:p>
    <w:p w14:paraId="47CBF40B" w14:textId="77777777" w:rsidR="00C75ED2" w:rsidRDefault="00C75ED2" w:rsidP="006C2A11">
      <w:pPr>
        <w:rPr>
          <w:b/>
          <w:bCs/>
          <w:sz w:val="28"/>
          <w:szCs w:val="32"/>
        </w:rPr>
      </w:pPr>
    </w:p>
    <w:p w14:paraId="38DC976D" w14:textId="77777777" w:rsidR="006F2FA4" w:rsidRDefault="006F2FA4" w:rsidP="006C2A11">
      <w:pPr>
        <w:rPr>
          <w:b/>
          <w:bCs/>
          <w:sz w:val="28"/>
          <w:szCs w:val="32"/>
        </w:rPr>
      </w:pPr>
    </w:p>
    <w:p w14:paraId="70629EC2" w14:textId="77777777" w:rsidR="006F2FA4" w:rsidRDefault="006F2FA4" w:rsidP="006C2A11">
      <w:pPr>
        <w:rPr>
          <w:b/>
          <w:bCs/>
          <w:sz w:val="28"/>
          <w:szCs w:val="32"/>
        </w:rPr>
      </w:pPr>
    </w:p>
    <w:p w14:paraId="23ABA578" w14:textId="77777777" w:rsidR="006F2FA4" w:rsidRDefault="006F2FA4" w:rsidP="006C2A11">
      <w:pPr>
        <w:rPr>
          <w:b/>
          <w:bCs/>
          <w:sz w:val="28"/>
          <w:szCs w:val="32"/>
        </w:rPr>
      </w:pPr>
    </w:p>
    <w:p w14:paraId="59F276A1" w14:textId="77777777" w:rsidR="006F2FA4" w:rsidRDefault="006F2FA4" w:rsidP="006C2A11">
      <w:pPr>
        <w:rPr>
          <w:b/>
          <w:bCs/>
          <w:sz w:val="28"/>
          <w:szCs w:val="32"/>
        </w:rPr>
      </w:pPr>
    </w:p>
    <w:p w14:paraId="72DE5F27" w14:textId="77777777" w:rsidR="00A94D3A" w:rsidRDefault="00A94D3A" w:rsidP="006C2A11">
      <w:pPr>
        <w:rPr>
          <w:b/>
          <w:bCs/>
          <w:sz w:val="28"/>
          <w:szCs w:val="32"/>
        </w:rPr>
      </w:pPr>
    </w:p>
    <w:p w14:paraId="47FCE778" w14:textId="0106C989" w:rsidR="00CC7AA6" w:rsidRDefault="00CC7AA6" w:rsidP="006C2A11">
      <w:pPr>
        <w:rPr>
          <w:sz w:val="28"/>
          <w:szCs w:val="32"/>
        </w:rPr>
      </w:pPr>
      <w:r w:rsidRPr="00CB2E46">
        <w:rPr>
          <w:b/>
          <w:bCs/>
          <w:sz w:val="28"/>
          <w:szCs w:val="32"/>
        </w:rPr>
        <w:lastRenderedPageBreak/>
        <w:t xml:space="preserve">Supplementary Note </w:t>
      </w:r>
      <w:r>
        <w:rPr>
          <w:b/>
          <w:bCs/>
          <w:sz w:val="28"/>
          <w:szCs w:val="32"/>
        </w:rPr>
        <w:t>2</w:t>
      </w:r>
      <w:r w:rsidRPr="00CB2E46">
        <w:rPr>
          <w:b/>
          <w:bCs/>
          <w:sz w:val="28"/>
          <w:szCs w:val="32"/>
        </w:rPr>
        <w:t>:</w:t>
      </w:r>
      <w:r w:rsidRPr="00CB2E46">
        <w:rPr>
          <w:sz w:val="28"/>
          <w:szCs w:val="32"/>
        </w:rPr>
        <w:t xml:space="preserve"> </w:t>
      </w:r>
      <w:r w:rsidR="00760E68">
        <w:rPr>
          <w:sz w:val="28"/>
          <w:szCs w:val="32"/>
        </w:rPr>
        <w:t>Equivalent energy-normalized methane</w:t>
      </w:r>
      <w:r w:rsidR="00C75ED2">
        <w:rPr>
          <w:sz w:val="28"/>
          <w:szCs w:val="32"/>
        </w:rPr>
        <w:t xml:space="preserve"> intensity threshold </w:t>
      </w:r>
      <w:r w:rsidR="00760E68">
        <w:rPr>
          <w:sz w:val="28"/>
          <w:szCs w:val="32"/>
        </w:rPr>
        <w:t>of 0.2 percent of marketed natural gas production</w:t>
      </w:r>
    </w:p>
    <w:p w14:paraId="32E36B4F" w14:textId="77777777" w:rsidR="00C75ED2" w:rsidRDefault="00C75ED2" w:rsidP="006C2A11">
      <w:pPr>
        <w:rPr>
          <w:sz w:val="28"/>
          <w:szCs w:val="32"/>
        </w:rPr>
      </w:pPr>
    </w:p>
    <w:p w14:paraId="108D7B36" w14:textId="2EF37A3F" w:rsidR="00926DCE" w:rsidRDefault="00926DCE" w:rsidP="00926DCE">
      <w:pPr>
        <w:spacing w:line="276" w:lineRule="auto"/>
        <w:rPr>
          <w:sz w:val="24"/>
          <w:szCs w:val="28"/>
        </w:rPr>
      </w:pPr>
      <w:r w:rsidRPr="00926DCE">
        <w:rPr>
          <w:sz w:val="24"/>
          <w:szCs w:val="28"/>
        </w:rPr>
        <w:t>The Oil and Gas Decarbonization Charter (OGDC; https://www.ogdc.org/oil-gas-decarbonization-charter/) establishes a near</w:t>
      </w:r>
      <w:r w:rsidRPr="00926DCE">
        <w:rPr>
          <w:sz w:val="24"/>
          <w:szCs w:val="28"/>
        </w:rPr>
        <w:noBreakHyphen/>
        <w:t>zero upstream methane emissions target for oil and gas operations of 0.2% methane intensity—defined as methane emissions normalized by marketed natural gas production—by 2030. As discussed by Seymour et a</w:t>
      </w:r>
      <w:r w:rsidRPr="00D118CD">
        <w:rPr>
          <w:sz w:val="24"/>
          <w:szCs w:val="28"/>
        </w:rPr>
        <w:t>l.³,</w:t>
      </w:r>
      <w:r w:rsidRPr="00926DCE">
        <w:rPr>
          <w:sz w:val="24"/>
          <w:szCs w:val="28"/>
        </w:rPr>
        <w:t xml:space="preserve"> gas-production</w:t>
      </w:r>
      <w:r w:rsidRPr="00926DCE">
        <w:rPr>
          <w:sz w:val="24"/>
          <w:szCs w:val="28"/>
        </w:rPr>
        <w:noBreakHyphen/>
        <w:t xml:space="preserve">normalized methane intensities reflect how effectively methane emissions from natural gas production are managed, representing the fraction of produced natural gas that is lost to the atmosphere. However, there are currently no analogous methane intensity targets for systems that predominantly produce oil, </w:t>
      </w:r>
      <w:r w:rsidR="00DB269E">
        <w:rPr>
          <w:sz w:val="24"/>
          <w:szCs w:val="28"/>
        </w:rPr>
        <w:t>even as</w:t>
      </w:r>
      <w:r w:rsidRPr="00926DCE">
        <w:rPr>
          <w:sz w:val="24"/>
          <w:szCs w:val="28"/>
        </w:rPr>
        <w:t xml:space="preserve"> methane may still be emitted or vented from co</w:t>
      </w:r>
      <w:r w:rsidRPr="00926DCE">
        <w:rPr>
          <w:sz w:val="24"/>
          <w:szCs w:val="28"/>
        </w:rPr>
        <w:noBreakHyphen/>
        <w:t xml:space="preserve">produced natural gas or from inefficient flaring systems. </w:t>
      </w:r>
      <w:r>
        <w:rPr>
          <w:sz w:val="24"/>
          <w:szCs w:val="28"/>
        </w:rPr>
        <w:t>Accordingly</w:t>
      </w:r>
      <w:r w:rsidRPr="00926DCE">
        <w:rPr>
          <w:sz w:val="24"/>
          <w:szCs w:val="28"/>
        </w:rPr>
        <w:t>, we report both gas</w:t>
      </w:r>
      <w:r w:rsidRPr="00926DCE">
        <w:rPr>
          <w:sz w:val="24"/>
          <w:szCs w:val="28"/>
        </w:rPr>
        <w:noBreakHyphen/>
        <w:t>production</w:t>
      </w:r>
      <w:r w:rsidRPr="00926DCE">
        <w:rPr>
          <w:sz w:val="24"/>
          <w:szCs w:val="28"/>
        </w:rPr>
        <w:noBreakHyphen/>
        <w:t>normalized methane intensities (percentage of methane emitted relative to methane produced) and energy</w:t>
      </w:r>
      <w:r w:rsidRPr="00926DCE">
        <w:rPr>
          <w:sz w:val="24"/>
          <w:szCs w:val="28"/>
        </w:rPr>
        <w:noBreakHyphen/>
        <w:t>normalized methane intensities (methane emitted relative to total oil and gas production, expressed in kilograms per gigajoule)</w:t>
      </w:r>
      <w:r w:rsidR="009B3ED4">
        <w:rPr>
          <w:sz w:val="24"/>
          <w:szCs w:val="28"/>
        </w:rPr>
        <w:t xml:space="preserve"> to enable cross-comparison across different regions.</w:t>
      </w:r>
    </w:p>
    <w:p w14:paraId="67C6FE07" w14:textId="77777777" w:rsidR="009B3ED4" w:rsidRPr="00926DCE" w:rsidRDefault="009B3ED4" w:rsidP="00926DCE">
      <w:pPr>
        <w:spacing w:line="276" w:lineRule="auto"/>
        <w:rPr>
          <w:sz w:val="24"/>
          <w:szCs w:val="28"/>
        </w:rPr>
      </w:pPr>
    </w:p>
    <w:p w14:paraId="1EBC7334" w14:textId="49013C69" w:rsidR="00926DCE" w:rsidRDefault="00926DCE" w:rsidP="00926DCE">
      <w:pPr>
        <w:spacing w:line="276" w:lineRule="auto"/>
        <w:rPr>
          <w:sz w:val="24"/>
        </w:rPr>
      </w:pPr>
      <w:r w:rsidRPr="1C8341F8">
        <w:rPr>
          <w:sz w:val="24"/>
        </w:rPr>
        <w:t xml:space="preserve">The OGDC methane intensity target of 0.2% is equivalent to 0.03 kg/GJ under the assumption that 100% of total energy production is derived from natural gas, using a methane content of 90%, a methane density of 19.2 kg per 1,000 cubic feet, and a conversion factor of 1 GJ = 26.85 m³ of natural gas. In </w:t>
      </w:r>
      <w:r w:rsidR="00E453D7">
        <w:rPr>
          <w:sz w:val="24"/>
        </w:rPr>
        <w:t>general</w:t>
      </w:r>
      <w:r w:rsidRPr="1C8341F8">
        <w:rPr>
          <w:sz w:val="24"/>
        </w:rPr>
        <w:t>, however, most oil and gas fields produce both oil and gas, with wide variation in the share of total energy supplied by gas. We analyzed asset and field</w:t>
      </w:r>
      <w:r w:rsidR="001164C5">
        <w:rPr>
          <w:sz w:val="24"/>
        </w:rPr>
        <w:t>-</w:t>
      </w:r>
      <w:r w:rsidRPr="1C8341F8">
        <w:rPr>
          <w:sz w:val="24"/>
        </w:rPr>
        <w:t>level marketed oil and gas production data from Wood Mackenzie for 2024, covering more than 9,</w:t>
      </w:r>
      <w:r w:rsidR="006368D5" w:rsidRPr="1C8341F8">
        <w:rPr>
          <w:sz w:val="24"/>
        </w:rPr>
        <w:t>00</w:t>
      </w:r>
      <w:r w:rsidR="006368D5">
        <w:rPr>
          <w:sz w:val="24"/>
        </w:rPr>
        <w:t>4</w:t>
      </w:r>
      <w:r w:rsidR="006368D5" w:rsidRPr="1C8341F8">
        <w:rPr>
          <w:sz w:val="24"/>
        </w:rPr>
        <w:t xml:space="preserve"> </w:t>
      </w:r>
      <w:r w:rsidRPr="1C8341F8">
        <w:rPr>
          <w:sz w:val="24"/>
        </w:rPr>
        <w:t>assets worldwide</w:t>
      </w:r>
      <w:r w:rsidR="009B3ED4" w:rsidRPr="1C8341F8">
        <w:rPr>
          <w:sz w:val="24"/>
        </w:rPr>
        <w:t xml:space="preserve"> (Supplementary Fig. 2)</w:t>
      </w:r>
      <w:r w:rsidRPr="1C8341F8">
        <w:rPr>
          <w:sz w:val="24"/>
        </w:rPr>
        <w:t>. This analysis shows that approximately half of all assets</w:t>
      </w:r>
      <w:r w:rsidR="009B3ED4" w:rsidRPr="1C8341F8">
        <w:rPr>
          <w:sz w:val="24"/>
        </w:rPr>
        <w:t xml:space="preserve"> or oil and gas fields</w:t>
      </w:r>
      <w:r w:rsidRPr="1C8341F8">
        <w:rPr>
          <w:sz w:val="24"/>
        </w:rPr>
        <w:t xml:space="preserve"> (49%) derive less than 5% of their total energy production from gas</w:t>
      </w:r>
      <w:r w:rsidR="00D3153A">
        <w:rPr>
          <w:sz w:val="24"/>
        </w:rPr>
        <w:t>.</w:t>
      </w:r>
    </w:p>
    <w:p w14:paraId="1ACC4A86" w14:textId="77777777" w:rsidR="009B3ED4" w:rsidRPr="00926DCE" w:rsidRDefault="009B3ED4" w:rsidP="00926DCE">
      <w:pPr>
        <w:spacing w:line="276" w:lineRule="auto"/>
        <w:rPr>
          <w:sz w:val="24"/>
          <w:szCs w:val="28"/>
        </w:rPr>
      </w:pPr>
    </w:p>
    <w:p w14:paraId="3FAC194B" w14:textId="407A8E9D" w:rsidR="005959FC" w:rsidRDefault="00926DCE" w:rsidP="00742938">
      <w:pPr>
        <w:spacing w:line="276" w:lineRule="auto"/>
        <w:rPr>
          <w:sz w:val="24"/>
          <w:szCs w:val="28"/>
        </w:rPr>
      </w:pPr>
      <w:r w:rsidRPr="00926DCE">
        <w:rPr>
          <w:sz w:val="24"/>
        </w:rPr>
        <w:t xml:space="preserve">If </w:t>
      </w:r>
      <w:r w:rsidR="00D3153A">
        <w:rPr>
          <w:sz w:val="24"/>
        </w:rPr>
        <w:t xml:space="preserve">we assume an oil-only system </w:t>
      </w:r>
      <w:r w:rsidR="005A3CAB">
        <w:rPr>
          <w:sz w:val="24"/>
        </w:rPr>
        <w:t xml:space="preserve">(95% oil, 5% gas, Sup. Fig. 2) </w:t>
      </w:r>
      <w:r w:rsidR="00D3153A">
        <w:rPr>
          <w:sz w:val="24"/>
        </w:rPr>
        <w:t>is</w:t>
      </w:r>
      <w:r w:rsidRPr="00926DCE">
        <w:rPr>
          <w:sz w:val="24"/>
        </w:rPr>
        <w:t xml:space="preserve"> unable to productively utilize associated gas and instead flare it at a high combustion efficiency of 98%, </w:t>
      </w:r>
      <w:r w:rsidR="00D3153A">
        <w:rPr>
          <w:sz w:val="24"/>
        </w:rPr>
        <w:t>we estimate the</w:t>
      </w:r>
      <w:r w:rsidRPr="00926DCE">
        <w:rPr>
          <w:sz w:val="24"/>
        </w:rPr>
        <w:t xml:space="preserve"> result</w:t>
      </w:r>
      <w:r w:rsidR="00D3153A">
        <w:rPr>
          <w:sz w:val="24"/>
        </w:rPr>
        <w:t xml:space="preserve">ant </w:t>
      </w:r>
      <w:r w:rsidRPr="00926DCE">
        <w:rPr>
          <w:sz w:val="24"/>
        </w:rPr>
        <w:t xml:space="preserve">methane intensity </w:t>
      </w:r>
      <w:r w:rsidR="00D3153A">
        <w:rPr>
          <w:sz w:val="24"/>
        </w:rPr>
        <w:t xml:space="preserve">at </w:t>
      </w:r>
      <w:r w:rsidRPr="00926DCE">
        <w:rPr>
          <w:sz w:val="24"/>
        </w:rPr>
        <w:t xml:space="preserve">0.017 kg/GJ. This estimate assumes a natural gas methane content of 90% </w:t>
      </w:r>
      <w:r w:rsidR="005A3CAB">
        <w:rPr>
          <w:sz w:val="24"/>
        </w:rPr>
        <w:t xml:space="preserve">(for dry marketed gas production) </w:t>
      </w:r>
      <w:r w:rsidRPr="00926DCE">
        <w:rPr>
          <w:sz w:val="24"/>
        </w:rPr>
        <w:t>and an energy equivalence of 1 barrel of oil equivalent (</w:t>
      </w:r>
      <w:proofErr w:type="spellStart"/>
      <w:r w:rsidRPr="00926DCE">
        <w:rPr>
          <w:sz w:val="24"/>
        </w:rPr>
        <w:t>boe</w:t>
      </w:r>
      <w:proofErr w:type="spellEnd"/>
      <w:r w:rsidRPr="00926DCE">
        <w:rPr>
          <w:sz w:val="24"/>
        </w:rPr>
        <w:t xml:space="preserve">) = 6,000 cubic feet of natural gas, with 1,000 cubic feet of methane corresponding to 19.2 kg of methane. </w:t>
      </w:r>
    </w:p>
    <w:p w14:paraId="7E3C4F4B" w14:textId="5D28270D" w:rsidR="005959FC" w:rsidRPr="005959FC" w:rsidRDefault="005959FC" w:rsidP="005959FC">
      <w:pPr>
        <w:spacing w:line="276" w:lineRule="auto"/>
        <w:rPr>
          <w:sz w:val="24"/>
          <w:szCs w:val="28"/>
        </w:rPr>
      </w:pPr>
      <w:r w:rsidRPr="005959FC">
        <w:rPr>
          <w:noProof/>
          <w:sz w:val="24"/>
          <w:szCs w:val="28"/>
        </w:rPr>
        <w:lastRenderedPageBreak/>
        <w:drawing>
          <wp:inline distT="0" distB="0" distL="0" distR="0" wp14:anchorId="698068AB" wp14:editId="6C197B22">
            <wp:extent cx="5943600" cy="3025140"/>
            <wp:effectExtent l="0" t="0" r="0" b="3810"/>
            <wp:docPr id="18821662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025140"/>
                    </a:xfrm>
                    <a:prstGeom prst="rect">
                      <a:avLst/>
                    </a:prstGeom>
                    <a:noFill/>
                    <a:ln>
                      <a:noFill/>
                    </a:ln>
                  </pic:spPr>
                </pic:pic>
              </a:graphicData>
            </a:graphic>
          </wp:inline>
        </w:drawing>
      </w:r>
    </w:p>
    <w:p w14:paraId="1C22551F" w14:textId="096003A7" w:rsidR="005959FC" w:rsidRDefault="005959FC" w:rsidP="00742938">
      <w:pPr>
        <w:spacing w:line="276" w:lineRule="auto"/>
      </w:pPr>
      <w:r w:rsidRPr="00926DCE">
        <w:rPr>
          <w:b/>
          <w:bCs/>
        </w:rPr>
        <w:t xml:space="preserve">Supplementary Figure 2. </w:t>
      </w:r>
      <w:r w:rsidRPr="00926DCE">
        <w:t xml:space="preserve">A histogram of oil and gas “assets” or fields as functions of the energy fraction of gas (i.e., the proportion of total energy production coming from gas). </w:t>
      </w:r>
      <w:r w:rsidR="00926DCE" w:rsidRPr="00926DCE">
        <w:t xml:space="preserve">We analyze 9,004 asset-level or field-level production data from </w:t>
      </w:r>
      <w:proofErr w:type="spellStart"/>
      <w:r w:rsidR="00926DCE" w:rsidRPr="00926DCE">
        <w:t>WoodMac</w:t>
      </w:r>
      <w:proofErr w:type="spellEnd"/>
      <w:r w:rsidR="00926DCE" w:rsidRPr="00926DCE">
        <w:t xml:space="preserve"> and find that roughly half (49%) have less than five percent energy fraction of gas, while accounting for approximately one-third (36%) of the cumulative energy production from all 9,004 assets or fields.  </w:t>
      </w:r>
      <w:r w:rsidRPr="00926DCE">
        <w:t xml:space="preserve"> </w:t>
      </w:r>
    </w:p>
    <w:p w14:paraId="4EAF7EB4" w14:textId="77777777" w:rsidR="007D7B97" w:rsidRDefault="007D7B97" w:rsidP="00742938">
      <w:pPr>
        <w:spacing w:line="276" w:lineRule="auto"/>
      </w:pPr>
    </w:p>
    <w:p w14:paraId="3CF12F9F" w14:textId="77777777" w:rsidR="007D7B97" w:rsidRDefault="007D7B97" w:rsidP="00742938">
      <w:pPr>
        <w:spacing w:line="276" w:lineRule="auto"/>
      </w:pPr>
    </w:p>
    <w:p w14:paraId="4A781040" w14:textId="7366C5ED" w:rsidR="00545C89" w:rsidRPr="00545C89" w:rsidRDefault="00545C89" w:rsidP="00545C89">
      <w:pPr>
        <w:spacing w:line="276" w:lineRule="auto"/>
      </w:pPr>
      <w:r w:rsidRPr="00545C89">
        <w:rPr>
          <w:rFonts w:ascii="Times New Roman" w:eastAsia="Times New Roman" w:hAnsi="Times New Roman" w:cs="Times New Roman"/>
          <w:kern w:val="0"/>
          <w:sz w:val="24"/>
          <w14:ligatures w14:val="none"/>
        </w:rPr>
        <w:t xml:space="preserve"> </w:t>
      </w:r>
    </w:p>
    <w:p w14:paraId="7BD330CF" w14:textId="7B14321A" w:rsidR="007D7B97" w:rsidRPr="007D7B97" w:rsidRDefault="007D7B97" w:rsidP="007D7B97">
      <w:pPr>
        <w:spacing w:line="276" w:lineRule="auto"/>
      </w:pPr>
    </w:p>
    <w:p w14:paraId="62F66876" w14:textId="77777777" w:rsidR="007D7B97" w:rsidRDefault="007D7B97" w:rsidP="00742938">
      <w:pPr>
        <w:spacing w:line="276" w:lineRule="auto"/>
      </w:pPr>
    </w:p>
    <w:p w14:paraId="7C5F9799" w14:textId="77777777" w:rsidR="004F436C" w:rsidRDefault="004F436C" w:rsidP="00742938">
      <w:pPr>
        <w:spacing w:line="276" w:lineRule="auto"/>
      </w:pPr>
    </w:p>
    <w:p w14:paraId="2FEE6D2F" w14:textId="77777777" w:rsidR="004F436C" w:rsidRDefault="004F436C" w:rsidP="00742938">
      <w:pPr>
        <w:spacing w:line="276" w:lineRule="auto"/>
      </w:pPr>
    </w:p>
    <w:p w14:paraId="5DA6F171" w14:textId="77777777" w:rsidR="004F436C" w:rsidRDefault="004F436C" w:rsidP="00742938">
      <w:pPr>
        <w:spacing w:line="276" w:lineRule="auto"/>
      </w:pPr>
    </w:p>
    <w:p w14:paraId="79BC05F6" w14:textId="77777777" w:rsidR="004F436C" w:rsidRDefault="004F436C" w:rsidP="00742938">
      <w:pPr>
        <w:spacing w:line="276" w:lineRule="auto"/>
      </w:pPr>
    </w:p>
    <w:p w14:paraId="7F230E07" w14:textId="77777777" w:rsidR="004F436C" w:rsidRDefault="004F436C" w:rsidP="00742938">
      <w:pPr>
        <w:spacing w:line="276" w:lineRule="auto"/>
      </w:pPr>
    </w:p>
    <w:p w14:paraId="2B85E419" w14:textId="77777777" w:rsidR="004F436C" w:rsidRDefault="004F436C" w:rsidP="00742938">
      <w:pPr>
        <w:spacing w:line="276" w:lineRule="auto"/>
      </w:pPr>
    </w:p>
    <w:p w14:paraId="050B1024" w14:textId="77777777" w:rsidR="004F436C" w:rsidRDefault="004F436C" w:rsidP="00742938">
      <w:pPr>
        <w:spacing w:line="276" w:lineRule="auto"/>
      </w:pPr>
    </w:p>
    <w:p w14:paraId="2DDEC2A0" w14:textId="77777777" w:rsidR="004F436C" w:rsidRDefault="004F436C" w:rsidP="00742938">
      <w:pPr>
        <w:spacing w:line="276" w:lineRule="auto"/>
      </w:pPr>
    </w:p>
    <w:p w14:paraId="244FE210" w14:textId="77777777" w:rsidR="004F436C" w:rsidRDefault="004F436C" w:rsidP="00742938">
      <w:pPr>
        <w:spacing w:line="276" w:lineRule="auto"/>
      </w:pPr>
    </w:p>
    <w:p w14:paraId="49AE1A9B" w14:textId="77777777" w:rsidR="004F436C" w:rsidRDefault="004F436C" w:rsidP="00742938">
      <w:pPr>
        <w:spacing w:line="276" w:lineRule="auto"/>
      </w:pPr>
    </w:p>
    <w:p w14:paraId="18A8CCE5" w14:textId="77777777" w:rsidR="004F436C" w:rsidRDefault="004F436C" w:rsidP="00742938">
      <w:pPr>
        <w:spacing w:line="276" w:lineRule="auto"/>
      </w:pPr>
    </w:p>
    <w:p w14:paraId="29581F5C" w14:textId="77777777" w:rsidR="004F436C" w:rsidRDefault="004F436C" w:rsidP="00742938">
      <w:pPr>
        <w:spacing w:line="276" w:lineRule="auto"/>
      </w:pPr>
    </w:p>
    <w:p w14:paraId="08D3A606" w14:textId="77777777" w:rsidR="004F436C" w:rsidRDefault="004F436C" w:rsidP="00742938">
      <w:pPr>
        <w:spacing w:line="276" w:lineRule="auto"/>
      </w:pPr>
    </w:p>
    <w:p w14:paraId="7C90B4D2" w14:textId="77777777" w:rsidR="004F436C" w:rsidRDefault="004F436C" w:rsidP="00742938">
      <w:pPr>
        <w:spacing w:line="276" w:lineRule="auto"/>
      </w:pPr>
    </w:p>
    <w:p w14:paraId="03E61086" w14:textId="77777777" w:rsidR="004F436C" w:rsidRDefault="004F436C" w:rsidP="00742938">
      <w:pPr>
        <w:spacing w:line="276" w:lineRule="auto"/>
      </w:pPr>
    </w:p>
    <w:p w14:paraId="2B71BB79" w14:textId="77777777" w:rsidR="004F436C" w:rsidRDefault="004F436C" w:rsidP="00742938">
      <w:pPr>
        <w:spacing w:line="276" w:lineRule="auto"/>
      </w:pPr>
    </w:p>
    <w:p w14:paraId="2700C62C" w14:textId="77777777" w:rsidR="004F436C" w:rsidRDefault="004F436C" w:rsidP="00742938">
      <w:pPr>
        <w:spacing w:line="276" w:lineRule="auto"/>
      </w:pPr>
    </w:p>
    <w:p w14:paraId="7F2A8D22" w14:textId="6D3516B2" w:rsidR="004F436C" w:rsidRDefault="004F436C" w:rsidP="004F436C">
      <w:pPr>
        <w:rPr>
          <w:sz w:val="28"/>
          <w:szCs w:val="32"/>
        </w:rPr>
      </w:pPr>
      <w:r w:rsidRPr="00CB2E46">
        <w:rPr>
          <w:b/>
          <w:bCs/>
          <w:sz w:val="28"/>
          <w:szCs w:val="32"/>
        </w:rPr>
        <w:lastRenderedPageBreak/>
        <w:t xml:space="preserve">Supplementary Note </w:t>
      </w:r>
      <w:r>
        <w:rPr>
          <w:b/>
          <w:bCs/>
          <w:sz w:val="28"/>
          <w:szCs w:val="32"/>
        </w:rPr>
        <w:t>3</w:t>
      </w:r>
      <w:r w:rsidRPr="00CB2E46">
        <w:rPr>
          <w:b/>
          <w:bCs/>
          <w:sz w:val="28"/>
          <w:szCs w:val="32"/>
        </w:rPr>
        <w:t>:</w:t>
      </w:r>
      <w:r w:rsidRPr="00CB2E46">
        <w:rPr>
          <w:sz w:val="28"/>
          <w:szCs w:val="32"/>
        </w:rPr>
        <w:t xml:space="preserve"> </w:t>
      </w:r>
      <w:r>
        <w:rPr>
          <w:sz w:val="28"/>
          <w:szCs w:val="32"/>
        </w:rPr>
        <w:t xml:space="preserve">Adjusting the annual estimates from the </w:t>
      </w:r>
      <w:r w:rsidR="00371990">
        <w:rPr>
          <w:sz w:val="28"/>
          <w:szCs w:val="32"/>
        </w:rPr>
        <w:t>spatially-explicit UNFCCC inventory (</w:t>
      </w:r>
      <w:r w:rsidR="002E0D27">
        <w:rPr>
          <w:sz w:val="28"/>
          <w:szCs w:val="32"/>
        </w:rPr>
        <w:t>GFEI v3</w:t>
      </w:r>
      <w:r w:rsidR="00371990">
        <w:rPr>
          <w:sz w:val="28"/>
          <w:szCs w:val="32"/>
        </w:rPr>
        <w:t>)</w:t>
      </w:r>
      <w:r w:rsidR="002E0D27">
        <w:rPr>
          <w:sz w:val="28"/>
          <w:szCs w:val="32"/>
        </w:rPr>
        <w:t xml:space="preserve">: </w:t>
      </w:r>
      <w:r>
        <w:rPr>
          <w:sz w:val="28"/>
          <w:szCs w:val="32"/>
        </w:rPr>
        <w:t xml:space="preserve">2020—2024 </w:t>
      </w:r>
    </w:p>
    <w:p w14:paraId="37D6FE77" w14:textId="77777777" w:rsidR="004F436C" w:rsidRDefault="004F436C" w:rsidP="004F436C">
      <w:pPr>
        <w:rPr>
          <w:sz w:val="28"/>
          <w:szCs w:val="32"/>
        </w:rPr>
      </w:pPr>
    </w:p>
    <w:p w14:paraId="7153A9D1" w14:textId="47327249" w:rsidR="00752881" w:rsidRDefault="00B6173A" w:rsidP="00752881">
      <w:pPr>
        <w:spacing w:line="276" w:lineRule="auto"/>
        <w:rPr>
          <w:sz w:val="24"/>
          <w:szCs w:val="28"/>
        </w:rPr>
      </w:pPr>
      <w:r>
        <w:rPr>
          <w:sz w:val="24"/>
          <w:szCs w:val="28"/>
        </w:rPr>
        <w:t xml:space="preserve">We use the </w:t>
      </w:r>
      <w:proofErr w:type="gramStart"/>
      <w:r>
        <w:rPr>
          <w:sz w:val="24"/>
          <w:szCs w:val="28"/>
        </w:rPr>
        <w:t>spatially-explicit</w:t>
      </w:r>
      <w:proofErr w:type="gramEnd"/>
      <w:r>
        <w:rPr>
          <w:sz w:val="24"/>
          <w:szCs w:val="28"/>
        </w:rPr>
        <w:t xml:space="preserve"> GFEI v3 inventory (Scarpelli et al.</w:t>
      </w:r>
      <w:r w:rsidRPr="00B6173A">
        <w:rPr>
          <w:sz w:val="24"/>
          <w:szCs w:val="28"/>
          <w:vertAlign w:val="superscript"/>
        </w:rPr>
        <w:t>4</w:t>
      </w:r>
      <w:r>
        <w:rPr>
          <w:sz w:val="24"/>
          <w:szCs w:val="28"/>
        </w:rPr>
        <w:t xml:space="preserve">) as the </w:t>
      </w:r>
      <w:r w:rsidR="00905C4B">
        <w:rPr>
          <w:sz w:val="24"/>
          <w:szCs w:val="28"/>
        </w:rPr>
        <w:t xml:space="preserve">reference bottom-up inventory in our comparison with MethaneSAT emission quantification results. </w:t>
      </w:r>
      <w:r w:rsidR="00752881" w:rsidRPr="00752881">
        <w:rPr>
          <w:sz w:val="24"/>
          <w:szCs w:val="28"/>
        </w:rPr>
        <w:t xml:space="preserve">The most recent year for which inventory-based emissions estimates are available is 2020. To facilitate a more robust comparison with MethaneSAT oil and gas methane emissions estimates for 2024–2025, we scale the </w:t>
      </w:r>
      <w:r w:rsidR="00905C4B">
        <w:rPr>
          <w:sz w:val="24"/>
          <w:szCs w:val="28"/>
        </w:rPr>
        <w:t>GFEI v3</w:t>
      </w:r>
      <w:r w:rsidR="00752881" w:rsidRPr="00752881">
        <w:rPr>
          <w:sz w:val="24"/>
          <w:szCs w:val="28"/>
        </w:rPr>
        <w:t xml:space="preserve"> emissions data according to the percent change in total oil and gas production between 2020 and 2024 for each region. This approach assumes that regionally estimated </w:t>
      </w:r>
      <w:r w:rsidR="00905C4B">
        <w:rPr>
          <w:sz w:val="24"/>
          <w:szCs w:val="28"/>
        </w:rPr>
        <w:t xml:space="preserve">bottom-up </w:t>
      </w:r>
      <w:r w:rsidR="00752881" w:rsidRPr="00752881">
        <w:rPr>
          <w:sz w:val="24"/>
          <w:szCs w:val="28"/>
        </w:rPr>
        <w:t xml:space="preserve">methane emissions scale proportionally with production, which is reasonable </w:t>
      </w:r>
      <w:r w:rsidR="00D64C20">
        <w:rPr>
          <w:sz w:val="24"/>
          <w:szCs w:val="28"/>
        </w:rPr>
        <w:t xml:space="preserve">assumption </w:t>
      </w:r>
      <w:r w:rsidR="00752881" w:rsidRPr="00752881">
        <w:rPr>
          <w:sz w:val="24"/>
          <w:szCs w:val="28"/>
        </w:rPr>
        <w:t xml:space="preserve">given the strong reliance on </w:t>
      </w:r>
      <w:r w:rsidR="00D64C20">
        <w:rPr>
          <w:sz w:val="24"/>
          <w:szCs w:val="28"/>
        </w:rPr>
        <w:t xml:space="preserve">inventory emissions on </w:t>
      </w:r>
      <w:r w:rsidR="00752881" w:rsidRPr="00752881">
        <w:rPr>
          <w:sz w:val="24"/>
          <w:szCs w:val="28"/>
        </w:rPr>
        <w:t>activity data—such as oil and gas production—in the construction of bottom</w:t>
      </w:r>
      <w:r w:rsidR="00752881" w:rsidRPr="00752881">
        <w:rPr>
          <w:sz w:val="24"/>
          <w:szCs w:val="28"/>
        </w:rPr>
        <w:noBreakHyphen/>
        <w:t>up inventory estimates.</w:t>
      </w:r>
    </w:p>
    <w:p w14:paraId="664994B2" w14:textId="77777777" w:rsidR="00752881" w:rsidRPr="00752881" w:rsidRDefault="00752881" w:rsidP="00752881">
      <w:pPr>
        <w:spacing w:line="276" w:lineRule="auto"/>
        <w:rPr>
          <w:sz w:val="24"/>
          <w:szCs w:val="28"/>
        </w:rPr>
      </w:pPr>
    </w:p>
    <w:p w14:paraId="31A69CAE" w14:textId="17B45B0D" w:rsidR="00752881" w:rsidRDefault="00752881" w:rsidP="00752881">
      <w:pPr>
        <w:spacing w:line="276" w:lineRule="auto"/>
        <w:rPr>
          <w:sz w:val="24"/>
          <w:szCs w:val="28"/>
        </w:rPr>
      </w:pPr>
      <w:r w:rsidRPr="00752881">
        <w:rPr>
          <w:sz w:val="24"/>
          <w:szCs w:val="28"/>
        </w:rPr>
        <w:t xml:space="preserve">Supplementary Figure 4 illustrates the difference between estimated oil and gas methane emissions for 2020, as reported by </w:t>
      </w:r>
      <w:r w:rsidR="006C320A">
        <w:rPr>
          <w:sz w:val="24"/>
          <w:szCs w:val="28"/>
        </w:rPr>
        <w:t>Scarpelli</w:t>
      </w:r>
      <w:r w:rsidRPr="00752881">
        <w:rPr>
          <w:sz w:val="24"/>
          <w:szCs w:val="28"/>
        </w:rPr>
        <w:t xml:space="preserve"> </w:t>
      </w:r>
      <w:r w:rsidRPr="00F25A05">
        <w:rPr>
          <w:sz w:val="24"/>
          <w:szCs w:val="28"/>
        </w:rPr>
        <w:t>et al.⁴, and the corresponding</w:t>
      </w:r>
      <w:r w:rsidRPr="00752881">
        <w:rPr>
          <w:sz w:val="24"/>
          <w:szCs w:val="28"/>
        </w:rPr>
        <w:t xml:space="preserve"> 2024 values obtained by adjusting emissions based on relative changes in oil and gas production over this period. Marketed oil and gas production data are sourced from Wood Mackenzie.</w:t>
      </w:r>
      <w:r w:rsidR="000462E8">
        <w:rPr>
          <w:sz w:val="24"/>
          <w:szCs w:val="28"/>
        </w:rPr>
        <w:t xml:space="preserve"> In aggregate, we estimate the 2024 oil and gas methane emissions to be roughly 25% greater than the estimated emissions for 2020.</w:t>
      </w:r>
    </w:p>
    <w:p w14:paraId="1A2B35D0" w14:textId="77777777" w:rsidR="006C320A" w:rsidRDefault="006C320A" w:rsidP="00752881">
      <w:pPr>
        <w:spacing w:line="276" w:lineRule="auto"/>
        <w:rPr>
          <w:sz w:val="24"/>
          <w:szCs w:val="28"/>
        </w:rPr>
      </w:pPr>
    </w:p>
    <w:p w14:paraId="6746078E" w14:textId="31813306" w:rsidR="00752881" w:rsidRDefault="006C320A" w:rsidP="00752881">
      <w:pPr>
        <w:spacing w:line="276" w:lineRule="auto"/>
        <w:rPr>
          <w:sz w:val="24"/>
        </w:rPr>
      </w:pPr>
      <w:r>
        <w:rPr>
          <w:noProof/>
          <w:sz w:val="24"/>
        </w:rPr>
        <w:drawing>
          <wp:inline distT="0" distB="0" distL="0" distR="0" wp14:anchorId="430F36C7" wp14:editId="13EABAD2">
            <wp:extent cx="6470926" cy="2343150"/>
            <wp:effectExtent l="0" t="0" r="6350" b="0"/>
            <wp:docPr id="19040660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99332" cy="2353436"/>
                    </a:xfrm>
                    <a:prstGeom prst="rect">
                      <a:avLst/>
                    </a:prstGeom>
                    <a:noFill/>
                  </pic:spPr>
                </pic:pic>
              </a:graphicData>
            </a:graphic>
          </wp:inline>
        </w:drawing>
      </w:r>
    </w:p>
    <w:p w14:paraId="47E92E8C" w14:textId="5E652298" w:rsidR="006C320A" w:rsidRPr="00863CA1" w:rsidRDefault="006C320A" w:rsidP="00752881">
      <w:pPr>
        <w:spacing w:line="276" w:lineRule="auto"/>
        <w:rPr>
          <w:szCs w:val="22"/>
        </w:rPr>
      </w:pPr>
      <w:r w:rsidRPr="00863CA1">
        <w:rPr>
          <w:b/>
          <w:bCs/>
          <w:szCs w:val="22"/>
        </w:rPr>
        <w:t>Supplementary Figure 4.</w:t>
      </w:r>
      <w:r w:rsidRPr="00863CA1">
        <w:rPr>
          <w:szCs w:val="22"/>
        </w:rPr>
        <w:t xml:space="preserve"> Compari</w:t>
      </w:r>
      <w:r w:rsidR="000462E8" w:rsidRPr="00863CA1">
        <w:rPr>
          <w:szCs w:val="22"/>
        </w:rPr>
        <w:t>son of the UNFCCC oil and gas methane inventory (based on the GFEI inventory) for 2020 versus adjusted values for 2024.</w:t>
      </w:r>
    </w:p>
    <w:p w14:paraId="11371A1E" w14:textId="7D15C395" w:rsidR="000505B4" w:rsidRDefault="000505B4" w:rsidP="000505B4">
      <w:pPr>
        <w:spacing w:line="276" w:lineRule="auto"/>
        <w:rPr>
          <w:noProof/>
        </w:rPr>
      </w:pPr>
    </w:p>
    <w:p w14:paraId="28B20F16" w14:textId="77777777" w:rsidR="007C67A9" w:rsidRDefault="007C67A9" w:rsidP="000505B4">
      <w:pPr>
        <w:spacing w:line="276" w:lineRule="auto"/>
        <w:rPr>
          <w:noProof/>
        </w:rPr>
      </w:pPr>
    </w:p>
    <w:p w14:paraId="6D40CAB5" w14:textId="77777777" w:rsidR="007C67A9" w:rsidRDefault="007C67A9" w:rsidP="000505B4">
      <w:pPr>
        <w:spacing w:line="276" w:lineRule="auto"/>
        <w:rPr>
          <w:noProof/>
        </w:rPr>
      </w:pPr>
    </w:p>
    <w:p w14:paraId="407664B7" w14:textId="77777777" w:rsidR="007C67A9" w:rsidRDefault="007C67A9" w:rsidP="000505B4">
      <w:pPr>
        <w:spacing w:line="276" w:lineRule="auto"/>
        <w:rPr>
          <w:noProof/>
        </w:rPr>
      </w:pPr>
    </w:p>
    <w:p w14:paraId="15B018E7" w14:textId="77777777" w:rsidR="007C67A9" w:rsidRDefault="007C67A9" w:rsidP="000505B4">
      <w:pPr>
        <w:spacing w:line="276" w:lineRule="auto"/>
        <w:rPr>
          <w:noProof/>
        </w:rPr>
      </w:pPr>
    </w:p>
    <w:p w14:paraId="71C61F70" w14:textId="77777777" w:rsidR="007C67A9" w:rsidRDefault="007C67A9" w:rsidP="000505B4">
      <w:pPr>
        <w:spacing w:line="276" w:lineRule="auto"/>
        <w:rPr>
          <w:noProof/>
        </w:rPr>
      </w:pPr>
    </w:p>
    <w:p w14:paraId="5D2FB25F" w14:textId="77777777" w:rsidR="006916E2" w:rsidRDefault="007C67A9" w:rsidP="007C67A9">
      <w:pPr>
        <w:rPr>
          <w:sz w:val="28"/>
          <w:szCs w:val="32"/>
        </w:rPr>
      </w:pPr>
      <w:r w:rsidRPr="00CB2E46">
        <w:rPr>
          <w:b/>
          <w:bCs/>
          <w:sz w:val="28"/>
          <w:szCs w:val="32"/>
        </w:rPr>
        <w:lastRenderedPageBreak/>
        <w:t xml:space="preserve">Supplementary Note </w:t>
      </w:r>
      <w:r>
        <w:rPr>
          <w:b/>
          <w:bCs/>
          <w:sz w:val="28"/>
          <w:szCs w:val="32"/>
        </w:rPr>
        <w:t>4</w:t>
      </w:r>
      <w:r w:rsidRPr="00CB2E46">
        <w:rPr>
          <w:b/>
          <w:bCs/>
          <w:sz w:val="28"/>
          <w:szCs w:val="32"/>
        </w:rPr>
        <w:t>:</w:t>
      </w:r>
      <w:r w:rsidRPr="00CB2E46">
        <w:rPr>
          <w:sz w:val="28"/>
          <w:szCs w:val="32"/>
        </w:rPr>
        <w:t xml:space="preserve"> </w:t>
      </w:r>
      <w:r w:rsidR="006916E2">
        <w:rPr>
          <w:sz w:val="28"/>
          <w:szCs w:val="32"/>
        </w:rPr>
        <w:t>“Super-emitter” p</w:t>
      </w:r>
      <w:r>
        <w:rPr>
          <w:sz w:val="28"/>
          <w:szCs w:val="32"/>
        </w:rPr>
        <w:t xml:space="preserve">oint source </w:t>
      </w:r>
      <w:r w:rsidR="006916E2">
        <w:rPr>
          <w:sz w:val="28"/>
          <w:szCs w:val="32"/>
        </w:rPr>
        <w:t>emissions in MethaneSAT regions</w:t>
      </w:r>
    </w:p>
    <w:p w14:paraId="2B032C7C" w14:textId="77777777" w:rsidR="006916E2" w:rsidRDefault="006916E2" w:rsidP="007C67A9">
      <w:pPr>
        <w:rPr>
          <w:sz w:val="28"/>
          <w:szCs w:val="32"/>
        </w:rPr>
      </w:pPr>
    </w:p>
    <w:p w14:paraId="59359F21" w14:textId="10FFCD5F" w:rsidR="007C67A9" w:rsidRDefault="006916E2" w:rsidP="00DF4506">
      <w:pPr>
        <w:spacing w:line="276" w:lineRule="auto"/>
        <w:rPr>
          <w:sz w:val="28"/>
          <w:szCs w:val="32"/>
        </w:rPr>
      </w:pPr>
      <w:r>
        <w:rPr>
          <w:sz w:val="24"/>
          <w:szCs w:val="28"/>
        </w:rPr>
        <w:t>Guanter et al.</w:t>
      </w:r>
      <w:r w:rsidRPr="006916E2">
        <w:rPr>
          <w:sz w:val="24"/>
          <w:szCs w:val="28"/>
          <w:vertAlign w:val="superscript"/>
        </w:rPr>
        <w:t>5</w:t>
      </w:r>
      <w:r>
        <w:rPr>
          <w:sz w:val="24"/>
          <w:szCs w:val="28"/>
        </w:rPr>
        <w:t xml:space="preserve"> presents a detailed assessment of “super-emitter” methane emissions detected and quantified by MethaneSAT for several key oil and gas production regions globally.</w:t>
      </w:r>
      <w:r w:rsidR="005B41EF">
        <w:rPr>
          <w:sz w:val="24"/>
          <w:szCs w:val="28"/>
        </w:rPr>
        <w:t xml:space="preserve"> While </w:t>
      </w:r>
      <w:r w:rsidR="00F616E9">
        <w:rPr>
          <w:sz w:val="24"/>
          <w:szCs w:val="28"/>
        </w:rPr>
        <w:t xml:space="preserve">we do not focus on methane “super-emitter” point sources, the results from Guanter et al. </w:t>
      </w:r>
      <w:r w:rsidR="00DF4506">
        <w:rPr>
          <w:sz w:val="24"/>
          <w:szCs w:val="28"/>
        </w:rPr>
        <w:t xml:space="preserve">provide relevant supplemental information on the prevalence of </w:t>
      </w:r>
      <w:r w:rsidR="007A737C">
        <w:rPr>
          <w:sz w:val="24"/>
          <w:szCs w:val="28"/>
        </w:rPr>
        <w:t xml:space="preserve">“super-emitter” </w:t>
      </w:r>
      <w:r w:rsidR="001F34B1">
        <w:rPr>
          <w:sz w:val="24"/>
          <w:szCs w:val="28"/>
        </w:rPr>
        <w:t xml:space="preserve">emissions </w:t>
      </w:r>
      <w:r w:rsidR="00524AD0">
        <w:rPr>
          <w:sz w:val="24"/>
          <w:szCs w:val="28"/>
        </w:rPr>
        <w:t>(above ~500 kg h</w:t>
      </w:r>
      <w:r w:rsidR="00524AD0" w:rsidRPr="00524AD0">
        <w:rPr>
          <w:sz w:val="24"/>
          <w:szCs w:val="28"/>
          <w:vertAlign w:val="superscript"/>
        </w:rPr>
        <w:t>-1</w:t>
      </w:r>
      <w:r w:rsidR="00524AD0">
        <w:rPr>
          <w:sz w:val="24"/>
          <w:szCs w:val="28"/>
        </w:rPr>
        <w:t xml:space="preserve">) </w:t>
      </w:r>
      <w:r w:rsidR="001F34B1">
        <w:rPr>
          <w:sz w:val="24"/>
          <w:szCs w:val="28"/>
        </w:rPr>
        <w:t xml:space="preserve">in the assessed regions. These regions </w:t>
      </w:r>
      <w:r w:rsidR="00524AD0">
        <w:rPr>
          <w:sz w:val="24"/>
          <w:szCs w:val="28"/>
        </w:rPr>
        <w:t>(</w:t>
      </w:r>
      <w:r w:rsidR="00524AD0" w:rsidRPr="00524AD0">
        <w:rPr>
          <w:i/>
          <w:iCs/>
          <w:sz w:val="24"/>
          <w:szCs w:val="28"/>
        </w:rPr>
        <w:t>n</w:t>
      </w:r>
      <w:r w:rsidR="00524AD0">
        <w:rPr>
          <w:sz w:val="24"/>
          <w:szCs w:val="28"/>
        </w:rPr>
        <w:t xml:space="preserve"> = 9) </w:t>
      </w:r>
      <w:r w:rsidR="001F34B1">
        <w:rPr>
          <w:sz w:val="24"/>
          <w:szCs w:val="28"/>
        </w:rPr>
        <w:t xml:space="preserve">include the </w:t>
      </w:r>
      <w:r w:rsidR="00EE014E">
        <w:rPr>
          <w:sz w:val="24"/>
          <w:szCs w:val="28"/>
        </w:rPr>
        <w:t xml:space="preserve">Amu Darya (TKM, UZB), Appalachian (USA), Haynesville (USA), Maturin (VEN), Oued Mya (ALG), </w:t>
      </w:r>
      <w:r w:rsidR="001F34B1">
        <w:rPr>
          <w:sz w:val="24"/>
          <w:szCs w:val="28"/>
        </w:rPr>
        <w:t xml:space="preserve">Permian Basin (USA), </w:t>
      </w:r>
      <w:r w:rsidR="00EE014E">
        <w:rPr>
          <w:sz w:val="24"/>
          <w:szCs w:val="28"/>
        </w:rPr>
        <w:t xml:space="preserve">South Caspian (TKM), </w:t>
      </w:r>
      <w:r w:rsidR="00524AD0">
        <w:rPr>
          <w:sz w:val="24"/>
          <w:szCs w:val="28"/>
        </w:rPr>
        <w:t xml:space="preserve">and </w:t>
      </w:r>
      <w:r w:rsidR="00EE014E">
        <w:rPr>
          <w:sz w:val="24"/>
          <w:szCs w:val="28"/>
        </w:rPr>
        <w:t xml:space="preserve">Zagros </w:t>
      </w:r>
      <w:proofErr w:type="spellStart"/>
      <w:r w:rsidR="00EE014E">
        <w:rPr>
          <w:sz w:val="24"/>
          <w:szCs w:val="28"/>
        </w:rPr>
        <w:t>Foldbelt</w:t>
      </w:r>
      <w:proofErr w:type="spellEnd"/>
      <w:r w:rsidR="00EE014E">
        <w:rPr>
          <w:sz w:val="24"/>
          <w:szCs w:val="28"/>
        </w:rPr>
        <w:t xml:space="preserve"> (IRN)</w:t>
      </w:r>
      <w:r w:rsidR="00524AD0">
        <w:rPr>
          <w:sz w:val="24"/>
          <w:szCs w:val="28"/>
        </w:rPr>
        <w:t>. Supplementary Fig. 5 shows the distribution of “super-emitter” emissions for each region, as reported in Guanter et al.</w:t>
      </w:r>
      <w:r w:rsidR="00DB566D" w:rsidRPr="00DB566D">
        <w:rPr>
          <w:sz w:val="24"/>
          <w:szCs w:val="28"/>
          <w:vertAlign w:val="superscript"/>
        </w:rPr>
        <w:t>5</w:t>
      </w:r>
    </w:p>
    <w:p w14:paraId="1B589932" w14:textId="77777777" w:rsidR="007C67A9" w:rsidRDefault="007C67A9" w:rsidP="000505B4">
      <w:pPr>
        <w:spacing w:line="276" w:lineRule="auto"/>
        <w:rPr>
          <w:noProof/>
        </w:rPr>
      </w:pPr>
    </w:p>
    <w:p w14:paraId="5F0D3113" w14:textId="4FAB4153" w:rsidR="00EA2CFF" w:rsidRPr="00EA2CFF" w:rsidRDefault="0064462C" w:rsidP="00EA2CFF">
      <w:pPr>
        <w:spacing w:line="276" w:lineRule="auto"/>
        <w:rPr>
          <w:noProof/>
        </w:rPr>
      </w:pPr>
      <w:r w:rsidRPr="0064462C">
        <w:rPr>
          <w:noProof/>
        </w:rPr>
        <w:drawing>
          <wp:inline distT="0" distB="0" distL="0" distR="0" wp14:anchorId="2E96F1DF" wp14:editId="77F5E8A3">
            <wp:extent cx="5943600" cy="3940810"/>
            <wp:effectExtent l="0" t="0" r="0" b="2540"/>
            <wp:docPr id="148710625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3940810"/>
                    </a:xfrm>
                    <a:prstGeom prst="rect">
                      <a:avLst/>
                    </a:prstGeom>
                    <a:noFill/>
                    <a:ln>
                      <a:noFill/>
                    </a:ln>
                  </pic:spPr>
                </pic:pic>
              </a:graphicData>
            </a:graphic>
          </wp:inline>
        </w:drawing>
      </w:r>
    </w:p>
    <w:p w14:paraId="7B0F5EAF" w14:textId="4E6EBB36" w:rsidR="007C67A9" w:rsidRPr="002E4C4C" w:rsidRDefault="008C7888" w:rsidP="000505B4">
      <w:pPr>
        <w:spacing w:line="276" w:lineRule="auto"/>
        <w:rPr>
          <w:noProof/>
        </w:rPr>
      </w:pPr>
      <w:r w:rsidRPr="00863CA1">
        <w:rPr>
          <w:b/>
          <w:bCs/>
          <w:noProof/>
        </w:rPr>
        <w:t>Supplementary Figure 5.</w:t>
      </w:r>
      <w:r>
        <w:rPr>
          <w:noProof/>
        </w:rPr>
        <w:t xml:space="preserve"> Distribution of methane “super-emitters”</w:t>
      </w:r>
      <w:r w:rsidR="00863CA1">
        <w:rPr>
          <w:noProof/>
        </w:rPr>
        <w:t xml:space="preserve"> based on MethaneSAT observations</w:t>
      </w:r>
      <w:r>
        <w:rPr>
          <w:noProof/>
        </w:rPr>
        <w:t xml:space="preserve"> in major oil and gas</w:t>
      </w:r>
      <w:r w:rsidR="00863CA1">
        <w:rPr>
          <w:noProof/>
        </w:rPr>
        <w:t xml:space="preserve"> basins</w:t>
      </w:r>
      <w:r w:rsidR="002E4C4C">
        <w:rPr>
          <w:noProof/>
        </w:rPr>
        <w:t>, as reported in Guanter et al.</w:t>
      </w:r>
      <w:r w:rsidR="002E4C4C" w:rsidRPr="002E4C4C">
        <w:rPr>
          <w:noProof/>
          <w:vertAlign w:val="superscript"/>
        </w:rPr>
        <w:t>5</w:t>
      </w:r>
      <w:r w:rsidR="002E4C4C">
        <w:rPr>
          <w:noProof/>
        </w:rPr>
        <w:t xml:space="preserve"> The numbers on the top x-axis represent the total count of quantified </w:t>
      </w:r>
      <w:r w:rsidR="002B15EA">
        <w:rPr>
          <w:noProof/>
        </w:rPr>
        <w:t>methane “super-emitters”. All methane sectors are included in this assessment.</w:t>
      </w:r>
    </w:p>
    <w:p w14:paraId="63D00D0B" w14:textId="77777777" w:rsidR="007C67A9" w:rsidRDefault="007C67A9" w:rsidP="000505B4">
      <w:pPr>
        <w:spacing w:line="276" w:lineRule="auto"/>
        <w:rPr>
          <w:noProof/>
        </w:rPr>
      </w:pPr>
    </w:p>
    <w:p w14:paraId="4174D8F5" w14:textId="77777777" w:rsidR="007C67A9" w:rsidRDefault="007C67A9" w:rsidP="000505B4">
      <w:pPr>
        <w:spacing w:line="276" w:lineRule="auto"/>
        <w:rPr>
          <w:noProof/>
        </w:rPr>
      </w:pPr>
    </w:p>
    <w:p w14:paraId="27767BA2" w14:textId="77777777" w:rsidR="007C67A9" w:rsidRDefault="007C67A9" w:rsidP="000505B4">
      <w:pPr>
        <w:spacing w:line="276" w:lineRule="auto"/>
        <w:rPr>
          <w:noProof/>
        </w:rPr>
      </w:pPr>
    </w:p>
    <w:p w14:paraId="3395B258" w14:textId="77777777" w:rsidR="007C67A9" w:rsidRDefault="007C67A9" w:rsidP="000505B4">
      <w:pPr>
        <w:spacing w:line="276" w:lineRule="auto"/>
        <w:rPr>
          <w:noProof/>
        </w:rPr>
      </w:pPr>
    </w:p>
    <w:p w14:paraId="248DB680" w14:textId="77777777" w:rsidR="007C67A9" w:rsidRDefault="007C67A9" w:rsidP="000505B4">
      <w:pPr>
        <w:spacing w:line="276" w:lineRule="auto"/>
        <w:rPr>
          <w:noProof/>
        </w:rPr>
      </w:pPr>
    </w:p>
    <w:p w14:paraId="21335F97" w14:textId="31452B23" w:rsidR="000505B4" w:rsidRPr="002668AE" w:rsidRDefault="002668AE" w:rsidP="002668AE">
      <w:pPr>
        <w:spacing w:line="276" w:lineRule="auto"/>
        <w:rPr>
          <w:noProof/>
        </w:rPr>
      </w:pPr>
      <w:r w:rsidRPr="002668AE">
        <w:rPr>
          <w:noProof/>
        </w:rPr>
        <w:lastRenderedPageBreak/>
        <w:drawing>
          <wp:inline distT="0" distB="0" distL="0" distR="0" wp14:anchorId="5FD28335" wp14:editId="634A1F51">
            <wp:extent cx="5232400" cy="8229600"/>
            <wp:effectExtent l="0" t="0" r="6350" b="0"/>
            <wp:docPr id="1234613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32400" cy="8229600"/>
                    </a:xfrm>
                    <a:prstGeom prst="rect">
                      <a:avLst/>
                    </a:prstGeom>
                    <a:noFill/>
                    <a:ln>
                      <a:noFill/>
                    </a:ln>
                  </pic:spPr>
                </pic:pic>
              </a:graphicData>
            </a:graphic>
          </wp:inline>
        </w:drawing>
      </w:r>
      <w:r w:rsidR="000505B4" w:rsidRPr="000505B4">
        <w:rPr>
          <w:b/>
          <w:bCs/>
        </w:rPr>
        <w:lastRenderedPageBreak/>
        <w:t xml:space="preserve">Supplementary Figure </w:t>
      </w:r>
      <w:r w:rsidR="006C423B">
        <w:rPr>
          <w:b/>
          <w:bCs/>
        </w:rPr>
        <w:t>6</w:t>
      </w:r>
      <w:r w:rsidR="000505B4">
        <w:t xml:space="preserve">. </w:t>
      </w:r>
      <w:r w:rsidR="00546D4F" w:rsidRPr="00BD7176">
        <w:rPr>
          <w:rFonts w:cs="Arial"/>
          <w:szCs w:val="22"/>
        </w:rPr>
        <w:t xml:space="preserve">Comparison of regional oil and gas methane emissions for </w:t>
      </w:r>
      <w:r w:rsidR="00E00230">
        <w:rPr>
          <w:rFonts w:cs="Arial"/>
          <w:szCs w:val="22"/>
        </w:rPr>
        <w:t>all 34 regions included in this study</w:t>
      </w:r>
      <w:r w:rsidR="00546D4F" w:rsidRPr="00BD7176">
        <w:rPr>
          <w:rFonts w:cs="Arial"/>
          <w:szCs w:val="22"/>
        </w:rPr>
        <w:t xml:space="preserve">. MethaneSAT estimates are shown as </w:t>
      </w:r>
      <w:r w:rsidR="00546D4F">
        <w:rPr>
          <w:rFonts w:cs="Arial"/>
          <w:szCs w:val="22"/>
        </w:rPr>
        <w:t>purple</w:t>
      </w:r>
      <w:r w:rsidR="00546D4F" w:rsidRPr="00BD7176">
        <w:rPr>
          <w:rFonts w:cs="Arial"/>
          <w:szCs w:val="22"/>
        </w:rPr>
        <w:t xml:space="preserve"> bars, with error bars indicating the 95% confidence interval of the mean. For all regions, inventory values are derived from the gridded country-reported inventories to the UNFCCC, as reported in the GFEI v3 inventory for 2020 and adjusted to 2024 based on relative changes in total marketed oil and gas production</w:t>
      </w:r>
      <w:r w:rsidR="00AF008F">
        <w:rPr>
          <w:rFonts w:cs="Arial"/>
          <w:szCs w:val="22"/>
          <w:vertAlign w:val="superscript"/>
        </w:rPr>
        <w:t xml:space="preserve"> </w:t>
      </w:r>
      <w:r w:rsidR="00546D4F">
        <w:rPr>
          <w:rFonts w:cs="Arial"/>
          <w:szCs w:val="22"/>
        </w:rPr>
        <w:t>(Supplementary Note 3).</w:t>
      </w:r>
      <w:r w:rsidR="00546D4F" w:rsidRPr="00BD7176">
        <w:rPr>
          <w:rFonts w:cs="Arial"/>
          <w:szCs w:val="22"/>
        </w:rPr>
        <w:t xml:space="preserve"> Hatched light blue bars indicate regions where MethaneSAT estimates exceed inventory values, while dark blue bars indicate the opposite. Black diamond markers represent the absolute difference between MethaneSAT and inventory estimates. Bubble plots display total oil and gas production in petajoules per year (black symbols) and gas flaring volumes in billion cubic meters based on VIIRS</w:t>
      </w:r>
      <w:r w:rsidR="00546D4F" w:rsidRPr="00BD7176">
        <w:rPr>
          <w:rFonts w:cs="Arial"/>
          <w:szCs w:val="22"/>
          <w:vertAlign w:val="superscript"/>
        </w:rPr>
        <w:t>2</w:t>
      </w:r>
      <w:r w:rsidR="00546D4F">
        <w:rPr>
          <w:rFonts w:cs="Arial"/>
          <w:szCs w:val="22"/>
          <w:vertAlign w:val="superscript"/>
        </w:rPr>
        <w:t>5</w:t>
      </w:r>
      <w:r w:rsidR="00546D4F" w:rsidRPr="00BD7176">
        <w:rPr>
          <w:rFonts w:cs="Arial"/>
          <w:szCs w:val="22"/>
        </w:rPr>
        <w:t xml:space="preserve"> estimates (light yellow symbols) for 2024.</w:t>
      </w:r>
      <w:r w:rsidR="00546D4F">
        <w:rPr>
          <w:rFonts w:cs="Arial"/>
          <w:szCs w:val="22"/>
        </w:rPr>
        <w:t xml:space="preserve"> </w:t>
      </w:r>
      <w:r w:rsidR="000505B4">
        <w:rPr>
          <w:szCs w:val="22"/>
        </w:rPr>
        <w:t>See Main Text for additional details.</w:t>
      </w:r>
    </w:p>
    <w:p w14:paraId="78ED5221" w14:textId="77777777" w:rsidR="000505B4" w:rsidRDefault="000505B4" w:rsidP="000505B4">
      <w:pPr>
        <w:rPr>
          <w:szCs w:val="22"/>
        </w:rPr>
      </w:pPr>
    </w:p>
    <w:p w14:paraId="0E6F6C75" w14:textId="77777777" w:rsidR="00204077" w:rsidRDefault="00204077" w:rsidP="00204077">
      <w:pPr>
        <w:spacing w:line="276" w:lineRule="auto"/>
        <w:rPr>
          <w:rFonts w:cs="Arial"/>
          <w:sz w:val="24"/>
        </w:rPr>
      </w:pPr>
    </w:p>
    <w:p w14:paraId="1DA64FAD" w14:textId="77777777" w:rsidR="00204077" w:rsidRDefault="00204077" w:rsidP="00204077">
      <w:pPr>
        <w:spacing w:line="276" w:lineRule="auto"/>
        <w:rPr>
          <w:rFonts w:cs="Arial"/>
          <w:sz w:val="24"/>
        </w:rPr>
      </w:pPr>
    </w:p>
    <w:p w14:paraId="2492AD46" w14:textId="77777777" w:rsidR="00204077" w:rsidRDefault="00BD551C" w:rsidP="00204077">
      <w:pPr>
        <w:spacing w:line="276" w:lineRule="auto"/>
        <w:rPr>
          <w:rFonts w:cs="Arial"/>
          <w:sz w:val="24"/>
        </w:rPr>
      </w:pPr>
      <w:r>
        <w:rPr>
          <w:rFonts w:cs="Arial"/>
          <w:noProof/>
          <w:sz w:val="24"/>
        </w:rPr>
        <w:drawing>
          <wp:inline distT="0" distB="0" distL="0" distR="0" wp14:anchorId="1AA14909" wp14:editId="60D06D30">
            <wp:extent cx="6066665" cy="3133725"/>
            <wp:effectExtent l="0" t="0" r="0" b="0"/>
            <wp:docPr id="9066014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69529" cy="3135205"/>
                    </a:xfrm>
                    <a:prstGeom prst="rect">
                      <a:avLst/>
                    </a:prstGeom>
                    <a:noFill/>
                  </pic:spPr>
                </pic:pic>
              </a:graphicData>
            </a:graphic>
          </wp:inline>
        </w:drawing>
      </w:r>
    </w:p>
    <w:p w14:paraId="6EA8C8C5" w14:textId="77777777" w:rsidR="00BD551C" w:rsidRDefault="00BD551C" w:rsidP="00204077">
      <w:pPr>
        <w:spacing w:line="276" w:lineRule="auto"/>
        <w:rPr>
          <w:rFonts w:cs="Arial"/>
          <w:sz w:val="24"/>
        </w:rPr>
      </w:pPr>
    </w:p>
    <w:p w14:paraId="770D17BA" w14:textId="77777777" w:rsidR="00BD551C" w:rsidRDefault="00BD551C" w:rsidP="00204077">
      <w:pPr>
        <w:spacing w:line="276" w:lineRule="auto"/>
        <w:rPr>
          <w:rFonts w:cs="Arial"/>
          <w:szCs w:val="22"/>
        </w:rPr>
      </w:pPr>
      <w:r w:rsidRPr="000505B4">
        <w:rPr>
          <w:b/>
          <w:bCs/>
        </w:rPr>
        <w:t xml:space="preserve">Supplementary Figure </w:t>
      </w:r>
      <w:r>
        <w:rPr>
          <w:b/>
          <w:bCs/>
        </w:rPr>
        <w:t>7</w:t>
      </w:r>
      <w:r>
        <w:t xml:space="preserve">. </w:t>
      </w:r>
      <w:r w:rsidR="00C52B38">
        <w:rPr>
          <w:rFonts w:cs="Arial"/>
          <w:szCs w:val="22"/>
        </w:rPr>
        <w:t xml:space="preserve">Energy-normalized methane intensities </w:t>
      </w:r>
      <w:r w:rsidR="00D902E9">
        <w:rPr>
          <w:rFonts w:cs="Arial"/>
          <w:szCs w:val="22"/>
        </w:rPr>
        <w:t>as functions of the energy fraction of gas (i.e., the proportion of total energy production that comes from gas production)</w:t>
      </w:r>
      <w:r w:rsidRPr="00BD7176">
        <w:rPr>
          <w:rFonts w:cs="Arial"/>
          <w:szCs w:val="22"/>
        </w:rPr>
        <w:t>.</w:t>
      </w:r>
    </w:p>
    <w:p w14:paraId="3AC3CABB" w14:textId="77777777" w:rsidR="009C1F5C" w:rsidRDefault="009C1F5C" w:rsidP="00204077">
      <w:pPr>
        <w:spacing w:line="276" w:lineRule="auto"/>
        <w:rPr>
          <w:rFonts w:cs="Arial"/>
          <w:szCs w:val="22"/>
        </w:rPr>
      </w:pPr>
    </w:p>
    <w:p w14:paraId="70F32F59" w14:textId="77777777" w:rsidR="009C1F5C" w:rsidRDefault="009C1F5C" w:rsidP="00204077">
      <w:pPr>
        <w:spacing w:line="276" w:lineRule="auto"/>
        <w:rPr>
          <w:rFonts w:cs="Arial"/>
          <w:szCs w:val="22"/>
        </w:rPr>
      </w:pPr>
    </w:p>
    <w:p w14:paraId="240B761C" w14:textId="77777777" w:rsidR="009C1F5C" w:rsidRDefault="009C1F5C" w:rsidP="00204077">
      <w:pPr>
        <w:spacing w:line="276" w:lineRule="auto"/>
        <w:rPr>
          <w:rFonts w:cs="Arial"/>
          <w:szCs w:val="22"/>
        </w:rPr>
      </w:pPr>
    </w:p>
    <w:p w14:paraId="431BFE2B" w14:textId="77777777" w:rsidR="009C1F5C" w:rsidRDefault="009C1F5C" w:rsidP="00204077">
      <w:pPr>
        <w:spacing w:line="276" w:lineRule="auto"/>
        <w:rPr>
          <w:rFonts w:cs="Arial"/>
          <w:szCs w:val="22"/>
        </w:rPr>
      </w:pPr>
    </w:p>
    <w:p w14:paraId="2E3E70F6" w14:textId="77777777" w:rsidR="009C1F5C" w:rsidRDefault="009C1F5C" w:rsidP="00204077">
      <w:pPr>
        <w:spacing w:line="276" w:lineRule="auto"/>
        <w:rPr>
          <w:rFonts w:cs="Arial"/>
          <w:szCs w:val="22"/>
        </w:rPr>
      </w:pPr>
    </w:p>
    <w:p w14:paraId="50B17FB7" w14:textId="77777777" w:rsidR="009C1F5C" w:rsidRDefault="009C1F5C" w:rsidP="00204077">
      <w:pPr>
        <w:spacing w:line="276" w:lineRule="auto"/>
        <w:rPr>
          <w:rFonts w:cs="Arial"/>
          <w:szCs w:val="22"/>
        </w:rPr>
      </w:pPr>
    </w:p>
    <w:p w14:paraId="1C3B0993" w14:textId="77777777" w:rsidR="009C1F5C" w:rsidRDefault="009C1F5C" w:rsidP="00204077">
      <w:pPr>
        <w:spacing w:line="276" w:lineRule="auto"/>
        <w:rPr>
          <w:rFonts w:cs="Arial"/>
          <w:szCs w:val="22"/>
        </w:rPr>
      </w:pPr>
    </w:p>
    <w:p w14:paraId="1541CE18" w14:textId="77777777" w:rsidR="009C1F5C" w:rsidRDefault="009C1F5C" w:rsidP="00204077">
      <w:pPr>
        <w:spacing w:line="276" w:lineRule="auto"/>
        <w:rPr>
          <w:rFonts w:cs="Arial"/>
          <w:szCs w:val="22"/>
        </w:rPr>
      </w:pPr>
    </w:p>
    <w:p w14:paraId="553EF05C" w14:textId="77777777" w:rsidR="009C1F5C" w:rsidRDefault="009C1F5C" w:rsidP="00204077">
      <w:pPr>
        <w:spacing w:line="276" w:lineRule="auto"/>
        <w:rPr>
          <w:rFonts w:cs="Arial"/>
          <w:szCs w:val="22"/>
        </w:rPr>
      </w:pPr>
    </w:p>
    <w:p w14:paraId="5C90AE85" w14:textId="77777777" w:rsidR="009C1F5C" w:rsidRDefault="009C1F5C" w:rsidP="00204077">
      <w:pPr>
        <w:spacing w:line="276" w:lineRule="auto"/>
        <w:rPr>
          <w:rFonts w:cs="Arial"/>
          <w:szCs w:val="22"/>
        </w:rPr>
      </w:pPr>
    </w:p>
    <w:p w14:paraId="7C749FCB" w14:textId="77777777" w:rsidR="009C1F5C" w:rsidRDefault="009C1F5C" w:rsidP="00204077">
      <w:pPr>
        <w:spacing w:line="276" w:lineRule="auto"/>
        <w:rPr>
          <w:rFonts w:cs="Arial"/>
          <w:szCs w:val="22"/>
        </w:rPr>
      </w:pPr>
    </w:p>
    <w:p w14:paraId="11BE0ABC" w14:textId="77777777" w:rsidR="00906049" w:rsidRDefault="00906049" w:rsidP="00204077">
      <w:pPr>
        <w:spacing w:line="276" w:lineRule="auto"/>
        <w:rPr>
          <w:rFonts w:cs="Arial"/>
          <w:sz w:val="24"/>
        </w:rPr>
      </w:pPr>
      <w:r>
        <w:rPr>
          <w:noProof/>
        </w:rPr>
        <w:drawing>
          <wp:inline distT="0" distB="0" distL="0" distR="0" wp14:anchorId="265344A9" wp14:editId="20C39919">
            <wp:extent cx="3933825" cy="3132760"/>
            <wp:effectExtent l="0" t="0" r="0" b="0"/>
            <wp:docPr id="4" name="Picture 3" descr="AMU_DARYA_area_weighted_flux_062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MU_DARYA_area_weighted_flux_062_measurement_based_filt.png"/>
                    <pic:cNvPicPr>
                      <a:picLocks noChangeAspect="1"/>
                    </pic:cNvPicPr>
                  </pic:nvPicPr>
                  <pic:blipFill>
                    <a:blip r:embed="rId17"/>
                    <a:stretch>
                      <a:fillRect/>
                    </a:stretch>
                  </pic:blipFill>
                  <pic:spPr>
                    <a:xfrm>
                      <a:off x="0" y="0"/>
                      <a:ext cx="3940942" cy="3138428"/>
                    </a:xfrm>
                    <a:prstGeom prst="rect">
                      <a:avLst/>
                    </a:prstGeom>
                  </pic:spPr>
                </pic:pic>
              </a:graphicData>
            </a:graphic>
          </wp:inline>
        </w:drawing>
      </w:r>
    </w:p>
    <w:p w14:paraId="506BFA1F" w14:textId="77777777" w:rsidR="00366149" w:rsidRDefault="00366149" w:rsidP="00204077">
      <w:pPr>
        <w:spacing w:line="276" w:lineRule="auto"/>
        <w:rPr>
          <w:rFonts w:cs="Arial"/>
          <w:sz w:val="24"/>
        </w:rPr>
      </w:pPr>
    </w:p>
    <w:p w14:paraId="24EEC47D" w14:textId="77777777" w:rsidR="00366149" w:rsidRDefault="00366149" w:rsidP="00204077">
      <w:pPr>
        <w:spacing w:line="276" w:lineRule="auto"/>
        <w:rPr>
          <w:rFonts w:cs="Arial"/>
          <w:sz w:val="24"/>
        </w:rPr>
      </w:pPr>
      <w:r>
        <w:rPr>
          <w:noProof/>
        </w:rPr>
        <w:drawing>
          <wp:inline distT="0" distB="0" distL="0" distR="0" wp14:anchorId="1A645B21" wp14:editId="6F54D230">
            <wp:extent cx="4174234" cy="3324225"/>
            <wp:effectExtent l="0" t="0" r="0" b="0"/>
            <wp:docPr id="1923148145" name="Picture 3" descr="AMU_DARYA_area_weighted_flux_062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MU_DARYA_area_weighted_flux_062_bottom_up_filt.png"/>
                    <pic:cNvPicPr>
                      <a:picLocks noChangeAspect="1"/>
                    </pic:cNvPicPr>
                  </pic:nvPicPr>
                  <pic:blipFill>
                    <a:blip r:embed="rId18"/>
                    <a:stretch>
                      <a:fillRect/>
                    </a:stretch>
                  </pic:blipFill>
                  <pic:spPr>
                    <a:xfrm>
                      <a:off x="0" y="0"/>
                      <a:ext cx="4180745" cy="3329410"/>
                    </a:xfrm>
                    <a:prstGeom prst="rect">
                      <a:avLst/>
                    </a:prstGeom>
                  </pic:spPr>
                </pic:pic>
              </a:graphicData>
            </a:graphic>
          </wp:inline>
        </w:drawing>
      </w:r>
    </w:p>
    <w:p w14:paraId="7C4F21B5" w14:textId="3DFC4A4C" w:rsidR="00CE72F3" w:rsidRPr="008C73EF" w:rsidRDefault="00CE72F3" w:rsidP="00204077">
      <w:pPr>
        <w:spacing w:line="276" w:lineRule="auto"/>
        <w:rPr>
          <w:rFonts w:cs="Arial"/>
          <w:sz w:val="20"/>
          <w:szCs w:val="20"/>
        </w:rPr>
        <w:sectPr w:rsidR="00CE72F3" w:rsidRPr="008C73EF" w:rsidSect="00204077">
          <w:footerReference w:type="default" r:id="rId19"/>
          <w:pgSz w:w="12240" w:h="15840"/>
          <w:pgMar w:top="1440" w:right="1440" w:bottom="1440" w:left="1440" w:header="720" w:footer="720" w:gutter="0"/>
          <w:cols w:space="720"/>
          <w:docGrid w:linePitch="360"/>
        </w:sectPr>
      </w:pPr>
      <w:r w:rsidRPr="008C73EF">
        <w:rPr>
          <w:b/>
          <w:bCs/>
          <w:sz w:val="20"/>
          <w:szCs w:val="22"/>
        </w:rPr>
        <w:t>Supplementary Figure 8</w:t>
      </w:r>
      <w:r w:rsidRPr="008C73EF">
        <w:rPr>
          <w:sz w:val="20"/>
          <w:szCs w:val="22"/>
        </w:rPr>
        <w:t xml:space="preserve">. </w:t>
      </w:r>
      <w:r w:rsidRPr="008C73EF">
        <w:rPr>
          <w:rFonts w:cs="Arial"/>
          <w:sz w:val="20"/>
          <w:szCs w:val="20"/>
        </w:rPr>
        <w:t xml:space="preserve">Comparison of MethaneSAT total methane emissions estimates with </w:t>
      </w:r>
      <w:r w:rsidR="0032493E" w:rsidRPr="008C73EF">
        <w:rPr>
          <w:rFonts w:cs="Arial"/>
          <w:sz w:val="20"/>
          <w:szCs w:val="20"/>
        </w:rPr>
        <w:t xml:space="preserve">peer-reviewed “top-down” </w:t>
      </w:r>
      <w:r w:rsidR="0032493E" w:rsidRPr="008C73EF">
        <w:rPr>
          <w:rFonts w:cs="Arial"/>
          <w:szCs w:val="22"/>
        </w:rPr>
        <w:t xml:space="preserve">measurements (top panel) and “bottom-up” inventory data (bottom panel). </w:t>
      </w:r>
      <w:r w:rsidR="00B70777" w:rsidRPr="008C73EF">
        <w:rPr>
          <w:rFonts w:cs="Arial"/>
          <w:szCs w:val="22"/>
        </w:rPr>
        <w:t xml:space="preserve">The shaded area shows the representative range of the peer-reviewed </w:t>
      </w:r>
      <w:r w:rsidR="008C73EF" w:rsidRPr="008C73EF">
        <w:rPr>
          <w:rFonts w:cs="Arial"/>
          <w:szCs w:val="22"/>
        </w:rPr>
        <w:t>data (2.5</w:t>
      </w:r>
      <w:r w:rsidR="008C73EF" w:rsidRPr="008C73EF">
        <w:rPr>
          <w:rFonts w:cs="Arial"/>
          <w:szCs w:val="22"/>
          <w:vertAlign w:val="superscript"/>
        </w:rPr>
        <w:t>th</w:t>
      </w:r>
      <w:r w:rsidR="008C73EF" w:rsidRPr="008C73EF">
        <w:rPr>
          <w:rFonts w:cs="Arial"/>
          <w:szCs w:val="22"/>
        </w:rPr>
        <w:t>, 97.5</w:t>
      </w:r>
      <w:r w:rsidR="008C73EF" w:rsidRPr="008C73EF">
        <w:rPr>
          <w:rFonts w:cs="Arial"/>
          <w:szCs w:val="22"/>
          <w:vertAlign w:val="superscript"/>
        </w:rPr>
        <w:t>th</w:t>
      </w:r>
      <w:r w:rsidR="008C73EF" w:rsidRPr="008C73EF">
        <w:rPr>
          <w:rFonts w:cs="Arial"/>
          <w:szCs w:val="22"/>
        </w:rPr>
        <w:t xml:space="preserve"> percentiles). </w:t>
      </w:r>
      <w:r w:rsidR="0032493E" w:rsidRPr="008C73EF">
        <w:rPr>
          <w:rFonts w:cs="Arial"/>
          <w:szCs w:val="22"/>
        </w:rPr>
        <w:t xml:space="preserve">Amu Darya, Turkmenistan </w:t>
      </w:r>
      <w:r w:rsidR="00471E13" w:rsidRPr="008C73EF">
        <w:rPr>
          <w:rFonts w:cs="Arial"/>
          <w:szCs w:val="22"/>
        </w:rPr>
        <w:t xml:space="preserve">(TKM) </w:t>
      </w:r>
      <w:r w:rsidR="0032493E" w:rsidRPr="008C73EF">
        <w:rPr>
          <w:rFonts w:cs="Arial"/>
          <w:szCs w:val="22"/>
        </w:rPr>
        <w:t>region.</w:t>
      </w:r>
    </w:p>
    <w:p w14:paraId="6DD51308" w14:textId="643D7841" w:rsidR="000505B4" w:rsidRDefault="00207A93" w:rsidP="000505B4">
      <w:pPr>
        <w:rPr>
          <w:szCs w:val="22"/>
        </w:rPr>
      </w:pPr>
      <w:r>
        <w:rPr>
          <w:noProof/>
          <w:szCs w:val="22"/>
        </w:rPr>
        <w:lastRenderedPageBreak/>
        <w:drawing>
          <wp:inline distT="0" distB="0" distL="0" distR="0" wp14:anchorId="51C4996C" wp14:editId="4C4765CE">
            <wp:extent cx="4268917" cy="3400425"/>
            <wp:effectExtent l="0" t="0" r="0" b="0"/>
            <wp:docPr id="17980549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73338" cy="3403947"/>
                    </a:xfrm>
                    <a:prstGeom prst="rect">
                      <a:avLst/>
                    </a:prstGeom>
                    <a:noFill/>
                  </pic:spPr>
                </pic:pic>
              </a:graphicData>
            </a:graphic>
          </wp:inline>
        </w:drawing>
      </w:r>
    </w:p>
    <w:p w14:paraId="2D034CB6" w14:textId="49090F47" w:rsidR="001E7A9F" w:rsidRDefault="001E7A9F" w:rsidP="000505B4">
      <w:pPr>
        <w:rPr>
          <w:szCs w:val="22"/>
        </w:rPr>
      </w:pPr>
      <w:r w:rsidRPr="001E7A9F">
        <w:rPr>
          <w:noProof/>
          <w:szCs w:val="22"/>
        </w:rPr>
        <w:drawing>
          <wp:inline distT="0" distB="0" distL="0" distR="0" wp14:anchorId="7B9BEE02" wp14:editId="5FD54555">
            <wp:extent cx="4317762" cy="3438525"/>
            <wp:effectExtent l="0" t="0" r="6985" b="0"/>
            <wp:docPr id="796873371" name="Picture 3" descr="AMU_DARYA_area_weighted_flux_066_067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MU_DARYA_area_weighted_flux_066_067_bottom_up_filt.png"/>
                    <pic:cNvPicPr>
                      <a:picLocks noChangeAspect="1"/>
                    </pic:cNvPicPr>
                  </pic:nvPicPr>
                  <pic:blipFill>
                    <a:blip r:embed="rId21"/>
                    <a:stretch>
                      <a:fillRect/>
                    </a:stretch>
                  </pic:blipFill>
                  <pic:spPr>
                    <a:xfrm>
                      <a:off x="0" y="0"/>
                      <a:ext cx="4324323" cy="3443750"/>
                    </a:xfrm>
                    <a:prstGeom prst="rect">
                      <a:avLst/>
                    </a:prstGeom>
                  </pic:spPr>
                </pic:pic>
              </a:graphicData>
            </a:graphic>
          </wp:inline>
        </w:drawing>
      </w:r>
    </w:p>
    <w:p w14:paraId="412D2C5E" w14:textId="77777777" w:rsidR="000505B4" w:rsidRDefault="000505B4" w:rsidP="000505B4">
      <w:pPr>
        <w:rPr>
          <w:szCs w:val="22"/>
        </w:rPr>
      </w:pPr>
    </w:p>
    <w:p w14:paraId="4D0A3ED9" w14:textId="77777777" w:rsidR="000505B4" w:rsidRDefault="000505B4" w:rsidP="000505B4">
      <w:pPr>
        <w:rPr>
          <w:szCs w:val="22"/>
        </w:rPr>
      </w:pPr>
    </w:p>
    <w:p w14:paraId="087A08BA" w14:textId="77777777" w:rsidR="000505B4" w:rsidRPr="008C73EF" w:rsidRDefault="000505B4" w:rsidP="000505B4">
      <w:pPr>
        <w:rPr>
          <w:sz w:val="20"/>
          <w:szCs w:val="20"/>
        </w:rPr>
      </w:pPr>
    </w:p>
    <w:p w14:paraId="1D1B8EA5" w14:textId="76F65276" w:rsidR="001E7A9F" w:rsidRPr="008C73EF" w:rsidRDefault="001E7A9F" w:rsidP="001E7A9F">
      <w:pPr>
        <w:spacing w:line="276" w:lineRule="auto"/>
        <w:rPr>
          <w:rFonts w:cs="Arial"/>
          <w:sz w:val="20"/>
          <w:szCs w:val="20"/>
        </w:rPr>
        <w:sectPr w:rsidR="001E7A9F" w:rsidRPr="008C73EF" w:rsidSect="001E7A9F">
          <w:footerReference w:type="default" r:id="rId22"/>
          <w:pgSz w:w="12240" w:h="15840"/>
          <w:pgMar w:top="1440" w:right="1440" w:bottom="1440" w:left="1440" w:header="720" w:footer="720" w:gutter="0"/>
          <w:cols w:space="720"/>
          <w:docGrid w:linePitch="360"/>
        </w:sectPr>
      </w:pPr>
      <w:r w:rsidRPr="008C73EF">
        <w:rPr>
          <w:b/>
          <w:bCs/>
          <w:sz w:val="20"/>
          <w:szCs w:val="20"/>
        </w:rPr>
        <w:t>Supplementary Figure 9</w:t>
      </w:r>
      <w:r w:rsidRPr="008C73EF">
        <w:rPr>
          <w:sz w:val="20"/>
          <w:szCs w:val="20"/>
        </w:rPr>
        <w:t xml:space="preserve">. </w:t>
      </w:r>
      <w:r w:rsidRPr="008C73EF">
        <w:rPr>
          <w:rFonts w:cs="Arial"/>
          <w:sz w:val="20"/>
          <w:szCs w:val="20"/>
        </w:rPr>
        <w:t xml:space="preserve">Comparison of MethaneSAT total methane emissions estimates with peer-reviewed “top-down” measurements (top panel) and “bottom-up” inventory data (bottom panel). </w:t>
      </w:r>
      <w:r w:rsidR="008C73EF" w:rsidRPr="008C73EF">
        <w:rPr>
          <w:rFonts w:cs="Arial"/>
          <w:sz w:val="20"/>
          <w:szCs w:val="20"/>
        </w:rPr>
        <w:t>The shaded area shows the representative range of the peer-reviewed data (2.5</w:t>
      </w:r>
      <w:r w:rsidR="008C73EF" w:rsidRPr="008C73EF">
        <w:rPr>
          <w:rFonts w:cs="Arial"/>
          <w:sz w:val="20"/>
          <w:szCs w:val="20"/>
          <w:vertAlign w:val="superscript"/>
        </w:rPr>
        <w:t>th</w:t>
      </w:r>
      <w:r w:rsidR="008C73EF" w:rsidRPr="008C73EF">
        <w:rPr>
          <w:rFonts w:cs="Arial"/>
          <w:sz w:val="20"/>
          <w:szCs w:val="20"/>
        </w:rPr>
        <w:t>, 97.5</w:t>
      </w:r>
      <w:r w:rsidR="008C73EF" w:rsidRPr="008C73EF">
        <w:rPr>
          <w:rFonts w:cs="Arial"/>
          <w:sz w:val="20"/>
          <w:szCs w:val="20"/>
          <w:vertAlign w:val="superscript"/>
        </w:rPr>
        <w:t>th</w:t>
      </w:r>
      <w:r w:rsidR="008C73EF" w:rsidRPr="008C73EF">
        <w:rPr>
          <w:rFonts w:cs="Arial"/>
          <w:sz w:val="20"/>
          <w:szCs w:val="20"/>
        </w:rPr>
        <w:t xml:space="preserve"> percentiles</w:t>
      </w:r>
      <w:proofErr w:type="gramStart"/>
      <w:r w:rsidR="008C73EF" w:rsidRPr="008C73EF">
        <w:rPr>
          <w:rFonts w:cs="Arial"/>
          <w:sz w:val="20"/>
          <w:szCs w:val="20"/>
        </w:rPr>
        <w:t>).</w:t>
      </w:r>
      <w:r w:rsidRPr="008C73EF">
        <w:rPr>
          <w:rFonts w:cs="Arial"/>
          <w:sz w:val="20"/>
          <w:szCs w:val="20"/>
        </w:rPr>
        <w:t>Amu</w:t>
      </w:r>
      <w:proofErr w:type="gramEnd"/>
      <w:r w:rsidRPr="008C73EF">
        <w:rPr>
          <w:rFonts w:cs="Arial"/>
          <w:sz w:val="20"/>
          <w:szCs w:val="20"/>
        </w:rPr>
        <w:t xml:space="preserve"> Darya, Uzb</w:t>
      </w:r>
      <w:r w:rsidR="00471E13" w:rsidRPr="008C73EF">
        <w:rPr>
          <w:rFonts w:cs="Arial"/>
          <w:sz w:val="20"/>
          <w:szCs w:val="20"/>
        </w:rPr>
        <w:t>ekistan (UZB)</w:t>
      </w:r>
      <w:r w:rsidRPr="008C73EF">
        <w:rPr>
          <w:rFonts w:cs="Arial"/>
          <w:sz w:val="20"/>
          <w:szCs w:val="20"/>
        </w:rPr>
        <w:t xml:space="preserve"> region.</w:t>
      </w:r>
    </w:p>
    <w:p w14:paraId="589E37AB" w14:textId="1737361F" w:rsidR="000505B4" w:rsidRDefault="00B70777" w:rsidP="00742938">
      <w:pPr>
        <w:spacing w:line="276" w:lineRule="auto"/>
      </w:pPr>
      <w:r w:rsidRPr="00B70777">
        <w:rPr>
          <w:noProof/>
        </w:rPr>
        <w:lastRenderedPageBreak/>
        <w:drawing>
          <wp:inline distT="0" distB="0" distL="0" distR="0" wp14:anchorId="3C23F5C4" wp14:editId="05770FF1">
            <wp:extent cx="4150328" cy="3305175"/>
            <wp:effectExtent l="0" t="0" r="3175" b="0"/>
            <wp:docPr id="1361306351" name="Picture 3" descr="APPALACHIAN_area_weighted_flux_002_064_068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PPALACHIAN_area_weighted_flux_002_064_068_measurement_based_filt.png"/>
                    <pic:cNvPicPr>
                      <a:picLocks noChangeAspect="1"/>
                    </pic:cNvPicPr>
                  </pic:nvPicPr>
                  <pic:blipFill>
                    <a:blip r:embed="rId23"/>
                    <a:stretch>
                      <a:fillRect/>
                    </a:stretch>
                  </pic:blipFill>
                  <pic:spPr>
                    <a:xfrm>
                      <a:off x="0" y="0"/>
                      <a:ext cx="4155129" cy="3308998"/>
                    </a:xfrm>
                    <a:prstGeom prst="rect">
                      <a:avLst/>
                    </a:prstGeom>
                  </pic:spPr>
                </pic:pic>
              </a:graphicData>
            </a:graphic>
          </wp:inline>
        </w:drawing>
      </w:r>
    </w:p>
    <w:p w14:paraId="6CB90952" w14:textId="6D86BC26" w:rsidR="00AA1AAE" w:rsidRDefault="00AA1AAE" w:rsidP="00742938">
      <w:pPr>
        <w:spacing w:line="276" w:lineRule="auto"/>
      </w:pPr>
      <w:r w:rsidRPr="00AA1AAE">
        <w:rPr>
          <w:noProof/>
        </w:rPr>
        <w:drawing>
          <wp:inline distT="0" distB="0" distL="0" distR="0" wp14:anchorId="64ECF2B1" wp14:editId="2A6F48C8">
            <wp:extent cx="4329723" cy="3448050"/>
            <wp:effectExtent l="0" t="0" r="0" b="0"/>
            <wp:docPr id="730712780" name="Picture 3" descr="APPALACHIAN_area_weighted_flux_002_064_068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PPALACHIAN_area_weighted_flux_002_064_068_bottom_up_filt.png"/>
                    <pic:cNvPicPr>
                      <a:picLocks noChangeAspect="1"/>
                    </pic:cNvPicPr>
                  </pic:nvPicPr>
                  <pic:blipFill>
                    <a:blip r:embed="rId24"/>
                    <a:stretch>
                      <a:fillRect/>
                    </a:stretch>
                  </pic:blipFill>
                  <pic:spPr>
                    <a:xfrm>
                      <a:off x="0" y="0"/>
                      <a:ext cx="4339482" cy="3455821"/>
                    </a:xfrm>
                    <a:prstGeom prst="rect">
                      <a:avLst/>
                    </a:prstGeom>
                  </pic:spPr>
                </pic:pic>
              </a:graphicData>
            </a:graphic>
          </wp:inline>
        </w:drawing>
      </w:r>
    </w:p>
    <w:p w14:paraId="54F672F7" w14:textId="77777777" w:rsidR="00AA1AAE" w:rsidRDefault="00AA1AAE" w:rsidP="00AA1AAE">
      <w:pPr>
        <w:spacing w:line="276" w:lineRule="auto"/>
        <w:rPr>
          <w:rFonts w:cs="Arial"/>
          <w:sz w:val="20"/>
          <w:szCs w:val="20"/>
        </w:rPr>
      </w:pPr>
      <w:r w:rsidRPr="008C73EF">
        <w:rPr>
          <w:b/>
          <w:bCs/>
          <w:sz w:val="20"/>
          <w:szCs w:val="20"/>
        </w:rPr>
        <w:t xml:space="preserve">Supplementary Figure </w:t>
      </w:r>
      <w:r>
        <w:rPr>
          <w:b/>
          <w:bCs/>
          <w:sz w:val="20"/>
          <w:szCs w:val="20"/>
        </w:rPr>
        <w:t>10</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xml:space="preserve"> </w:t>
      </w:r>
      <w:r w:rsidRPr="008C73EF">
        <w:rPr>
          <w:rFonts w:cs="Arial"/>
          <w:sz w:val="20"/>
          <w:szCs w:val="20"/>
        </w:rPr>
        <w:t>A</w:t>
      </w:r>
      <w:r>
        <w:rPr>
          <w:rFonts w:cs="Arial"/>
          <w:sz w:val="20"/>
          <w:szCs w:val="20"/>
        </w:rPr>
        <w:t>ppalachian, United States of America (USA</w:t>
      </w:r>
      <w:r w:rsidRPr="008C73EF">
        <w:rPr>
          <w:rFonts w:cs="Arial"/>
          <w:sz w:val="20"/>
          <w:szCs w:val="20"/>
        </w:rPr>
        <w:t>) region.</w:t>
      </w:r>
    </w:p>
    <w:p w14:paraId="1966D5D3" w14:textId="77777777" w:rsidR="001054CA" w:rsidRDefault="001054CA" w:rsidP="00AA1AAE">
      <w:pPr>
        <w:spacing w:line="276" w:lineRule="auto"/>
        <w:rPr>
          <w:rFonts w:cs="Arial"/>
          <w:sz w:val="20"/>
          <w:szCs w:val="20"/>
        </w:rPr>
      </w:pPr>
    </w:p>
    <w:p w14:paraId="58D6CDD2" w14:textId="77777777" w:rsidR="001054CA" w:rsidRDefault="001054CA" w:rsidP="00AA1AAE">
      <w:pPr>
        <w:spacing w:line="276" w:lineRule="auto"/>
        <w:rPr>
          <w:rFonts w:cs="Arial"/>
          <w:sz w:val="20"/>
          <w:szCs w:val="20"/>
        </w:rPr>
      </w:pPr>
    </w:p>
    <w:p w14:paraId="57886076" w14:textId="77777777" w:rsidR="001054CA" w:rsidRDefault="001054CA" w:rsidP="00AA1AAE">
      <w:pPr>
        <w:spacing w:line="276" w:lineRule="auto"/>
        <w:rPr>
          <w:rFonts w:cs="Arial"/>
          <w:sz w:val="20"/>
          <w:szCs w:val="20"/>
        </w:rPr>
      </w:pPr>
    </w:p>
    <w:p w14:paraId="07514EB2" w14:textId="77777777" w:rsidR="001054CA" w:rsidRDefault="001054CA" w:rsidP="00AA1AAE">
      <w:pPr>
        <w:spacing w:line="276" w:lineRule="auto"/>
        <w:rPr>
          <w:rFonts w:cs="Arial"/>
          <w:sz w:val="20"/>
          <w:szCs w:val="20"/>
        </w:rPr>
      </w:pPr>
    </w:p>
    <w:p w14:paraId="4876AFF7" w14:textId="77777777" w:rsidR="001054CA" w:rsidRDefault="001054CA" w:rsidP="00AA1AAE">
      <w:pPr>
        <w:spacing w:line="276" w:lineRule="auto"/>
        <w:rPr>
          <w:rFonts w:cs="Arial"/>
          <w:sz w:val="20"/>
          <w:szCs w:val="20"/>
        </w:rPr>
      </w:pPr>
    </w:p>
    <w:p w14:paraId="3F36992E" w14:textId="77777777" w:rsidR="001054CA" w:rsidRDefault="00CD5AF8" w:rsidP="00AA1AAE">
      <w:pPr>
        <w:spacing w:line="276" w:lineRule="auto"/>
        <w:rPr>
          <w:rFonts w:cs="Arial"/>
          <w:sz w:val="20"/>
          <w:szCs w:val="20"/>
        </w:rPr>
      </w:pPr>
      <w:r>
        <w:rPr>
          <w:noProof/>
        </w:rPr>
        <w:drawing>
          <wp:inline distT="0" distB="0" distL="0" distR="0" wp14:anchorId="1EDA9067" wp14:editId="049C22CE">
            <wp:extent cx="4138367" cy="3295650"/>
            <wp:effectExtent l="0" t="0" r="0" b="0"/>
            <wp:docPr id="431267598" name="Picture 3" descr="ASSAM_area_weighted_flux_302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SSAM_area_weighted_flux_302_measurement_based_filt.png"/>
                    <pic:cNvPicPr>
                      <a:picLocks noChangeAspect="1"/>
                    </pic:cNvPicPr>
                  </pic:nvPicPr>
                  <pic:blipFill>
                    <a:blip r:embed="rId25"/>
                    <a:stretch>
                      <a:fillRect/>
                    </a:stretch>
                  </pic:blipFill>
                  <pic:spPr>
                    <a:xfrm>
                      <a:off x="0" y="0"/>
                      <a:ext cx="4146359" cy="3302015"/>
                    </a:xfrm>
                    <a:prstGeom prst="rect">
                      <a:avLst/>
                    </a:prstGeom>
                  </pic:spPr>
                </pic:pic>
              </a:graphicData>
            </a:graphic>
          </wp:inline>
        </w:drawing>
      </w:r>
    </w:p>
    <w:p w14:paraId="72696639" w14:textId="77777777" w:rsidR="00A17DE2" w:rsidRDefault="00A17DE2" w:rsidP="00AA1AAE">
      <w:pPr>
        <w:spacing w:line="276" w:lineRule="auto"/>
        <w:rPr>
          <w:rFonts w:cs="Arial"/>
          <w:sz w:val="20"/>
          <w:szCs w:val="20"/>
        </w:rPr>
      </w:pPr>
      <w:r w:rsidRPr="00A17DE2">
        <w:rPr>
          <w:rFonts w:cs="Arial"/>
          <w:noProof/>
          <w:sz w:val="20"/>
          <w:szCs w:val="20"/>
        </w:rPr>
        <w:drawing>
          <wp:inline distT="0" distB="0" distL="0" distR="0" wp14:anchorId="72E31A5B" wp14:editId="37D77E14">
            <wp:extent cx="4381500" cy="3489284"/>
            <wp:effectExtent l="0" t="0" r="0" b="0"/>
            <wp:docPr id="1731027031" name="Picture 3" descr="ASSAM_area_weighted_flux_302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SSAM_area_weighted_flux_302_bottom_up_filt.png"/>
                    <pic:cNvPicPr>
                      <a:picLocks noChangeAspect="1"/>
                    </pic:cNvPicPr>
                  </pic:nvPicPr>
                  <pic:blipFill>
                    <a:blip r:embed="rId26"/>
                    <a:stretch>
                      <a:fillRect/>
                    </a:stretch>
                  </pic:blipFill>
                  <pic:spPr>
                    <a:xfrm>
                      <a:off x="0" y="0"/>
                      <a:ext cx="4384637" cy="3491782"/>
                    </a:xfrm>
                    <a:prstGeom prst="rect">
                      <a:avLst/>
                    </a:prstGeom>
                  </pic:spPr>
                </pic:pic>
              </a:graphicData>
            </a:graphic>
          </wp:inline>
        </w:drawing>
      </w:r>
    </w:p>
    <w:p w14:paraId="508382A8" w14:textId="52192F98" w:rsidR="00A17DE2" w:rsidRDefault="00A17DE2" w:rsidP="00A17DE2">
      <w:pPr>
        <w:spacing w:line="276" w:lineRule="auto"/>
        <w:rPr>
          <w:rFonts w:cs="Arial"/>
          <w:sz w:val="20"/>
          <w:szCs w:val="20"/>
        </w:rPr>
      </w:pPr>
      <w:r w:rsidRPr="008C73EF">
        <w:rPr>
          <w:b/>
          <w:bCs/>
          <w:sz w:val="20"/>
          <w:szCs w:val="20"/>
        </w:rPr>
        <w:t xml:space="preserve">Supplementary Figure </w:t>
      </w:r>
      <w:r>
        <w:rPr>
          <w:b/>
          <w:bCs/>
          <w:sz w:val="20"/>
          <w:szCs w:val="20"/>
        </w:rPr>
        <w:t>11</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xml:space="preserve"> </w:t>
      </w:r>
      <w:r w:rsidRPr="008C73EF">
        <w:rPr>
          <w:rFonts w:cs="Arial"/>
          <w:sz w:val="20"/>
          <w:szCs w:val="20"/>
        </w:rPr>
        <w:t>A</w:t>
      </w:r>
      <w:r>
        <w:rPr>
          <w:rFonts w:cs="Arial"/>
          <w:sz w:val="20"/>
          <w:szCs w:val="20"/>
        </w:rPr>
        <w:t xml:space="preserve">ssam, </w:t>
      </w:r>
      <w:r w:rsidR="00B25D56">
        <w:rPr>
          <w:rFonts w:cs="Arial"/>
          <w:sz w:val="20"/>
          <w:szCs w:val="20"/>
        </w:rPr>
        <w:t>India</w:t>
      </w:r>
      <w:r>
        <w:rPr>
          <w:rFonts w:cs="Arial"/>
          <w:sz w:val="20"/>
          <w:szCs w:val="20"/>
        </w:rPr>
        <w:t xml:space="preserve"> (</w:t>
      </w:r>
      <w:r w:rsidR="00B25D56">
        <w:rPr>
          <w:rFonts w:cs="Arial"/>
          <w:sz w:val="20"/>
          <w:szCs w:val="20"/>
        </w:rPr>
        <w:t>IND</w:t>
      </w:r>
      <w:r w:rsidRPr="008C73EF">
        <w:rPr>
          <w:rFonts w:cs="Arial"/>
          <w:sz w:val="20"/>
          <w:szCs w:val="20"/>
        </w:rPr>
        <w:t>) region.</w:t>
      </w:r>
    </w:p>
    <w:p w14:paraId="7BC3B541" w14:textId="67EC64C7" w:rsidR="00A17DE2" w:rsidRPr="008C73EF" w:rsidRDefault="00A17DE2" w:rsidP="00AA1AAE">
      <w:pPr>
        <w:spacing w:line="276" w:lineRule="auto"/>
        <w:rPr>
          <w:rFonts w:cs="Arial"/>
          <w:sz w:val="20"/>
          <w:szCs w:val="20"/>
        </w:rPr>
        <w:sectPr w:rsidR="00A17DE2" w:rsidRPr="008C73EF" w:rsidSect="00AA1AAE">
          <w:footerReference w:type="default" r:id="rId27"/>
          <w:pgSz w:w="12240" w:h="15840"/>
          <w:pgMar w:top="1440" w:right="1440" w:bottom="1440" w:left="1440" w:header="720" w:footer="720" w:gutter="0"/>
          <w:cols w:space="720"/>
          <w:docGrid w:linePitch="360"/>
        </w:sectPr>
      </w:pPr>
    </w:p>
    <w:p w14:paraId="7BA775DF" w14:textId="6F193139" w:rsidR="00AA1AAE" w:rsidRDefault="00602EC8" w:rsidP="00742938">
      <w:pPr>
        <w:spacing w:line="276" w:lineRule="auto"/>
      </w:pPr>
      <w:r w:rsidRPr="00602EC8">
        <w:rPr>
          <w:noProof/>
        </w:rPr>
        <w:lastRenderedPageBreak/>
        <w:drawing>
          <wp:inline distT="0" distB="0" distL="0" distR="0" wp14:anchorId="34825164" wp14:editId="0ADC1D13">
            <wp:extent cx="4238625" cy="3375491"/>
            <wp:effectExtent l="0" t="0" r="0" b="0"/>
            <wp:docPr id="338795623" name="Picture 3" descr="BOWEN-SURAT_area_weighted_flux_042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BOWEN-SURAT_area_weighted_flux_042_measurement_based_filt.png"/>
                    <pic:cNvPicPr>
                      <a:picLocks noChangeAspect="1"/>
                    </pic:cNvPicPr>
                  </pic:nvPicPr>
                  <pic:blipFill>
                    <a:blip r:embed="rId28"/>
                    <a:stretch>
                      <a:fillRect/>
                    </a:stretch>
                  </pic:blipFill>
                  <pic:spPr>
                    <a:xfrm>
                      <a:off x="0" y="0"/>
                      <a:ext cx="4244001" cy="3379773"/>
                    </a:xfrm>
                    <a:prstGeom prst="rect">
                      <a:avLst/>
                    </a:prstGeom>
                  </pic:spPr>
                </pic:pic>
              </a:graphicData>
            </a:graphic>
          </wp:inline>
        </w:drawing>
      </w:r>
    </w:p>
    <w:p w14:paraId="0FDACF99" w14:textId="38E1F0A0" w:rsidR="00EE5CFB" w:rsidRDefault="00EE5CFB" w:rsidP="00742938">
      <w:pPr>
        <w:spacing w:line="276" w:lineRule="auto"/>
      </w:pPr>
      <w:r w:rsidRPr="00EE5CFB">
        <w:rPr>
          <w:noProof/>
        </w:rPr>
        <w:drawing>
          <wp:inline distT="0" distB="0" distL="0" distR="0" wp14:anchorId="4ED906E3" wp14:editId="5BB58D73">
            <wp:extent cx="4401486" cy="3505200"/>
            <wp:effectExtent l="0" t="0" r="0" b="0"/>
            <wp:docPr id="576667114" name="Picture 3" descr="BOWEN-SURAT_area_weighted_flux_042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BOWEN-SURAT_area_weighted_flux_042_bottom_up_filt.png"/>
                    <pic:cNvPicPr>
                      <a:picLocks noChangeAspect="1"/>
                    </pic:cNvPicPr>
                  </pic:nvPicPr>
                  <pic:blipFill>
                    <a:blip r:embed="rId29"/>
                    <a:stretch>
                      <a:fillRect/>
                    </a:stretch>
                  </pic:blipFill>
                  <pic:spPr>
                    <a:xfrm>
                      <a:off x="0" y="0"/>
                      <a:ext cx="4409630" cy="3511685"/>
                    </a:xfrm>
                    <a:prstGeom prst="rect">
                      <a:avLst/>
                    </a:prstGeom>
                  </pic:spPr>
                </pic:pic>
              </a:graphicData>
            </a:graphic>
          </wp:inline>
        </w:drawing>
      </w:r>
    </w:p>
    <w:p w14:paraId="2CCC8615" w14:textId="13B85C9E" w:rsidR="00EE5CFB" w:rsidRPr="008C73EF" w:rsidRDefault="00EE5CFB" w:rsidP="00EE5CFB">
      <w:pPr>
        <w:spacing w:line="276" w:lineRule="auto"/>
        <w:rPr>
          <w:rFonts w:cs="Arial"/>
          <w:sz w:val="20"/>
          <w:szCs w:val="20"/>
        </w:rPr>
        <w:sectPr w:rsidR="00EE5CFB" w:rsidRPr="008C73EF" w:rsidSect="00EE5CFB">
          <w:footerReference w:type="default" r:id="rId30"/>
          <w:pgSz w:w="12240" w:h="15840"/>
          <w:pgMar w:top="1440" w:right="1440" w:bottom="1440" w:left="1440" w:header="720" w:footer="720" w:gutter="0"/>
          <w:cols w:space="720"/>
          <w:docGrid w:linePitch="360"/>
        </w:sectPr>
      </w:pPr>
      <w:r w:rsidRPr="008C73EF">
        <w:rPr>
          <w:b/>
          <w:bCs/>
          <w:sz w:val="20"/>
          <w:szCs w:val="20"/>
        </w:rPr>
        <w:t xml:space="preserve">Supplementary Figure </w:t>
      </w:r>
      <w:r>
        <w:rPr>
          <w:b/>
          <w:bCs/>
          <w:sz w:val="20"/>
          <w:szCs w:val="20"/>
        </w:rPr>
        <w:t>1</w:t>
      </w:r>
      <w:r w:rsidR="00A04F19">
        <w:rPr>
          <w:b/>
          <w:bCs/>
          <w:sz w:val="20"/>
          <w:szCs w:val="20"/>
        </w:rPr>
        <w:t>2</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xml:space="preserve"> Bowen Surat, Australia (AUS</w:t>
      </w:r>
      <w:r w:rsidRPr="008C73EF">
        <w:rPr>
          <w:rFonts w:cs="Arial"/>
          <w:sz w:val="20"/>
          <w:szCs w:val="20"/>
        </w:rPr>
        <w:t>) region.</w:t>
      </w:r>
    </w:p>
    <w:p w14:paraId="6602BF69" w14:textId="30EF25F6" w:rsidR="00EE5CFB" w:rsidRDefault="00917769" w:rsidP="00742938">
      <w:pPr>
        <w:spacing w:line="276" w:lineRule="auto"/>
      </w:pPr>
      <w:r>
        <w:rPr>
          <w:noProof/>
        </w:rPr>
        <w:lastRenderedPageBreak/>
        <w:drawing>
          <wp:inline distT="0" distB="0" distL="0" distR="0" wp14:anchorId="58DCD781" wp14:editId="0B7C6932">
            <wp:extent cx="4470663" cy="3629025"/>
            <wp:effectExtent l="0" t="0" r="6350" b="0"/>
            <wp:docPr id="1542250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77974" cy="3634960"/>
                    </a:xfrm>
                    <a:prstGeom prst="rect">
                      <a:avLst/>
                    </a:prstGeom>
                    <a:noFill/>
                  </pic:spPr>
                </pic:pic>
              </a:graphicData>
            </a:graphic>
          </wp:inline>
        </w:drawing>
      </w:r>
    </w:p>
    <w:p w14:paraId="12EEF7FE" w14:textId="2F443988" w:rsidR="006E1C4A" w:rsidRDefault="006E1C4A" w:rsidP="00742938">
      <w:pPr>
        <w:spacing w:line="276" w:lineRule="auto"/>
      </w:pPr>
      <w:r w:rsidRPr="006E1C4A">
        <w:rPr>
          <w:noProof/>
        </w:rPr>
        <w:drawing>
          <wp:inline distT="0" distB="0" distL="0" distR="0" wp14:anchorId="675FF065" wp14:editId="671ECFEE">
            <wp:extent cx="4562475" cy="3633406"/>
            <wp:effectExtent l="0" t="0" r="0" b="5715"/>
            <wp:docPr id="1737828281" name="Picture 3" descr="EAGLE_FORD_area_weighted_flux_085_090_US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EAGLE_FORD_area_weighted_flux_085_090_US_bottom_up_filt.png"/>
                    <pic:cNvPicPr>
                      <a:picLocks noChangeAspect="1"/>
                    </pic:cNvPicPr>
                  </pic:nvPicPr>
                  <pic:blipFill>
                    <a:blip r:embed="rId32"/>
                    <a:stretch>
                      <a:fillRect/>
                    </a:stretch>
                  </pic:blipFill>
                  <pic:spPr>
                    <a:xfrm>
                      <a:off x="0" y="0"/>
                      <a:ext cx="4567260" cy="3637217"/>
                    </a:xfrm>
                    <a:prstGeom prst="rect">
                      <a:avLst/>
                    </a:prstGeom>
                  </pic:spPr>
                </pic:pic>
              </a:graphicData>
            </a:graphic>
          </wp:inline>
        </w:drawing>
      </w:r>
    </w:p>
    <w:p w14:paraId="38B7D7AD" w14:textId="187708E1" w:rsidR="006E1C4A" w:rsidRPr="008C73EF" w:rsidRDefault="006E1C4A" w:rsidP="006E1C4A">
      <w:pPr>
        <w:spacing w:line="276" w:lineRule="auto"/>
        <w:rPr>
          <w:rFonts w:cs="Arial"/>
          <w:sz w:val="20"/>
          <w:szCs w:val="20"/>
        </w:rPr>
        <w:sectPr w:rsidR="006E1C4A" w:rsidRPr="008C73EF" w:rsidSect="006E1C4A">
          <w:footerReference w:type="default" r:id="rId33"/>
          <w:pgSz w:w="12240" w:h="15840"/>
          <w:pgMar w:top="1440" w:right="1440" w:bottom="1440" w:left="1440" w:header="720" w:footer="720" w:gutter="0"/>
          <w:cols w:space="720"/>
          <w:docGrid w:linePitch="360"/>
        </w:sectPr>
      </w:pPr>
      <w:r w:rsidRPr="008C73EF">
        <w:rPr>
          <w:b/>
          <w:bCs/>
          <w:sz w:val="20"/>
          <w:szCs w:val="20"/>
        </w:rPr>
        <w:t xml:space="preserve">Supplementary Figure </w:t>
      </w:r>
      <w:r>
        <w:rPr>
          <w:b/>
          <w:bCs/>
          <w:sz w:val="20"/>
          <w:szCs w:val="20"/>
        </w:rPr>
        <w:t>1</w:t>
      </w:r>
      <w:r w:rsidR="00A04F19">
        <w:rPr>
          <w:b/>
          <w:bCs/>
          <w:sz w:val="20"/>
          <w:szCs w:val="20"/>
        </w:rPr>
        <w:t>3</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xml:space="preserve"> Eagle Ford, United States (USA</w:t>
      </w:r>
      <w:r w:rsidRPr="008C73EF">
        <w:rPr>
          <w:rFonts w:cs="Arial"/>
          <w:sz w:val="20"/>
          <w:szCs w:val="20"/>
        </w:rPr>
        <w:t>) region.</w:t>
      </w:r>
    </w:p>
    <w:p w14:paraId="3D61A4BF" w14:textId="73D638B2" w:rsidR="006E1C4A" w:rsidRDefault="00A11DEA" w:rsidP="00742938">
      <w:pPr>
        <w:spacing w:line="276" w:lineRule="auto"/>
      </w:pPr>
      <w:r w:rsidRPr="00A11DEA">
        <w:rPr>
          <w:noProof/>
        </w:rPr>
        <w:lastRenderedPageBreak/>
        <w:drawing>
          <wp:inline distT="0" distB="0" distL="0" distR="0" wp14:anchorId="7C49FC79" wp14:editId="50135C49">
            <wp:extent cx="4198170" cy="3343275"/>
            <wp:effectExtent l="0" t="0" r="0" b="0"/>
            <wp:docPr id="1593088454" name="Picture 3" descr="GREATER_GREEN_RIVER_area_weighted_flux_217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GREATER_GREEN_RIVER_area_weighted_flux_217_measurement_based_filt.png"/>
                    <pic:cNvPicPr>
                      <a:picLocks noChangeAspect="1"/>
                    </pic:cNvPicPr>
                  </pic:nvPicPr>
                  <pic:blipFill>
                    <a:blip r:embed="rId34"/>
                    <a:stretch>
                      <a:fillRect/>
                    </a:stretch>
                  </pic:blipFill>
                  <pic:spPr>
                    <a:xfrm>
                      <a:off x="0" y="0"/>
                      <a:ext cx="4201559" cy="3345974"/>
                    </a:xfrm>
                    <a:prstGeom prst="rect">
                      <a:avLst/>
                    </a:prstGeom>
                  </pic:spPr>
                </pic:pic>
              </a:graphicData>
            </a:graphic>
          </wp:inline>
        </w:drawing>
      </w:r>
    </w:p>
    <w:p w14:paraId="7E249FFB" w14:textId="0B93A8EC" w:rsidR="006E37A4" w:rsidRDefault="006E37A4" w:rsidP="00742938">
      <w:pPr>
        <w:spacing w:line="276" w:lineRule="auto"/>
      </w:pPr>
      <w:r w:rsidRPr="006E37A4">
        <w:rPr>
          <w:noProof/>
        </w:rPr>
        <w:drawing>
          <wp:inline distT="0" distB="0" distL="0" distR="0" wp14:anchorId="3AC42580" wp14:editId="0F126800">
            <wp:extent cx="4329722" cy="3448050"/>
            <wp:effectExtent l="0" t="0" r="0" b="0"/>
            <wp:docPr id="633982098" name="Picture 3" descr="GREATER_GREEN_RIVER_area_weighted_flux_217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GREATER_GREEN_RIVER_area_weighted_flux_217_bottom_up_filt.png"/>
                    <pic:cNvPicPr>
                      <a:picLocks noChangeAspect="1"/>
                    </pic:cNvPicPr>
                  </pic:nvPicPr>
                  <pic:blipFill>
                    <a:blip r:embed="rId35"/>
                    <a:stretch>
                      <a:fillRect/>
                    </a:stretch>
                  </pic:blipFill>
                  <pic:spPr>
                    <a:xfrm>
                      <a:off x="0" y="0"/>
                      <a:ext cx="4336049" cy="3453089"/>
                    </a:xfrm>
                    <a:prstGeom prst="rect">
                      <a:avLst/>
                    </a:prstGeom>
                  </pic:spPr>
                </pic:pic>
              </a:graphicData>
            </a:graphic>
          </wp:inline>
        </w:drawing>
      </w:r>
    </w:p>
    <w:p w14:paraId="6934E780" w14:textId="6E116C90" w:rsidR="006E37A4" w:rsidRPr="008C73EF" w:rsidRDefault="006E37A4" w:rsidP="006E37A4">
      <w:pPr>
        <w:spacing w:line="276" w:lineRule="auto"/>
        <w:rPr>
          <w:rFonts w:cs="Arial"/>
          <w:sz w:val="20"/>
          <w:szCs w:val="20"/>
        </w:rPr>
        <w:sectPr w:rsidR="006E37A4" w:rsidRPr="008C73EF" w:rsidSect="006E37A4">
          <w:footerReference w:type="default" r:id="rId36"/>
          <w:pgSz w:w="12240" w:h="15840"/>
          <w:pgMar w:top="1440" w:right="1440" w:bottom="1440" w:left="1440" w:header="720" w:footer="720" w:gutter="0"/>
          <w:cols w:space="720"/>
          <w:docGrid w:linePitch="360"/>
        </w:sectPr>
      </w:pPr>
      <w:r w:rsidRPr="008C73EF">
        <w:rPr>
          <w:b/>
          <w:bCs/>
          <w:sz w:val="20"/>
          <w:szCs w:val="20"/>
        </w:rPr>
        <w:t xml:space="preserve">Supplementary Figure </w:t>
      </w:r>
      <w:r>
        <w:rPr>
          <w:b/>
          <w:bCs/>
          <w:sz w:val="20"/>
          <w:szCs w:val="20"/>
        </w:rPr>
        <w:t>1</w:t>
      </w:r>
      <w:r w:rsidR="00A04F19">
        <w:rPr>
          <w:b/>
          <w:bCs/>
          <w:sz w:val="20"/>
          <w:szCs w:val="20"/>
        </w:rPr>
        <w:t>4</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xml:space="preserve"> Greater Green River, United States (USA</w:t>
      </w:r>
      <w:r w:rsidRPr="008C73EF">
        <w:rPr>
          <w:rFonts w:cs="Arial"/>
          <w:sz w:val="20"/>
          <w:szCs w:val="20"/>
        </w:rPr>
        <w:t>) region.</w:t>
      </w:r>
    </w:p>
    <w:p w14:paraId="4786ACF7" w14:textId="6A6D2D23" w:rsidR="006E37A4" w:rsidRDefault="0012212A" w:rsidP="00742938">
      <w:pPr>
        <w:spacing w:line="276" w:lineRule="auto"/>
      </w:pPr>
      <w:r w:rsidRPr="0012212A">
        <w:rPr>
          <w:noProof/>
        </w:rPr>
        <w:lastRenderedPageBreak/>
        <w:drawing>
          <wp:inline distT="0" distB="0" distL="0" distR="0" wp14:anchorId="79698854" wp14:editId="23B198B6">
            <wp:extent cx="4486275" cy="3572711"/>
            <wp:effectExtent l="0" t="0" r="0" b="8890"/>
            <wp:docPr id="1724996954" name="Picture 3" descr="HAYNESVILLE-BOSSIER_area_weighted_flux_095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HAYNESVILLE-BOSSIER_area_weighted_flux_095_measurement_based_filt.png"/>
                    <pic:cNvPicPr>
                      <a:picLocks noChangeAspect="1"/>
                    </pic:cNvPicPr>
                  </pic:nvPicPr>
                  <pic:blipFill>
                    <a:blip r:embed="rId37"/>
                    <a:stretch>
                      <a:fillRect/>
                    </a:stretch>
                  </pic:blipFill>
                  <pic:spPr>
                    <a:xfrm>
                      <a:off x="0" y="0"/>
                      <a:ext cx="4490741" cy="3576267"/>
                    </a:xfrm>
                    <a:prstGeom prst="rect">
                      <a:avLst/>
                    </a:prstGeom>
                  </pic:spPr>
                </pic:pic>
              </a:graphicData>
            </a:graphic>
          </wp:inline>
        </w:drawing>
      </w:r>
    </w:p>
    <w:p w14:paraId="53B916D2" w14:textId="27C4282E" w:rsidR="0012212A" w:rsidRDefault="0012212A" w:rsidP="00742938">
      <w:pPr>
        <w:spacing w:line="276" w:lineRule="auto"/>
      </w:pPr>
      <w:r w:rsidRPr="0012212A">
        <w:rPr>
          <w:noProof/>
        </w:rPr>
        <w:drawing>
          <wp:inline distT="0" distB="0" distL="0" distR="0" wp14:anchorId="2B462CDA" wp14:editId="48BD40F8">
            <wp:extent cx="4476750" cy="3565139"/>
            <wp:effectExtent l="0" t="0" r="0" b="0"/>
            <wp:docPr id="381992352" name="Picture 3" descr="HAYNESVILLE-BOSSIER_area_weighted_flux_095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HAYNESVILLE-BOSSIER_area_weighted_flux_095_bottom_up_filt.png"/>
                    <pic:cNvPicPr>
                      <a:picLocks noChangeAspect="1"/>
                    </pic:cNvPicPr>
                  </pic:nvPicPr>
                  <pic:blipFill>
                    <a:blip r:embed="rId38"/>
                    <a:stretch>
                      <a:fillRect/>
                    </a:stretch>
                  </pic:blipFill>
                  <pic:spPr>
                    <a:xfrm>
                      <a:off x="0" y="0"/>
                      <a:ext cx="4482234" cy="3569506"/>
                    </a:xfrm>
                    <a:prstGeom prst="rect">
                      <a:avLst/>
                    </a:prstGeom>
                  </pic:spPr>
                </pic:pic>
              </a:graphicData>
            </a:graphic>
          </wp:inline>
        </w:drawing>
      </w:r>
    </w:p>
    <w:p w14:paraId="074E4146" w14:textId="72D34390" w:rsidR="0012212A" w:rsidRPr="008C73EF" w:rsidRDefault="0012212A" w:rsidP="0012212A">
      <w:pPr>
        <w:spacing w:line="276" w:lineRule="auto"/>
        <w:rPr>
          <w:rFonts w:cs="Arial"/>
          <w:sz w:val="20"/>
          <w:szCs w:val="20"/>
        </w:rPr>
        <w:sectPr w:rsidR="0012212A" w:rsidRPr="008C73EF" w:rsidSect="0012212A">
          <w:footerReference w:type="default" r:id="rId39"/>
          <w:pgSz w:w="12240" w:h="15840"/>
          <w:pgMar w:top="1440" w:right="1440" w:bottom="1440" w:left="1440" w:header="720" w:footer="720" w:gutter="0"/>
          <w:cols w:space="720"/>
          <w:docGrid w:linePitch="360"/>
        </w:sectPr>
      </w:pPr>
      <w:r w:rsidRPr="008C73EF">
        <w:rPr>
          <w:b/>
          <w:bCs/>
          <w:sz w:val="20"/>
          <w:szCs w:val="20"/>
        </w:rPr>
        <w:t xml:space="preserve">Supplementary Figure </w:t>
      </w:r>
      <w:r>
        <w:rPr>
          <w:b/>
          <w:bCs/>
          <w:sz w:val="20"/>
          <w:szCs w:val="20"/>
        </w:rPr>
        <w:t>1</w:t>
      </w:r>
      <w:r w:rsidR="00A04F19">
        <w:rPr>
          <w:b/>
          <w:bCs/>
          <w:sz w:val="20"/>
          <w:szCs w:val="20"/>
        </w:rPr>
        <w:t>5</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xml:space="preserve"> Haynesville, United States (USA</w:t>
      </w:r>
      <w:r w:rsidRPr="008C73EF">
        <w:rPr>
          <w:rFonts w:cs="Arial"/>
          <w:sz w:val="20"/>
          <w:szCs w:val="20"/>
        </w:rPr>
        <w:t>) region.</w:t>
      </w:r>
    </w:p>
    <w:p w14:paraId="1CA6DCF8" w14:textId="4C405BD3" w:rsidR="0012212A" w:rsidRDefault="006806F8" w:rsidP="00742938">
      <w:pPr>
        <w:spacing w:line="276" w:lineRule="auto"/>
      </w:pPr>
      <w:r w:rsidRPr="006806F8">
        <w:rPr>
          <w:noProof/>
        </w:rPr>
        <w:lastRenderedPageBreak/>
        <w:drawing>
          <wp:inline distT="0" distB="0" distL="0" distR="0" wp14:anchorId="5C0F7D99" wp14:editId="6BA814FA">
            <wp:extent cx="4733925" cy="3769931"/>
            <wp:effectExtent l="0" t="0" r="0" b="2540"/>
            <wp:docPr id="83021510" name="Picture 3" descr="ILLIZI-GHADAMES_area_weighted_flux_086_089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ILLIZI-GHADAMES_area_weighted_flux_086_089_measurement_based_filt.png"/>
                    <pic:cNvPicPr>
                      <a:picLocks noChangeAspect="1"/>
                    </pic:cNvPicPr>
                  </pic:nvPicPr>
                  <pic:blipFill>
                    <a:blip r:embed="rId40"/>
                    <a:stretch>
                      <a:fillRect/>
                    </a:stretch>
                  </pic:blipFill>
                  <pic:spPr>
                    <a:xfrm>
                      <a:off x="0" y="0"/>
                      <a:ext cx="4736825" cy="3772240"/>
                    </a:xfrm>
                    <a:prstGeom prst="rect">
                      <a:avLst/>
                    </a:prstGeom>
                  </pic:spPr>
                </pic:pic>
              </a:graphicData>
            </a:graphic>
          </wp:inline>
        </w:drawing>
      </w:r>
    </w:p>
    <w:p w14:paraId="021C5A46" w14:textId="76FC609E" w:rsidR="006806F8" w:rsidRDefault="006806F8" w:rsidP="00742938">
      <w:pPr>
        <w:spacing w:line="276" w:lineRule="auto"/>
      </w:pPr>
      <w:r w:rsidRPr="006806F8">
        <w:rPr>
          <w:noProof/>
        </w:rPr>
        <w:drawing>
          <wp:inline distT="0" distB="0" distL="0" distR="0" wp14:anchorId="4B137639" wp14:editId="4A3B0AE7">
            <wp:extent cx="4640696" cy="3695700"/>
            <wp:effectExtent l="0" t="0" r="7620" b="0"/>
            <wp:docPr id="817193632" name="Picture 3" descr="ILLIZI-GHADAMES_area_weighted_flux_086_089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ILLIZI-GHADAMES_area_weighted_flux_086_089_bottom_up_filt.png"/>
                    <pic:cNvPicPr>
                      <a:picLocks noChangeAspect="1"/>
                    </pic:cNvPicPr>
                  </pic:nvPicPr>
                  <pic:blipFill>
                    <a:blip r:embed="rId41"/>
                    <a:stretch>
                      <a:fillRect/>
                    </a:stretch>
                  </pic:blipFill>
                  <pic:spPr>
                    <a:xfrm>
                      <a:off x="0" y="0"/>
                      <a:ext cx="4642119" cy="3696833"/>
                    </a:xfrm>
                    <a:prstGeom prst="rect">
                      <a:avLst/>
                    </a:prstGeom>
                  </pic:spPr>
                </pic:pic>
              </a:graphicData>
            </a:graphic>
          </wp:inline>
        </w:drawing>
      </w:r>
    </w:p>
    <w:p w14:paraId="249CAE4A" w14:textId="34022FAB" w:rsidR="006806F8" w:rsidRPr="008C73EF" w:rsidRDefault="006806F8" w:rsidP="006806F8">
      <w:pPr>
        <w:spacing w:line="276" w:lineRule="auto"/>
        <w:rPr>
          <w:rFonts w:cs="Arial"/>
          <w:sz w:val="20"/>
          <w:szCs w:val="20"/>
        </w:rPr>
        <w:sectPr w:rsidR="006806F8" w:rsidRPr="008C73EF" w:rsidSect="006806F8">
          <w:footerReference w:type="default" r:id="rId42"/>
          <w:pgSz w:w="12240" w:h="15840"/>
          <w:pgMar w:top="1440" w:right="1440" w:bottom="1440" w:left="1440" w:header="720" w:footer="720" w:gutter="0"/>
          <w:cols w:space="720"/>
          <w:docGrid w:linePitch="360"/>
        </w:sectPr>
      </w:pPr>
      <w:r w:rsidRPr="008C73EF">
        <w:rPr>
          <w:b/>
          <w:bCs/>
          <w:sz w:val="20"/>
          <w:szCs w:val="20"/>
        </w:rPr>
        <w:t xml:space="preserve">Supplementary Figure </w:t>
      </w:r>
      <w:r>
        <w:rPr>
          <w:b/>
          <w:bCs/>
          <w:sz w:val="20"/>
          <w:szCs w:val="20"/>
        </w:rPr>
        <w:t>1</w:t>
      </w:r>
      <w:r w:rsidR="00A04F19">
        <w:rPr>
          <w:b/>
          <w:bCs/>
          <w:sz w:val="20"/>
          <w:szCs w:val="20"/>
        </w:rPr>
        <w:t>6</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xml:space="preserve"> </w:t>
      </w:r>
      <w:proofErr w:type="spellStart"/>
      <w:r>
        <w:rPr>
          <w:rFonts w:cs="Arial"/>
          <w:sz w:val="20"/>
          <w:szCs w:val="20"/>
        </w:rPr>
        <w:t>Illizi</w:t>
      </w:r>
      <w:proofErr w:type="spellEnd"/>
      <w:r>
        <w:rPr>
          <w:rFonts w:cs="Arial"/>
          <w:sz w:val="20"/>
          <w:szCs w:val="20"/>
        </w:rPr>
        <w:t xml:space="preserve"> Ghadames, Algeria (ALG</w:t>
      </w:r>
      <w:r w:rsidRPr="008C73EF">
        <w:rPr>
          <w:rFonts w:cs="Arial"/>
          <w:sz w:val="20"/>
          <w:szCs w:val="20"/>
        </w:rPr>
        <w:t>) region.</w:t>
      </w:r>
    </w:p>
    <w:p w14:paraId="3DC18E3A" w14:textId="42B8B508" w:rsidR="006806F8" w:rsidRDefault="00FA6981" w:rsidP="00742938">
      <w:pPr>
        <w:spacing w:line="276" w:lineRule="auto"/>
      </w:pPr>
      <w:r w:rsidRPr="00FA6981">
        <w:rPr>
          <w:noProof/>
        </w:rPr>
        <w:lastRenderedPageBreak/>
        <w:drawing>
          <wp:inline distT="0" distB="0" distL="0" distR="0" wp14:anchorId="4305BF0F" wp14:editId="538CDF73">
            <wp:extent cx="4495800" cy="3580297"/>
            <wp:effectExtent l="0" t="0" r="0" b="1270"/>
            <wp:docPr id="1845398923" name="Picture 3" descr="JUNGGAR_area_weighted_flux_118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JUNGGAR_area_weighted_flux_118_measurement_based_filt.png"/>
                    <pic:cNvPicPr>
                      <a:picLocks noChangeAspect="1"/>
                    </pic:cNvPicPr>
                  </pic:nvPicPr>
                  <pic:blipFill>
                    <a:blip r:embed="rId43"/>
                    <a:stretch>
                      <a:fillRect/>
                    </a:stretch>
                  </pic:blipFill>
                  <pic:spPr>
                    <a:xfrm>
                      <a:off x="0" y="0"/>
                      <a:ext cx="4498511" cy="3582456"/>
                    </a:xfrm>
                    <a:prstGeom prst="rect">
                      <a:avLst/>
                    </a:prstGeom>
                  </pic:spPr>
                </pic:pic>
              </a:graphicData>
            </a:graphic>
          </wp:inline>
        </w:drawing>
      </w:r>
    </w:p>
    <w:p w14:paraId="697F1F46" w14:textId="0417501C" w:rsidR="00FA6981" w:rsidRDefault="00FA6981" w:rsidP="00742938">
      <w:pPr>
        <w:spacing w:line="276" w:lineRule="auto"/>
      </w:pPr>
      <w:r w:rsidRPr="00FA6981">
        <w:rPr>
          <w:noProof/>
        </w:rPr>
        <w:drawing>
          <wp:inline distT="0" distB="0" distL="0" distR="0" wp14:anchorId="0D68E7DD" wp14:editId="03858429">
            <wp:extent cx="4505325" cy="3587895"/>
            <wp:effectExtent l="0" t="0" r="0" b="0"/>
            <wp:docPr id="875840989" name="Picture 3" descr="JUNGGAR_area_weighted_flux_118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JUNGGAR_area_weighted_flux_118_bottom_up_filt.png"/>
                    <pic:cNvPicPr>
                      <a:picLocks noChangeAspect="1"/>
                    </pic:cNvPicPr>
                  </pic:nvPicPr>
                  <pic:blipFill>
                    <a:blip r:embed="rId44"/>
                    <a:stretch>
                      <a:fillRect/>
                    </a:stretch>
                  </pic:blipFill>
                  <pic:spPr>
                    <a:xfrm>
                      <a:off x="0" y="0"/>
                      <a:ext cx="4511874" cy="3593110"/>
                    </a:xfrm>
                    <a:prstGeom prst="rect">
                      <a:avLst/>
                    </a:prstGeom>
                  </pic:spPr>
                </pic:pic>
              </a:graphicData>
            </a:graphic>
          </wp:inline>
        </w:drawing>
      </w:r>
    </w:p>
    <w:p w14:paraId="76BECCA9" w14:textId="2DE55512" w:rsidR="00FA6981" w:rsidRPr="008C73EF" w:rsidRDefault="00FA6981" w:rsidP="00FA6981">
      <w:pPr>
        <w:spacing w:line="276" w:lineRule="auto"/>
        <w:rPr>
          <w:rFonts w:cs="Arial"/>
          <w:sz w:val="20"/>
          <w:szCs w:val="20"/>
        </w:rPr>
        <w:sectPr w:rsidR="00FA6981" w:rsidRPr="008C73EF" w:rsidSect="00FA6981">
          <w:footerReference w:type="default" r:id="rId45"/>
          <w:pgSz w:w="12240" w:h="15840"/>
          <w:pgMar w:top="1440" w:right="1440" w:bottom="1440" w:left="1440" w:header="720" w:footer="720" w:gutter="0"/>
          <w:cols w:space="720"/>
          <w:docGrid w:linePitch="360"/>
        </w:sectPr>
      </w:pPr>
      <w:r w:rsidRPr="008C73EF">
        <w:rPr>
          <w:b/>
          <w:bCs/>
          <w:sz w:val="20"/>
          <w:szCs w:val="20"/>
        </w:rPr>
        <w:t xml:space="preserve">Supplementary Figure </w:t>
      </w:r>
      <w:r>
        <w:rPr>
          <w:b/>
          <w:bCs/>
          <w:sz w:val="20"/>
          <w:szCs w:val="20"/>
        </w:rPr>
        <w:t>1</w:t>
      </w:r>
      <w:r w:rsidR="00A04F19">
        <w:rPr>
          <w:b/>
          <w:bCs/>
          <w:sz w:val="20"/>
          <w:szCs w:val="20"/>
        </w:rPr>
        <w:t>7</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xml:space="preserve"> </w:t>
      </w:r>
      <w:proofErr w:type="spellStart"/>
      <w:r>
        <w:rPr>
          <w:rFonts w:cs="Arial"/>
          <w:sz w:val="20"/>
          <w:szCs w:val="20"/>
        </w:rPr>
        <w:t>Illizi</w:t>
      </w:r>
      <w:proofErr w:type="spellEnd"/>
      <w:r>
        <w:rPr>
          <w:rFonts w:cs="Arial"/>
          <w:sz w:val="20"/>
          <w:szCs w:val="20"/>
        </w:rPr>
        <w:t xml:space="preserve"> </w:t>
      </w:r>
      <w:proofErr w:type="spellStart"/>
      <w:r>
        <w:rPr>
          <w:rFonts w:cs="Arial"/>
          <w:sz w:val="20"/>
          <w:szCs w:val="20"/>
        </w:rPr>
        <w:t>Junggar</w:t>
      </w:r>
      <w:proofErr w:type="spellEnd"/>
      <w:r>
        <w:rPr>
          <w:rFonts w:cs="Arial"/>
          <w:sz w:val="20"/>
          <w:szCs w:val="20"/>
        </w:rPr>
        <w:t>, China (CHN</w:t>
      </w:r>
      <w:r w:rsidRPr="008C73EF">
        <w:rPr>
          <w:rFonts w:cs="Arial"/>
          <w:sz w:val="20"/>
          <w:szCs w:val="20"/>
        </w:rPr>
        <w:t>) region.</w:t>
      </w:r>
    </w:p>
    <w:p w14:paraId="4E8A14CF" w14:textId="1B227A4F" w:rsidR="00FA6981" w:rsidRDefault="002B0A5C" w:rsidP="00742938">
      <w:pPr>
        <w:spacing w:line="276" w:lineRule="auto"/>
      </w:pPr>
      <w:r w:rsidRPr="002B0A5C">
        <w:rPr>
          <w:noProof/>
        </w:rPr>
        <w:lastRenderedPageBreak/>
        <w:drawing>
          <wp:inline distT="0" distB="0" distL="0" distR="0" wp14:anchorId="14BAD8CE" wp14:editId="1B55ED80">
            <wp:extent cx="4509146" cy="3590925"/>
            <wp:effectExtent l="0" t="0" r="5715" b="0"/>
            <wp:docPr id="991692430" name="Picture 3" descr="MOESIAN_PLATFORM_area_weighted_flux_116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MOESIAN_PLATFORM_area_weighted_flux_116_measurement_based_filt.png"/>
                    <pic:cNvPicPr>
                      <a:picLocks noChangeAspect="1"/>
                    </pic:cNvPicPr>
                  </pic:nvPicPr>
                  <pic:blipFill>
                    <a:blip r:embed="rId46"/>
                    <a:stretch>
                      <a:fillRect/>
                    </a:stretch>
                  </pic:blipFill>
                  <pic:spPr>
                    <a:xfrm>
                      <a:off x="0" y="0"/>
                      <a:ext cx="4512993" cy="3593989"/>
                    </a:xfrm>
                    <a:prstGeom prst="rect">
                      <a:avLst/>
                    </a:prstGeom>
                  </pic:spPr>
                </pic:pic>
              </a:graphicData>
            </a:graphic>
          </wp:inline>
        </w:drawing>
      </w:r>
    </w:p>
    <w:p w14:paraId="6CD640E2" w14:textId="6281D229" w:rsidR="002B0A5C" w:rsidRDefault="002B0A5C" w:rsidP="00742938">
      <w:pPr>
        <w:spacing w:line="276" w:lineRule="auto"/>
      </w:pPr>
      <w:r w:rsidRPr="002B0A5C">
        <w:rPr>
          <w:noProof/>
        </w:rPr>
        <w:drawing>
          <wp:inline distT="0" distB="0" distL="0" distR="0" wp14:anchorId="29684729" wp14:editId="1CE19F08">
            <wp:extent cx="4505325" cy="3587895"/>
            <wp:effectExtent l="0" t="0" r="0" b="0"/>
            <wp:docPr id="1786433847" name="Picture 3" descr="MOESIAN_PLATFORM_area_weighted_flux_116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MOESIAN_PLATFORM_area_weighted_flux_116_bottom_up_filt.png"/>
                    <pic:cNvPicPr>
                      <a:picLocks noChangeAspect="1"/>
                    </pic:cNvPicPr>
                  </pic:nvPicPr>
                  <pic:blipFill>
                    <a:blip r:embed="rId47"/>
                    <a:stretch>
                      <a:fillRect/>
                    </a:stretch>
                  </pic:blipFill>
                  <pic:spPr>
                    <a:xfrm>
                      <a:off x="0" y="0"/>
                      <a:ext cx="4506296" cy="3588668"/>
                    </a:xfrm>
                    <a:prstGeom prst="rect">
                      <a:avLst/>
                    </a:prstGeom>
                  </pic:spPr>
                </pic:pic>
              </a:graphicData>
            </a:graphic>
          </wp:inline>
        </w:drawing>
      </w:r>
    </w:p>
    <w:p w14:paraId="6F24E8E9" w14:textId="01C75A83" w:rsidR="002B0A5C" w:rsidRPr="008C73EF" w:rsidRDefault="002B0A5C" w:rsidP="002B0A5C">
      <w:pPr>
        <w:spacing w:line="276" w:lineRule="auto"/>
        <w:rPr>
          <w:rFonts w:cs="Arial"/>
          <w:sz w:val="20"/>
          <w:szCs w:val="20"/>
        </w:rPr>
        <w:sectPr w:rsidR="002B0A5C" w:rsidRPr="008C73EF" w:rsidSect="002B0A5C">
          <w:footerReference w:type="default" r:id="rId48"/>
          <w:pgSz w:w="12240" w:h="15840"/>
          <w:pgMar w:top="1440" w:right="1440" w:bottom="1440" w:left="1440" w:header="720" w:footer="720" w:gutter="0"/>
          <w:cols w:space="720"/>
          <w:docGrid w:linePitch="360"/>
        </w:sectPr>
      </w:pPr>
      <w:r w:rsidRPr="008C73EF">
        <w:rPr>
          <w:b/>
          <w:bCs/>
          <w:sz w:val="20"/>
          <w:szCs w:val="20"/>
        </w:rPr>
        <w:t xml:space="preserve">Supplementary Figure </w:t>
      </w:r>
      <w:r>
        <w:rPr>
          <w:b/>
          <w:bCs/>
          <w:sz w:val="20"/>
          <w:szCs w:val="20"/>
        </w:rPr>
        <w:t>1</w:t>
      </w:r>
      <w:r w:rsidR="00A04F19">
        <w:rPr>
          <w:b/>
          <w:bCs/>
          <w:sz w:val="20"/>
          <w:szCs w:val="20"/>
        </w:rPr>
        <w:t>8</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xml:space="preserve">). </w:t>
      </w:r>
      <w:proofErr w:type="spellStart"/>
      <w:r>
        <w:rPr>
          <w:rFonts w:cs="Arial"/>
          <w:sz w:val="20"/>
          <w:szCs w:val="20"/>
        </w:rPr>
        <w:t>Moesian</w:t>
      </w:r>
      <w:proofErr w:type="spellEnd"/>
      <w:r>
        <w:rPr>
          <w:rFonts w:cs="Arial"/>
          <w:sz w:val="20"/>
          <w:szCs w:val="20"/>
        </w:rPr>
        <w:t xml:space="preserve"> Platform, Romania (ROM</w:t>
      </w:r>
      <w:r w:rsidRPr="008C73EF">
        <w:rPr>
          <w:rFonts w:cs="Arial"/>
          <w:sz w:val="20"/>
          <w:szCs w:val="20"/>
        </w:rPr>
        <w:t>) region.</w:t>
      </w:r>
    </w:p>
    <w:p w14:paraId="68D99AD1" w14:textId="13ADB74F" w:rsidR="002B0A5C" w:rsidRDefault="00FD4D29" w:rsidP="00742938">
      <w:pPr>
        <w:spacing w:line="276" w:lineRule="auto"/>
      </w:pPr>
      <w:r w:rsidRPr="00FD4D29">
        <w:rPr>
          <w:noProof/>
        </w:rPr>
        <w:lastRenderedPageBreak/>
        <w:drawing>
          <wp:inline distT="0" distB="0" distL="0" distR="0" wp14:anchorId="0A5E18A9" wp14:editId="25CDBDB7">
            <wp:extent cx="4413460" cy="3514725"/>
            <wp:effectExtent l="0" t="0" r="6350" b="0"/>
            <wp:docPr id="1545412636" name="Picture 3" descr="MSAT_TARGET_044_DATE_2025_03_31_ID_09F102C0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MSAT_TARGET_044_DATE_2025_03_31_ID_09F102C0_measurement_based_filt.png"/>
                    <pic:cNvPicPr>
                      <a:picLocks noChangeAspect="1"/>
                    </pic:cNvPicPr>
                  </pic:nvPicPr>
                  <pic:blipFill>
                    <a:blip r:embed="rId49"/>
                    <a:stretch>
                      <a:fillRect/>
                    </a:stretch>
                  </pic:blipFill>
                  <pic:spPr>
                    <a:xfrm>
                      <a:off x="0" y="0"/>
                      <a:ext cx="4424298" cy="3523356"/>
                    </a:xfrm>
                    <a:prstGeom prst="rect">
                      <a:avLst/>
                    </a:prstGeom>
                  </pic:spPr>
                </pic:pic>
              </a:graphicData>
            </a:graphic>
          </wp:inline>
        </w:drawing>
      </w:r>
    </w:p>
    <w:p w14:paraId="081A5FAA" w14:textId="0C0F98C3" w:rsidR="00FD4D29" w:rsidRDefault="00FD4D29" w:rsidP="00742938">
      <w:pPr>
        <w:spacing w:line="276" w:lineRule="auto"/>
      </w:pPr>
      <w:r w:rsidRPr="00FD4D29">
        <w:rPr>
          <w:noProof/>
        </w:rPr>
        <w:drawing>
          <wp:inline distT="0" distB="0" distL="0" distR="0" wp14:anchorId="4D6425F7" wp14:editId="3019F889">
            <wp:extent cx="4476750" cy="3565138"/>
            <wp:effectExtent l="0" t="0" r="0" b="0"/>
            <wp:docPr id="1066088897" name="Picture 3" descr="MSAT_TARGET_044_DATE_2025_03_31_ID_09F102C0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MSAT_TARGET_044_DATE_2025_03_31_ID_09F102C0_bottom_up_filt.png"/>
                    <pic:cNvPicPr>
                      <a:picLocks noChangeAspect="1"/>
                    </pic:cNvPicPr>
                  </pic:nvPicPr>
                  <pic:blipFill>
                    <a:blip r:embed="rId50"/>
                    <a:stretch>
                      <a:fillRect/>
                    </a:stretch>
                  </pic:blipFill>
                  <pic:spPr>
                    <a:xfrm>
                      <a:off x="0" y="0"/>
                      <a:ext cx="4480197" cy="3567883"/>
                    </a:xfrm>
                    <a:prstGeom prst="rect">
                      <a:avLst/>
                    </a:prstGeom>
                  </pic:spPr>
                </pic:pic>
              </a:graphicData>
            </a:graphic>
          </wp:inline>
        </w:drawing>
      </w:r>
    </w:p>
    <w:p w14:paraId="2BE957C8" w14:textId="78532C27" w:rsidR="00D41461" w:rsidRPr="008C73EF" w:rsidRDefault="00D41461" w:rsidP="00D41461">
      <w:pPr>
        <w:spacing w:line="276" w:lineRule="auto"/>
        <w:rPr>
          <w:rFonts w:cs="Arial"/>
          <w:sz w:val="20"/>
          <w:szCs w:val="20"/>
        </w:rPr>
        <w:sectPr w:rsidR="00D41461" w:rsidRPr="008C73EF" w:rsidSect="00D41461">
          <w:footerReference w:type="default" r:id="rId51"/>
          <w:pgSz w:w="12240" w:h="15840"/>
          <w:pgMar w:top="1440" w:right="1440" w:bottom="1440" w:left="1440" w:header="720" w:footer="720" w:gutter="0"/>
          <w:cols w:space="720"/>
          <w:docGrid w:linePitch="360"/>
        </w:sectPr>
      </w:pPr>
      <w:r w:rsidRPr="008C73EF">
        <w:rPr>
          <w:b/>
          <w:bCs/>
          <w:sz w:val="20"/>
          <w:szCs w:val="20"/>
        </w:rPr>
        <w:t xml:space="preserve">Supplementary Figure </w:t>
      </w:r>
      <w:r>
        <w:rPr>
          <w:b/>
          <w:bCs/>
          <w:sz w:val="20"/>
          <w:szCs w:val="20"/>
        </w:rPr>
        <w:t>1</w:t>
      </w:r>
      <w:r w:rsidR="00A04F19">
        <w:rPr>
          <w:b/>
          <w:bCs/>
          <w:sz w:val="20"/>
          <w:szCs w:val="20"/>
        </w:rPr>
        <w:t>9</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xml:space="preserve">). </w:t>
      </w:r>
      <w:proofErr w:type="spellStart"/>
      <w:r>
        <w:rPr>
          <w:rFonts w:cs="Arial"/>
          <w:sz w:val="20"/>
          <w:szCs w:val="20"/>
        </w:rPr>
        <w:t>Comalcalco</w:t>
      </w:r>
      <w:proofErr w:type="spellEnd"/>
      <w:r>
        <w:rPr>
          <w:rFonts w:cs="Arial"/>
          <w:sz w:val="20"/>
          <w:szCs w:val="20"/>
        </w:rPr>
        <w:t xml:space="preserve"> Basin, Mexico (MEX</w:t>
      </w:r>
      <w:r w:rsidRPr="008C73EF">
        <w:rPr>
          <w:rFonts w:cs="Arial"/>
          <w:sz w:val="20"/>
          <w:szCs w:val="20"/>
        </w:rPr>
        <w:t>) region.</w:t>
      </w:r>
    </w:p>
    <w:p w14:paraId="1CD82AA9" w14:textId="727DB28F" w:rsidR="00D41461" w:rsidRDefault="00B0074E" w:rsidP="00742938">
      <w:pPr>
        <w:spacing w:line="276" w:lineRule="auto"/>
      </w:pPr>
      <w:r w:rsidRPr="00B0074E">
        <w:rPr>
          <w:noProof/>
        </w:rPr>
        <w:lastRenderedPageBreak/>
        <w:drawing>
          <wp:inline distT="0" distB="0" distL="0" distR="0" wp14:anchorId="5B3806D7" wp14:editId="088B1F5A">
            <wp:extent cx="4486275" cy="3572712"/>
            <wp:effectExtent l="0" t="0" r="0" b="8890"/>
            <wp:docPr id="985734004" name="Picture 3" descr="MSAT_TARGET_079_DATE_2025_01_14_ID_064C04F0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MSAT_TARGET_079_DATE_2025_01_14_ID_064C04F0_measurement_based_filt.png"/>
                    <pic:cNvPicPr>
                      <a:picLocks noChangeAspect="1"/>
                    </pic:cNvPicPr>
                  </pic:nvPicPr>
                  <pic:blipFill>
                    <a:blip r:embed="rId52"/>
                    <a:stretch>
                      <a:fillRect/>
                    </a:stretch>
                  </pic:blipFill>
                  <pic:spPr>
                    <a:xfrm>
                      <a:off x="0" y="0"/>
                      <a:ext cx="4491672" cy="3577010"/>
                    </a:xfrm>
                    <a:prstGeom prst="rect">
                      <a:avLst/>
                    </a:prstGeom>
                  </pic:spPr>
                </pic:pic>
              </a:graphicData>
            </a:graphic>
          </wp:inline>
        </w:drawing>
      </w:r>
    </w:p>
    <w:p w14:paraId="42297081" w14:textId="51D91EBB" w:rsidR="00B0074E" w:rsidRDefault="00B0074E" w:rsidP="00742938">
      <w:pPr>
        <w:spacing w:line="276" w:lineRule="auto"/>
      </w:pPr>
      <w:r w:rsidRPr="00B0074E">
        <w:rPr>
          <w:noProof/>
        </w:rPr>
        <w:drawing>
          <wp:inline distT="0" distB="0" distL="0" distR="0" wp14:anchorId="117CBA9D" wp14:editId="5D2580F4">
            <wp:extent cx="4543425" cy="3618236"/>
            <wp:effectExtent l="0" t="0" r="0" b="1270"/>
            <wp:docPr id="1781333848" name="Picture 3" descr="MSAT_TARGET_079_DATE_2025_01_14_ID_064C04F0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MSAT_TARGET_079_DATE_2025_01_14_ID_064C04F0_bottom_up_filt.png"/>
                    <pic:cNvPicPr>
                      <a:picLocks noChangeAspect="1"/>
                    </pic:cNvPicPr>
                  </pic:nvPicPr>
                  <pic:blipFill>
                    <a:blip r:embed="rId53"/>
                    <a:stretch>
                      <a:fillRect/>
                    </a:stretch>
                  </pic:blipFill>
                  <pic:spPr>
                    <a:xfrm>
                      <a:off x="0" y="0"/>
                      <a:ext cx="4546682" cy="3620830"/>
                    </a:xfrm>
                    <a:prstGeom prst="rect">
                      <a:avLst/>
                    </a:prstGeom>
                  </pic:spPr>
                </pic:pic>
              </a:graphicData>
            </a:graphic>
          </wp:inline>
        </w:drawing>
      </w:r>
    </w:p>
    <w:p w14:paraId="542B0BEF" w14:textId="6F281B25" w:rsidR="00B0074E" w:rsidRPr="008C73EF" w:rsidRDefault="00B0074E" w:rsidP="00B0074E">
      <w:pPr>
        <w:spacing w:line="276" w:lineRule="auto"/>
        <w:rPr>
          <w:rFonts w:cs="Arial"/>
          <w:sz w:val="20"/>
          <w:szCs w:val="20"/>
        </w:rPr>
        <w:sectPr w:rsidR="00B0074E" w:rsidRPr="008C73EF" w:rsidSect="00B0074E">
          <w:footerReference w:type="default" r:id="rId54"/>
          <w:pgSz w:w="12240" w:h="15840"/>
          <w:pgMar w:top="1440" w:right="1440" w:bottom="1440" w:left="1440" w:header="720" w:footer="720" w:gutter="0"/>
          <w:cols w:space="720"/>
          <w:docGrid w:linePitch="360"/>
        </w:sectPr>
      </w:pPr>
      <w:r w:rsidRPr="008C73EF">
        <w:rPr>
          <w:b/>
          <w:bCs/>
          <w:sz w:val="20"/>
          <w:szCs w:val="20"/>
        </w:rPr>
        <w:t xml:space="preserve">Supplementary Figure </w:t>
      </w:r>
      <w:r w:rsidR="00A04F19">
        <w:rPr>
          <w:b/>
          <w:bCs/>
          <w:sz w:val="20"/>
          <w:szCs w:val="20"/>
        </w:rPr>
        <w:t>20</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Maturin Basin, Venezuela (VEN</w:t>
      </w:r>
      <w:r w:rsidRPr="008C73EF">
        <w:rPr>
          <w:rFonts w:cs="Arial"/>
          <w:sz w:val="20"/>
          <w:szCs w:val="20"/>
        </w:rPr>
        <w:t>) region.</w:t>
      </w:r>
    </w:p>
    <w:p w14:paraId="72133FED" w14:textId="4B130DD1" w:rsidR="00B0074E" w:rsidRDefault="00AC5694" w:rsidP="00742938">
      <w:pPr>
        <w:spacing w:line="276" w:lineRule="auto"/>
      </w:pPr>
      <w:r w:rsidRPr="00AC5694">
        <w:rPr>
          <w:noProof/>
        </w:rPr>
        <w:lastRenderedPageBreak/>
        <w:drawing>
          <wp:inline distT="0" distB="0" distL="0" distR="0" wp14:anchorId="3505E7B0" wp14:editId="008A9BE6">
            <wp:extent cx="4497185" cy="3581400"/>
            <wp:effectExtent l="0" t="0" r="0" b="0"/>
            <wp:docPr id="847979242" name="Picture 3" descr="MSAT_TARGET_299_DATE_2025_06_09_ID_0D3112B0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MSAT_TARGET_299_DATE_2025_06_09_ID_0D3112B0_measurement_based_filt.png"/>
                    <pic:cNvPicPr>
                      <a:picLocks noChangeAspect="1"/>
                    </pic:cNvPicPr>
                  </pic:nvPicPr>
                  <pic:blipFill>
                    <a:blip r:embed="rId55"/>
                    <a:stretch>
                      <a:fillRect/>
                    </a:stretch>
                  </pic:blipFill>
                  <pic:spPr>
                    <a:xfrm>
                      <a:off x="0" y="0"/>
                      <a:ext cx="4500760" cy="3584247"/>
                    </a:xfrm>
                    <a:prstGeom prst="rect">
                      <a:avLst/>
                    </a:prstGeom>
                  </pic:spPr>
                </pic:pic>
              </a:graphicData>
            </a:graphic>
          </wp:inline>
        </w:drawing>
      </w:r>
    </w:p>
    <w:p w14:paraId="61681B7E" w14:textId="4B7120BF" w:rsidR="00AC5694" w:rsidRDefault="00AC5694" w:rsidP="00742938">
      <w:pPr>
        <w:spacing w:line="276" w:lineRule="auto"/>
      </w:pPr>
      <w:r w:rsidRPr="00AC5694">
        <w:rPr>
          <w:noProof/>
        </w:rPr>
        <w:drawing>
          <wp:inline distT="0" distB="0" distL="0" distR="0" wp14:anchorId="4E02121B" wp14:editId="6D2BF6B3">
            <wp:extent cx="4562475" cy="3633407"/>
            <wp:effectExtent l="0" t="0" r="0" b="5715"/>
            <wp:docPr id="103221767" name="Picture 3" descr="MSAT_TARGET_299_DATE_2025_06_09_ID_0D3112B0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MSAT_TARGET_299_DATE_2025_06_09_ID_0D3112B0_bottom_up_filt.png"/>
                    <pic:cNvPicPr>
                      <a:picLocks noChangeAspect="1"/>
                    </pic:cNvPicPr>
                  </pic:nvPicPr>
                  <pic:blipFill>
                    <a:blip r:embed="rId56"/>
                    <a:stretch>
                      <a:fillRect/>
                    </a:stretch>
                  </pic:blipFill>
                  <pic:spPr>
                    <a:xfrm>
                      <a:off x="0" y="0"/>
                      <a:ext cx="4564497" cy="3635017"/>
                    </a:xfrm>
                    <a:prstGeom prst="rect">
                      <a:avLst/>
                    </a:prstGeom>
                  </pic:spPr>
                </pic:pic>
              </a:graphicData>
            </a:graphic>
          </wp:inline>
        </w:drawing>
      </w:r>
    </w:p>
    <w:p w14:paraId="55A0B528" w14:textId="3421F50A" w:rsidR="00AC5694" w:rsidRDefault="00AC5694" w:rsidP="00AC5694">
      <w:pPr>
        <w:spacing w:line="276" w:lineRule="auto"/>
        <w:rPr>
          <w:rFonts w:cs="Arial"/>
          <w:sz w:val="20"/>
          <w:szCs w:val="20"/>
        </w:rPr>
      </w:pPr>
      <w:r w:rsidRPr="008C73EF">
        <w:rPr>
          <w:b/>
          <w:bCs/>
          <w:sz w:val="20"/>
          <w:szCs w:val="20"/>
        </w:rPr>
        <w:t xml:space="preserve">Supplementary Figure </w:t>
      </w:r>
      <w:r>
        <w:rPr>
          <w:b/>
          <w:bCs/>
          <w:sz w:val="20"/>
          <w:szCs w:val="20"/>
        </w:rPr>
        <w:t>2</w:t>
      </w:r>
      <w:r w:rsidR="00A04F19">
        <w:rPr>
          <w:b/>
          <w:bCs/>
          <w:sz w:val="20"/>
          <w:szCs w:val="20"/>
        </w:rPr>
        <w:t>1</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Duvernay, Canada (CAN</w:t>
      </w:r>
      <w:r w:rsidRPr="008C73EF">
        <w:rPr>
          <w:rFonts w:cs="Arial"/>
          <w:sz w:val="20"/>
          <w:szCs w:val="20"/>
        </w:rPr>
        <w:t>) region.</w:t>
      </w:r>
    </w:p>
    <w:p w14:paraId="2D255165" w14:textId="77777777" w:rsidR="00E1274C" w:rsidRDefault="00E1274C" w:rsidP="00AC5694">
      <w:pPr>
        <w:spacing w:line="276" w:lineRule="auto"/>
        <w:rPr>
          <w:rFonts w:cs="Arial"/>
          <w:sz w:val="20"/>
          <w:szCs w:val="20"/>
        </w:rPr>
      </w:pPr>
    </w:p>
    <w:p w14:paraId="07AE1086" w14:textId="06C53D95" w:rsidR="00E1274C" w:rsidRDefault="00E178D6" w:rsidP="00AC5694">
      <w:pPr>
        <w:spacing w:line="276" w:lineRule="auto"/>
        <w:rPr>
          <w:rFonts w:cs="Arial"/>
          <w:sz w:val="20"/>
          <w:szCs w:val="20"/>
        </w:rPr>
      </w:pPr>
      <w:r w:rsidRPr="00E178D6">
        <w:rPr>
          <w:rFonts w:cs="Arial"/>
          <w:noProof/>
          <w:sz w:val="20"/>
          <w:szCs w:val="20"/>
        </w:rPr>
        <w:lastRenderedPageBreak/>
        <w:drawing>
          <wp:inline distT="0" distB="0" distL="0" distR="0" wp14:anchorId="57D84330" wp14:editId="43FE2BFE">
            <wp:extent cx="4090524" cy="3257550"/>
            <wp:effectExtent l="0" t="0" r="5715" b="0"/>
            <wp:docPr id="176538092" name="Picture 3" descr="NEPA-BOTUOBA_area_weighted_flux_136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NEPA-BOTUOBA_area_weighted_flux_136_measurement_based_filt.png"/>
                    <pic:cNvPicPr>
                      <a:picLocks noChangeAspect="1"/>
                    </pic:cNvPicPr>
                  </pic:nvPicPr>
                  <pic:blipFill>
                    <a:blip r:embed="rId57"/>
                    <a:stretch>
                      <a:fillRect/>
                    </a:stretch>
                  </pic:blipFill>
                  <pic:spPr>
                    <a:xfrm>
                      <a:off x="0" y="0"/>
                      <a:ext cx="4099867" cy="3264991"/>
                    </a:xfrm>
                    <a:prstGeom prst="rect">
                      <a:avLst/>
                    </a:prstGeom>
                  </pic:spPr>
                </pic:pic>
              </a:graphicData>
            </a:graphic>
          </wp:inline>
        </w:drawing>
      </w:r>
    </w:p>
    <w:p w14:paraId="4ED254EF" w14:textId="194E9C56" w:rsidR="00E1274C" w:rsidRDefault="00E178D6" w:rsidP="00AC5694">
      <w:pPr>
        <w:spacing w:line="276" w:lineRule="auto"/>
        <w:rPr>
          <w:rFonts w:cs="Arial"/>
          <w:sz w:val="20"/>
          <w:szCs w:val="20"/>
        </w:rPr>
      </w:pPr>
      <w:r w:rsidRPr="00E178D6">
        <w:rPr>
          <w:rFonts w:cs="Arial"/>
          <w:noProof/>
          <w:sz w:val="20"/>
          <w:szCs w:val="20"/>
        </w:rPr>
        <w:drawing>
          <wp:inline distT="0" distB="0" distL="0" distR="0" wp14:anchorId="77D04BB5" wp14:editId="278882C4">
            <wp:extent cx="4143375" cy="3299649"/>
            <wp:effectExtent l="0" t="0" r="0" b="0"/>
            <wp:docPr id="189078709" name="Picture 3" descr="NEPA-BOTUOBA_area_weighted_flux_136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NEPA-BOTUOBA_area_weighted_flux_136_bottom_up_filt.png"/>
                    <pic:cNvPicPr>
                      <a:picLocks noChangeAspect="1"/>
                    </pic:cNvPicPr>
                  </pic:nvPicPr>
                  <pic:blipFill>
                    <a:blip r:embed="rId58"/>
                    <a:stretch>
                      <a:fillRect/>
                    </a:stretch>
                  </pic:blipFill>
                  <pic:spPr>
                    <a:xfrm>
                      <a:off x="0" y="0"/>
                      <a:ext cx="4147484" cy="3302921"/>
                    </a:xfrm>
                    <a:prstGeom prst="rect">
                      <a:avLst/>
                    </a:prstGeom>
                  </pic:spPr>
                </pic:pic>
              </a:graphicData>
            </a:graphic>
          </wp:inline>
        </w:drawing>
      </w:r>
    </w:p>
    <w:p w14:paraId="0C1E2299" w14:textId="77777777" w:rsidR="00E1274C" w:rsidRDefault="00E1274C" w:rsidP="00AC5694">
      <w:pPr>
        <w:spacing w:line="276" w:lineRule="auto"/>
        <w:rPr>
          <w:rFonts w:cs="Arial"/>
          <w:sz w:val="20"/>
          <w:szCs w:val="20"/>
        </w:rPr>
      </w:pPr>
    </w:p>
    <w:p w14:paraId="6C7216A5" w14:textId="5CF01BCC" w:rsidR="00E178D6" w:rsidRDefault="00E178D6" w:rsidP="00E178D6">
      <w:pPr>
        <w:spacing w:line="276" w:lineRule="auto"/>
        <w:rPr>
          <w:rFonts w:cs="Arial"/>
          <w:sz w:val="20"/>
          <w:szCs w:val="20"/>
        </w:rPr>
      </w:pPr>
      <w:r w:rsidRPr="008C73EF">
        <w:rPr>
          <w:b/>
          <w:bCs/>
          <w:sz w:val="20"/>
          <w:szCs w:val="20"/>
        </w:rPr>
        <w:t xml:space="preserve">Supplementary Figure </w:t>
      </w:r>
      <w:r>
        <w:rPr>
          <w:b/>
          <w:bCs/>
          <w:sz w:val="20"/>
          <w:szCs w:val="20"/>
        </w:rPr>
        <w:t>2</w:t>
      </w:r>
      <w:r w:rsidR="00A04F19">
        <w:rPr>
          <w:b/>
          <w:bCs/>
          <w:sz w:val="20"/>
          <w:szCs w:val="20"/>
        </w:rPr>
        <w:t>2</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xml:space="preserve">). Nepa </w:t>
      </w:r>
      <w:proofErr w:type="spellStart"/>
      <w:r>
        <w:rPr>
          <w:rFonts w:cs="Arial"/>
          <w:sz w:val="20"/>
          <w:szCs w:val="20"/>
        </w:rPr>
        <w:t>Botuoba</w:t>
      </w:r>
      <w:proofErr w:type="spellEnd"/>
      <w:r>
        <w:rPr>
          <w:rFonts w:cs="Arial"/>
          <w:sz w:val="20"/>
          <w:szCs w:val="20"/>
        </w:rPr>
        <w:t>, Russia (RUS</w:t>
      </w:r>
      <w:r w:rsidRPr="008C73EF">
        <w:rPr>
          <w:rFonts w:cs="Arial"/>
          <w:sz w:val="20"/>
          <w:szCs w:val="20"/>
        </w:rPr>
        <w:t>) region.</w:t>
      </w:r>
    </w:p>
    <w:p w14:paraId="07A76FFD" w14:textId="319DEB4C" w:rsidR="00E1274C" w:rsidRPr="008C73EF" w:rsidRDefault="00E1274C" w:rsidP="00AC5694">
      <w:pPr>
        <w:spacing w:line="276" w:lineRule="auto"/>
        <w:rPr>
          <w:rFonts w:cs="Arial"/>
          <w:sz w:val="20"/>
          <w:szCs w:val="20"/>
        </w:rPr>
        <w:sectPr w:rsidR="00E1274C" w:rsidRPr="008C73EF" w:rsidSect="00AC5694">
          <w:footerReference w:type="default" r:id="rId59"/>
          <w:pgSz w:w="12240" w:h="15840"/>
          <w:pgMar w:top="1440" w:right="1440" w:bottom="1440" w:left="1440" w:header="720" w:footer="720" w:gutter="0"/>
          <w:cols w:space="720"/>
          <w:docGrid w:linePitch="360"/>
        </w:sectPr>
      </w:pPr>
    </w:p>
    <w:p w14:paraId="0273FBB5" w14:textId="4109BBC1" w:rsidR="00AC5694" w:rsidRDefault="00423FA8" w:rsidP="00742938">
      <w:pPr>
        <w:spacing w:line="276" w:lineRule="auto"/>
      </w:pPr>
      <w:r>
        <w:rPr>
          <w:noProof/>
        </w:rPr>
        <w:lastRenderedPageBreak/>
        <w:drawing>
          <wp:inline distT="0" distB="0" distL="0" distR="0" wp14:anchorId="2D74A0DF" wp14:editId="5CBA7F18">
            <wp:extent cx="4305300" cy="3428589"/>
            <wp:effectExtent l="0" t="0" r="0" b="635"/>
            <wp:docPr id="1244561409" name="Picture 3" descr="NEUQUEN_area_weighted_flux_040_041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NEUQUEN_area_weighted_flux_040_041_measurement_based_filt.png"/>
                    <pic:cNvPicPr>
                      <a:picLocks noChangeAspect="1"/>
                    </pic:cNvPicPr>
                  </pic:nvPicPr>
                  <pic:blipFill>
                    <a:blip r:embed="rId60"/>
                    <a:stretch>
                      <a:fillRect/>
                    </a:stretch>
                  </pic:blipFill>
                  <pic:spPr>
                    <a:xfrm>
                      <a:off x="0" y="0"/>
                      <a:ext cx="4311099" cy="3433207"/>
                    </a:xfrm>
                    <a:prstGeom prst="rect">
                      <a:avLst/>
                    </a:prstGeom>
                  </pic:spPr>
                </pic:pic>
              </a:graphicData>
            </a:graphic>
          </wp:inline>
        </w:drawing>
      </w:r>
    </w:p>
    <w:p w14:paraId="465A9546" w14:textId="7CF840BE" w:rsidR="00423FA8" w:rsidRDefault="00423FA8" w:rsidP="00742938">
      <w:pPr>
        <w:spacing w:line="276" w:lineRule="auto"/>
      </w:pPr>
      <w:r w:rsidRPr="00423FA8">
        <w:rPr>
          <w:noProof/>
        </w:rPr>
        <w:drawing>
          <wp:inline distT="0" distB="0" distL="0" distR="0" wp14:anchorId="5AD8B03C" wp14:editId="148C900B">
            <wp:extent cx="4365604" cy="3476625"/>
            <wp:effectExtent l="0" t="0" r="0" b="0"/>
            <wp:docPr id="1024685158" name="Picture 3" descr="NEUQUEN_area_weighted_flux_040_041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NEUQUEN_area_weighted_flux_040_041_bottom_up_filt.png"/>
                    <pic:cNvPicPr>
                      <a:picLocks noChangeAspect="1"/>
                    </pic:cNvPicPr>
                  </pic:nvPicPr>
                  <pic:blipFill>
                    <a:blip r:embed="rId61"/>
                    <a:stretch>
                      <a:fillRect/>
                    </a:stretch>
                  </pic:blipFill>
                  <pic:spPr>
                    <a:xfrm>
                      <a:off x="0" y="0"/>
                      <a:ext cx="4368026" cy="3478554"/>
                    </a:xfrm>
                    <a:prstGeom prst="rect">
                      <a:avLst/>
                    </a:prstGeom>
                  </pic:spPr>
                </pic:pic>
              </a:graphicData>
            </a:graphic>
          </wp:inline>
        </w:drawing>
      </w:r>
    </w:p>
    <w:p w14:paraId="426343F3" w14:textId="520A575F" w:rsidR="00423FA8" w:rsidRPr="008C73EF" w:rsidRDefault="00423FA8" w:rsidP="00423FA8">
      <w:pPr>
        <w:spacing w:line="276" w:lineRule="auto"/>
        <w:rPr>
          <w:rFonts w:cs="Arial"/>
          <w:sz w:val="20"/>
          <w:szCs w:val="20"/>
        </w:rPr>
        <w:sectPr w:rsidR="00423FA8" w:rsidRPr="008C73EF" w:rsidSect="00423FA8">
          <w:footerReference w:type="default" r:id="rId62"/>
          <w:pgSz w:w="12240" w:h="15840"/>
          <w:pgMar w:top="1440" w:right="1440" w:bottom="1440" w:left="1440" w:header="720" w:footer="720" w:gutter="0"/>
          <w:cols w:space="720"/>
          <w:docGrid w:linePitch="360"/>
        </w:sectPr>
      </w:pPr>
      <w:r w:rsidRPr="008C73EF">
        <w:rPr>
          <w:b/>
          <w:bCs/>
          <w:sz w:val="20"/>
          <w:szCs w:val="20"/>
        </w:rPr>
        <w:t xml:space="preserve">Supplementary Figure </w:t>
      </w:r>
      <w:r>
        <w:rPr>
          <w:b/>
          <w:bCs/>
          <w:sz w:val="20"/>
          <w:szCs w:val="20"/>
        </w:rPr>
        <w:t>2</w:t>
      </w:r>
      <w:r w:rsidR="00A04F19">
        <w:rPr>
          <w:b/>
          <w:bCs/>
          <w:sz w:val="20"/>
          <w:szCs w:val="20"/>
        </w:rPr>
        <w:t>3</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Neuquen, Argentina (ARG</w:t>
      </w:r>
      <w:r w:rsidRPr="008C73EF">
        <w:rPr>
          <w:rFonts w:cs="Arial"/>
          <w:sz w:val="20"/>
          <w:szCs w:val="20"/>
        </w:rPr>
        <w:t>) region.</w:t>
      </w:r>
    </w:p>
    <w:p w14:paraId="5B5822A5" w14:textId="1A139D01" w:rsidR="00423FA8" w:rsidRDefault="00230E0C" w:rsidP="00742938">
      <w:pPr>
        <w:spacing w:line="276" w:lineRule="auto"/>
      </w:pPr>
      <w:r w:rsidRPr="00230E0C">
        <w:rPr>
          <w:noProof/>
        </w:rPr>
        <w:lastRenderedPageBreak/>
        <w:drawing>
          <wp:inline distT="0" distB="0" distL="0" distR="0" wp14:anchorId="7D7AF365" wp14:editId="42E78B81">
            <wp:extent cx="4391025" cy="3496858"/>
            <wp:effectExtent l="0" t="0" r="0" b="8890"/>
            <wp:docPr id="1798416006" name="Picture 3" descr="ORDOS_area_weighted_flux_105_108_109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ORDOS_area_weighted_flux_105_108_109_measurement_based_filt.png"/>
                    <pic:cNvPicPr>
                      <a:picLocks noChangeAspect="1"/>
                    </pic:cNvPicPr>
                  </pic:nvPicPr>
                  <pic:blipFill>
                    <a:blip r:embed="rId63"/>
                    <a:stretch>
                      <a:fillRect/>
                    </a:stretch>
                  </pic:blipFill>
                  <pic:spPr>
                    <a:xfrm>
                      <a:off x="0" y="0"/>
                      <a:ext cx="4395201" cy="3500184"/>
                    </a:xfrm>
                    <a:prstGeom prst="rect">
                      <a:avLst/>
                    </a:prstGeom>
                  </pic:spPr>
                </pic:pic>
              </a:graphicData>
            </a:graphic>
          </wp:inline>
        </w:drawing>
      </w:r>
    </w:p>
    <w:p w14:paraId="6CA73215" w14:textId="662DEDC1" w:rsidR="00230E0C" w:rsidRDefault="00230E0C" w:rsidP="00742938">
      <w:pPr>
        <w:spacing w:line="276" w:lineRule="auto"/>
      </w:pPr>
      <w:r w:rsidRPr="00230E0C">
        <w:rPr>
          <w:noProof/>
        </w:rPr>
        <w:drawing>
          <wp:inline distT="0" distB="0" distL="0" distR="0" wp14:anchorId="0B06E360" wp14:editId="41494EFD">
            <wp:extent cx="4438650" cy="3534798"/>
            <wp:effectExtent l="0" t="0" r="0" b="8890"/>
            <wp:docPr id="2084016874" name="Picture 3" descr="ORDOS_area_weighted_flux_105_108_109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ORDOS_area_weighted_flux_105_108_109_bottom_up_filt.png"/>
                    <pic:cNvPicPr>
                      <a:picLocks noChangeAspect="1"/>
                    </pic:cNvPicPr>
                  </pic:nvPicPr>
                  <pic:blipFill>
                    <a:blip r:embed="rId64"/>
                    <a:stretch>
                      <a:fillRect/>
                    </a:stretch>
                  </pic:blipFill>
                  <pic:spPr>
                    <a:xfrm>
                      <a:off x="0" y="0"/>
                      <a:ext cx="4443888" cy="3538969"/>
                    </a:xfrm>
                    <a:prstGeom prst="rect">
                      <a:avLst/>
                    </a:prstGeom>
                  </pic:spPr>
                </pic:pic>
              </a:graphicData>
            </a:graphic>
          </wp:inline>
        </w:drawing>
      </w:r>
    </w:p>
    <w:p w14:paraId="7CFD97B1" w14:textId="725486EA" w:rsidR="00230E0C" w:rsidRPr="008C73EF" w:rsidRDefault="00230E0C" w:rsidP="00230E0C">
      <w:pPr>
        <w:spacing w:line="276" w:lineRule="auto"/>
        <w:rPr>
          <w:rFonts w:cs="Arial"/>
          <w:sz w:val="20"/>
          <w:szCs w:val="20"/>
        </w:rPr>
        <w:sectPr w:rsidR="00230E0C" w:rsidRPr="008C73EF" w:rsidSect="00230E0C">
          <w:footerReference w:type="default" r:id="rId65"/>
          <w:pgSz w:w="12240" w:h="15840"/>
          <w:pgMar w:top="1440" w:right="1440" w:bottom="1440" w:left="1440" w:header="720" w:footer="720" w:gutter="0"/>
          <w:cols w:space="720"/>
          <w:docGrid w:linePitch="360"/>
        </w:sectPr>
      </w:pPr>
      <w:r w:rsidRPr="008C73EF">
        <w:rPr>
          <w:b/>
          <w:bCs/>
          <w:sz w:val="20"/>
          <w:szCs w:val="20"/>
        </w:rPr>
        <w:t xml:space="preserve">Supplementary Figure </w:t>
      </w:r>
      <w:r>
        <w:rPr>
          <w:b/>
          <w:bCs/>
          <w:sz w:val="20"/>
          <w:szCs w:val="20"/>
        </w:rPr>
        <w:t>2</w:t>
      </w:r>
      <w:r w:rsidR="00A04F19">
        <w:rPr>
          <w:b/>
          <w:bCs/>
          <w:sz w:val="20"/>
          <w:szCs w:val="20"/>
        </w:rPr>
        <w:t>4</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Ordos, China (CHN</w:t>
      </w:r>
      <w:r w:rsidRPr="008C73EF">
        <w:rPr>
          <w:rFonts w:cs="Arial"/>
          <w:sz w:val="20"/>
          <w:szCs w:val="20"/>
        </w:rPr>
        <w:t>) region.</w:t>
      </w:r>
    </w:p>
    <w:p w14:paraId="048709D6" w14:textId="051C7346" w:rsidR="00230E0C" w:rsidRDefault="00D433E2" w:rsidP="00742938">
      <w:pPr>
        <w:spacing w:line="276" w:lineRule="auto"/>
      </w:pPr>
      <w:r w:rsidRPr="00D433E2">
        <w:rPr>
          <w:noProof/>
        </w:rPr>
        <w:lastRenderedPageBreak/>
        <w:drawing>
          <wp:inline distT="0" distB="0" distL="0" distR="0" wp14:anchorId="2F7EFE0D" wp14:editId="2D43521B">
            <wp:extent cx="4229100" cy="3367906"/>
            <wp:effectExtent l="0" t="0" r="0" b="4445"/>
            <wp:docPr id="1983900713" name="Picture 3" descr="OUED_MYA_area_weighted_flux_054_058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OUED_MYA_area_weighted_flux_054_058_measurement_based_filt.png"/>
                    <pic:cNvPicPr>
                      <a:picLocks noChangeAspect="1"/>
                    </pic:cNvPicPr>
                  </pic:nvPicPr>
                  <pic:blipFill>
                    <a:blip r:embed="rId66"/>
                    <a:stretch>
                      <a:fillRect/>
                    </a:stretch>
                  </pic:blipFill>
                  <pic:spPr>
                    <a:xfrm>
                      <a:off x="0" y="0"/>
                      <a:ext cx="4232289" cy="3370445"/>
                    </a:xfrm>
                    <a:prstGeom prst="rect">
                      <a:avLst/>
                    </a:prstGeom>
                  </pic:spPr>
                </pic:pic>
              </a:graphicData>
            </a:graphic>
          </wp:inline>
        </w:drawing>
      </w:r>
    </w:p>
    <w:p w14:paraId="5AA9E7A2" w14:textId="30CB029A" w:rsidR="00D433E2" w:rsidRDefault="00D433E2" w:rsidP="00742938">
      <w:pPr>
        <w:spacing w:line="276" w:lineRule="auto"/>
      </w:pPr>
      <w:r w:rsidRPr="00D433E2">
        <w:rPr>
          <w:noProof/>
        </w:rPr>
        <w:drawing>
          <wp:inline distT="0" distB="0" distL="0" distR="0" wp14:anchorId="772F8DA2" wp14:editId="6410C2E0">
            <wp:extent cx="4497170" cy="3581400"/>
            <wp:effectExtent l="0" t="0" r="0" b="0"/>
            <wp:docPr id="1276314009" name="Picture 3" descr="OUED_MYA_area_weighted_flux_054_058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OUED_MYA_area_weighted_flux_054_058_bottom_up_filt.png"/>
                    <pic:cNvPicPr>
                      <a:picLocks noChangeAspect="1"/>
                    </pic:cNvPicPr>
                  </pic:nvPicPr>
                  <pic:blipFill>
                    <a:blip r:embed="rId67"/>
                    <a:stretch>
                      <a:fillRect/>
                    </a:stretch>
                  </pic:blipFill>
                  <pic:spPr>
                    <a:xfrm>
                      <a:off x="0" y="0"/>
                      <a:ext cx="4498416" cy="3582392"/>
                    </a:xfrm>
                    <a:prstGeom prst="rect">
                      <a:avLst/>
                    </a:prstGeom>
                  </pic:spPr>
                </pic:pic>
              </a:graphicData>
            </a:graphic>
          </wp:inline>
        </w:drawing>
      </w:r>
    </w:p>
    <w:p w14:paraId="7FF4C043" w14:textId="416822DE" w:rsidR="00D433E2" w:rsidRPr="008C73EF" w:rsidRDefault="00D433E2" w:rsidP="00D433E2">
      <w:pPr>
        <w:spacing w:line="276" w:lineRule="auto"/>
        <w:rPr>
          <w:rFonts w:cs="Arial"/>
          <w:sz w:val="20"/>
          <w:szCs w:val="20"/>
        </w:rPr>
        <w:sectPr w:rsidR="00D433E2" w:rsidRPr="008C73EF" w:rsidSect="00D433E2">
          <w:footerReference w:type="default" r:id="rId68"/>
          <w:pgSz w:w="12240" w:h="15840"/>
          <w:pgMar w:top="1440" w:right="1440" w:bottom="1440" w:left="1440" w:header="720" w:footer="720" w:gutter="0"/>
          <w:cols w:space="720"/>
          <w:docGrid w:linePitch="360"/>
        </w:sectPr>
      </w:pPr>
      <w:r w:rsidRPr="008C73EF">
        <w:rPr>
          <w:b/>
          <w:bCs/>
          <w:sz w:val="20"/>
          <w:szCs w:val="20"/>
        </w:rPr>
        <w:t xml:space="preserve">Supplementary Figure </w:t>
      </w:r>
      <w:r>
        <w:rPr>
          <w:b/>
          <w:bCs/>
          <w:sz w:val="20"/>
          <w:szCs w:val="20"/>
        </w:rPr>
        <w:t>2</w:t>
      </w:r>
      <w:r w:rsidR="00A04F19">
        <w:rPr>
          <w:b/>
          <w:bCs/>
          <w:sz w:val="20"/>
          <w:szCs w:val="20"/>
        </w:rPr>
        <w:t>5</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Oued Mya, Algeria (ALG</w:t>
      </w:r>
      <w:r w:rsidRPr="008C73EF">
        <w:rPr>
          <w:rFonts w:cs="Arial"/>
          <w:sz w:val="20"/>
          <w:szCs w:val="20"/>
        </w:rPr>
        <w:t>) region.</w:t>
      </w:r>
    </w:p>
    <w:p w14:paraId="7422BDA8" w14:textId="209519D4" w:rsidR="00D433E2" w:rsidRDefault="003D3142" w:rsidP="00742938">
      <w:pPr>
        <w:spacing w:line="276" w:lineRule="auto"/>
      </w:pPr>
      <w:r w:rsidRPr="003D3142">
        <w:rPr>
          <w:noProof/>
        </w:rPr>
        <w:lastRenderedPageBreak/>
        <w:drawing>
          <wp:inline distT="0" distB="0" distL="0" distR="0" wp14:anchorId="130C97C2" wp14:editId="44D869DE">
            <wp:extent cx="4524375" cy="3601529"/>
            <wp:effectExtent l="0" t="0" r="0" b="0"/>
            <wp:docPr id="2063089851" name="Picture 3" descr="PERMIAN_area_weighted_flux_005_006_056_057_061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PERMIAN_area_weighted_flux_005_006_056_057_061_measurement_based_filt.png"/>
                    <pic:cNvPicPr>
                      <a:picLocks noChangeAspect="1"/>
                    </pic:cNvPicPr>
                  </pic:nvPicPr>
                  <pic:blipFill>
                    <a:blip r:embed="rId69"/>
                    <a:stretch>
                      <a:fillRect/>
                    </a:stretch>
                  </pic:blipFill>
                  <pic:spPr>
                    <a:xfrm>
                      <a:off x="0" y="0"/>
                      <a:ext cx="4531450" cy="3607161"/>
                    </a:xfrm>
                    <a:prstGeom prst="rect">
                      <a:avLst/>
                    </a:prstGeom>
                  </pic:spPr>
                </pic:pic>
              </a:graphicData>
            </a:graphic>
          </wp:inline>
        </w:drawing>
      </w:r>
    </w:p>
    <w:p w14:paraId="1EB9C7D3" w14:textId="01AB7307" w:rsidR="00AF1489" w:rsidRDefault="00AF1489" w:rsidP="00742938">
      <w:pPr>
        <w:spacing w:line="276" w:lineRule="auto"/>
      </w:pPr>
      <w:r w:rsidRPr="00AF1489">
        <w:rPr>
          <w:noProof/>
        </w:rPr>
        <w:drawing>
          <wp:inline distT="0" distB="0" distL="0" distR="0" wp14:anchorId="29688080" wp14:editId="62EF7815">
            <wp:extent cx="4495800" cy="3580309"/>
            <wp:effectExtent l="0" t="0" r="0" b="1270"/>
            <wp:docPr id="107764983" name="Picture 3" descr="PERMIAN_area_weighted_flux_005_006_056_057_061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PERMIAN_area_weighted_flux_005_006_056_057_061_bottom_up_filt.png"/>
                    <pic:cNvPicPr>
                      <a:picLocks noChangeAspect="1"/>
                    </pic:cNvPicPr>
                  </pic:nvPicPr>
                  <pic:blipFill>
                    <a:blip r:embed="rId70"/>
                    <a:stretch>
                      <a:fillRect/>
                    </a:stretch>
                  </pic:blipFill>
                  <pic:spPr>
                    <a:xfrm>
                      <a:off x="0" y="0"/>
                      <a:ext cx="4498737" cy="3582648"/>
                    </a:xfrm>
                    <a:prstGeom prst="rect">
                      <a:avLst/>
                    </a:prstGeom>
                  </pic:spPr>
                </pic:pic>
              </a:graphicData>
            </a:graphic>
          </wp:inline>
        </w:drawing>
      </w:r>
    </w:p>
    <w:p w14:paraId="20FDEA36" w14:textId="6C650E43" w:rsidR="00AF1489" w:rsidRPr="008C73EF" w:rsidRDefault="00AF1489" w:rsidP="00AF1489">
      <w:pPr>
        <w:spacing w:line="276" w:lineRule="auto"/>
        <w:rPr>
          <w:rFonts w:cs="Arial"/>
          <w:sz w:val="20"/>
          <w:szCs w:val="20"/>
        </w:rPr>
        <w:sectPr w:rsidR="00AF1489" w:rsidRPr="008C73EF" w:rsidSect="00AF1489">
          <w:footerReference w:type="default" r:id="rId71"/>
          <w:pgSz w:w="12240" w:h="15840"/>
          <w:pgMar w:top="1440" w:right="1440" w:bottom="1440" w:left="1440" w:header="720" w:footer="720" w:gutter="0"/>
          <w:cols w:space="720"/>
          <w:docGrid w:linePitch="360"/>
        </w:sectPr>
      </w:pPr>
      <w:r w:rsidRPr="008C73EF">
        <w:rPr>
          <w:b/>
          <w:bCs/>
          <w:sz w:val="20"/>
          <w:szCs w:val="20"/>
        </w:rPr>
        <w:t xml:space="preserve">Supplementary Figure </w:t>
      </w:r>
      <w:r>
        <w:rPr>
          <w:b/>
          <w:bCs/>
          <w:sz w:val="20"/>
          <w:szCs w:val="20"/>
        </w:rPr>
        <w:t>2</w:t>
      </w:r>
      <w:r w:rsidR="00A04F19">
        <w:rPr>
          <w:b/>
          <w:bCs/>
          <w:sz w:val="20"/>
          <w:szCs w:val="20"/>
        </w:rPr>
        <w:t>6</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Permian Basin, United States (USA</w:t>
      </w:r>
      <w:r w:rsidRPr="008C73EF">
        <w:rPr>
          <w:rFonts w:cs="Arial"/>
          <w:sz w:val="20"/>
          <w:szCs w:val="20"/>
        </w:rPr>
        <w:t>) region.</w:t>
      </w:r>
    </w:p>
    <w:p w14:paraId="0176E7C3" w14:textId="1A89974E" w:rsidR="00AF1489" w:rsidRDefault="0041339D" w:rsidP="00742938">
      <w:pPr>
        <w:spacing w:line="276" w:lineRule="auto"/>
      </w:pPr>
      <w:r w:rsidRPr="0041339D">
        <w:rPr>
          <w:noProof/>
        </w:rPr>
        <w:lastRenderedPageBreak/>
        <w:drawing>
          <wp:inline distT="0" distB="0" distL="0" distR="0" wp14:anchorId="2B7E59A3" wp14:editId="7DBAD197">
            <wp:extent cx="4400550" cy="3504443"/>
            <wp:effectExtent l="0" t="0" r="0" b="1270"/>
            <wp:docPr id="98036508" name="Picture 3" descr="POWDER_RIVER_area_weighted_flux_115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POWDER_RIVER_area_weighted_flux_115_measurement_based_filt.png"/>
                    <pic:cNvPicPr>
                      <a:picLocks noChangeAspect="1"/>
                    </pic:cNvPicPr>
                  </pic:nvPicPr>
                  <pic:blipFill>
                    <a:blip r:embed="rId72"/>
                    <a:stretch>
                      <a:fillRect/>
                    </a:stretch>
                  </pic:blipFill>
                  <pic:spPr>
                    <a:xfrm>
                      <a:off x="0" y="0"/>
                      <a:ext cx="4405523" cy="3508404"/>
                    </a:xfrm>
                    <a:prstGeom prst="rect">
                      <a:avLst/>
                    </a:prstGeom>
                  </pic:spPr>
                </pic:pic>
              </a:graphicData>
            </a:graphic>
          </wp:inline>
        </w:drawing>
      </w:r>
    </w:p>
    <w:p w14:paraId="2CDADD42" w14:textId="6C50281C" w:rsidR="004745D0" w:rsidRDefault="004745D0" w:rsidP="00742938">
      <w:pPr>
        <w:spacing w:line="276" w:lineRule="auto"/>
      </w:pPr>
      <w:r w:rsidRPr="004745D0">
        <w:rPr>
          <w:noProof/>
        </w:rPr>
        <w:drawing>
          <wp:inline distT="0" distB="0" distL="0" distR="0" wp14:anchorId="5A1F9C40" wp14:editId="2CE8F6D4">
            <wp:extent cx="4448175" cy="3542382"/>
            <wp:effectExtent l="0" t="0" r="0" b="1270"/>
            <wp:docPr id="905420453" name="Picture 3" descr="POWDER_RIVER_area_weighted_flux_115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POWDER_RIVER_area_weighted_flux_115_bottom_up_filt.png"/>
                    <pic:cNvPicPr>
                      <a:picLocks noChangeAspect="1"/>
                    </pic:cNvPicPr>
                  </pic:nvPicPr>
                  <pic:blipFill>
                    <a:blip r:embed="rId73"/>
                    <a:stretch>
                      <a:fillRect/>
                    </a:stretch>
                  </pic:blipFill>
                  <pic:spPr>
                    <a:xfrm>
                      <a:off x="0" y="0"/>
                      <a:ext cx="4452125" cy="3545527"/>
                    </a:xfrm>
                    <a:prstGeom prst="rect">
                      <a:avLst/>
                    </a:prstGeom>
                  </pic:spPr>
                </pic:pic>
              </a:graphicData>
            </a:graphic>
          </wp:inline>
        </w:drawing>
      </w:r>
    </w:p>
    <w:p w14:paraId="32BDB279" w14:textId="0473FFCD" w:rsidR="004745D0" w:rsidRPr="008C73EF" w:rsidRDefault="004745D0" w:rsidP="004745D0">
      <w:pPr>
        <w:spacing w:line="276" w:lineRule="auto"/>
        <w:rPr>
          <w:rFonts w:cs="Arial"/>
          <w:sz w:val="20"/>
          <w:szCs w:val="20"/>
        </w:rPr>
        <w:sectPr w:rsidR="004745D0" w:rsidRPr="008C73EF" w:rsidSect="004745D0">
          <w:footerReference w:type="default" r:id="rId74"/>
          <w:pgSz w:w="12240" w:h="15840"/>
          <w:pgMar w:top="1440" w:right="1440" w:bottom="1440" w:left="1440" w:header="720" w:footer="720" w:gutter="0"/>
          <w:cols w:space="720"/>
          <w:docGrid w:linePitch="360"/>
        </w:sectPr>
      </w:pPr>
      <w:r w:rsidRPr="008C73EF">
        <w:rPr>
          <w:b/>
          <w:bCs/>
          <w:sz w:val="20"/>
          <w:szCs w:val="20"/>
        </w:rPr>
        <w:t xml:space="preserve">Supplementary Figure </w:t>
      </w:r>
      <w:r>
        <w:rPr>
          <w:b/>
          <w:bCs/>
          <w:sz w:val="20"/>
          <w:szCs w:val="20"/>
        </w:rPr>
        <w:t>2</w:t>
      </w:r>
      <w:r w:rsidR="00A04F19">
        <w:rPr>
          <w:b/>
          <w:bCs/>
          <w:sz w:val="20"/>
          <w:szCs w:val="20"/>
        </w:rPr>
        <w:t>7</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Powder River, United States (USA</w:t>
      </w:r>
      <w:r w:rsidRPr="008C73EF">
        <w:rPr>
          <w:rFonts w:cs="Arial"/>
          <w:sz w:val="20"/>
          <w:szCs w:val="20"/>
        </w:rPr>
        <w:t>) region.</w:t>
      </w:r>
    </w:p>
    <w:p w14:paraId="7A743A02" w14:textId="0C1234BA" w:rsidR="004745D0" w:rsidRDefault="00B15D6E" w:rsidP="00742938">
      <w:pPr>
        <w:spacing w:line="276" w:lineRule="auto"/>
      </w:pPr>
      <w:r w:rsidRPr="00B15D6E">
        <w:lastRenderedPageBreak/>
        <w:t> </w:t>
      </w:r>
      <w:r w:rsidRPr="00B15D6E">
        <w:rPr>
          <w:noProof/>
        </w:rPr>
        <w:drawing>
          <wp:inline distT="0" distB="0" distL="0" distR="0" wp14:anchorId="4D7FCBC5" wp14:editId="06A8C732">
            <wp:extent cx="4460722" cy="3514725"/>
            <wp:effectExtent l="0" t="0" r="0" b="0"/>
            <wp:docPr id="11572646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66927" cy="3519614"/>
                    </a:xfrm>
                    <a:prstGeom prst="rect">
                      <a:avLst/>
                    </a:prstGeom>
                    <a:noFill/>
                    <a:ln>
                      <a:noFill/>
                    </a:ln>
                  </pic:spPr>
                </pic:pic>
              </a:graphicData>
            </a:graphic>
          </wp:inline>
        </w:drawing>
      </w:r>
    </w:p>
    <w:p w14:paraId="7B5D76A0" w14:textId="0E6E3BFC" w:rsidR="00D46E40" w:rsidRDefault="00D46E40" w:rsidP="00742938">
      <w:pPr>
        <w:spacing w:line="276" w:lineRule="auto"/>
      </w:pPr>
      <w:r w:rsidRPr="00D46E40">
        <w:t> </w:t>
      </w:r>
      <w:r w:rsidRPr="00D46E40">
        <w:rPr>
          <w:noProof/>
        </w:rPr>
        <w:drawing>
          <wp:inline distT="0" distB="0" distL="0" distR="0" wp14:anchorId="0860D5F2" wp14:editId="79607BC7">
            <wp:extent cx="4360989" cy="3457575"/>
            <wp:effectExtent l="0" t="0" r="1905" b="0"/>
            <wp:docPr id="2969085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63185" cy="3459316"/>
                    </a:xfrm>
                    <a:prstGeom prst="rect">
                      <a:avLst/>
                    </a:prstGeom>
                    <a:noFill/>
                    <a:ln>
                      <a:noFill/>
                    </a:ln>
                  </pic:spPr>
                </pic:pic>
              </a:graphicData>
            </a:graphic>
          </wp:inline>
        </w:drawing>
      </w:r>
    </w:p>
    <w:p w14:paraId="2333720B" w14:textId="4C667206" w:rsidR="00D46E40" w:rsidRPr="008C73EF" w:rsidRDefault="00D46E40" w:rsidP="00D46E40">
      <w:pPr>
        <w:spacing w:line="276" w:lineRule="auto"/>
        <w:rPr>
          <w:rFonts w:cs="Arial"/>
          <w:sz w:val="20"/>
          <w:szCs w:val="20"/>
        </w:rPr>
        <w:sectPr w:rsidR="00D46E40" w:rsidRPr="008C73EF" w:rsidSect="00D46E40">
          <w:footerReference w:type="default" r:id="rId77"/>
          <w:pgSz w:w="12240" w:h="15840"/>
          <w:pgMar w:top="1440" w:right="1440" w:bottom="1440" w:left="1440" w:header="720" w:footer="720" w:gutter="0"/>
          <w:cols w:space="720"/>
          <w:docGrid w:linePitch="360"/>
        </w:sectPr>
      </w:pPr>
      <w:r w:rsidRPr="008C73EF">
        <w:rPr>
          <w:b/>
          <w:bCs/>
          <w:sz w:val="20"/>
          <w:szCs w:val="20"/>
        </w:rPr>
        <w:t xml:space="preserve">Supplementary Figure </w:t>
      </w:r>
      <w:r>
        <w:rPr>
          <w:b/>
          <w:bCs/>
          <w:sz w:val="20"/>
          <w:szCs w:val="20"/>
        </w:rPr>
        <w:t>2</w:t>
      </w:r>
      <w:r w:rsidR="00A04F19">
        <w:rPr>
          <w:b/>
          <w:bCs/>
          <w:sz w:val="20"/>
          <w:szCs w:val="20"/>
        </w:rPr>
        <w:t>8</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Rub al Khali, Oman (OMN</w:t>
      </w:r>
      <w:r w:rsidRPr="008C73EF">
        <w:rPr>
          <w:rFonts w:cs="Arial"/>
          <w:sz w:val="20"/>
          <w:szCs w:val="20"/>
        </w:rPr>
        <w:t>) region.</w:t>
      </w:r>
    </w:p>
    <w:p w14:paraId="3D8144A6" w14:textId="22048F00" w:rsidR="00D46E40" w:rsidRDefault="001F6E52" w:rsidP="00742938">
      <w:pPr>
        <w:spacing w:line="276" w:lineRule="auto"/>
      </w:pPr>
      <w:r w:rsidRPr="001F6E52">
        <w:lastRenderedPageBreak/>
        <w:t> </w:t>
      </w:r>
      <w:r w:rsidRPr="001F6E52">
        <w:rPr>
          <w:noProof/>
        </w:rPr>
        <w:drawing>
          <wp:inline distT="0" distB="0" distL="0" distR="0" wp14:anchorId="4B243EDD" wp14:editId="15F0121A">
            <wp:extent cx="4438650" cy="3535745"/>
            <wp:effectExtent l="0" t="0" r="0" b="7620"/>
            <wp:docPr id="17155292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42262" cy="3538622"/>
                    </a:xfrm>
                    <a:prstGeom prst="rect">
                      <a:avLst/>
                    </a:prstGeom>
                    <a:noFill/>
                    <a:ln>
                      <a:noFill/>
                    </a:ln>
                  </pic:spPr>
                </pic:pic>
              </a:graphicData>
            </a:graphic>
          </wp:inline>
        </w:drawing>
      </w:r>
    </w:p>
    <w:p w14:paraId="4D4475C0" w14:textId="578BF638" w:rsidR="001F6E52" w:rsidRDefault="001F6E52" w:rsidP="00742938">
      <w:pPr>
        <w:spacing w:line="276" w:lineRule="auto"/>
      </w:pPr>
      <w:r w:rsidRPr="001F6E52">
        <w:t> </w:t>
      </w:r>
      <w:r w:rsidRPr="001F6E52">
        <w:rPr>
          <w:noProof/>
        </w:rPr>
        <w:drawing>
          <wp:inline distT="0" distB="0" distL="0" distR="0" wp14:anchorId="744841BC" wp14:editId="61FFB8D1">
            <wp:extent cx="4371975" cy="3482633"/>
            <wp:effectExtent l="0" t="0" r="0" b="3810"/>
            <wp:docPr id="34611787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74047" cy="3484283"/>
                    </a:xfrm>
                    <a:prstGeom prst="rect">
                      <a:avLst/>
                    </a:prstGeom>
                    <a:noFill/>
                    <a:ln>
                      <a:noFill/>
                    </a:ln>
                  </pic:spPr>
                </pic:pic>
              </a:graphicData>
            </a:graphic>
          </wp:inline>
        </w:drawing>
      </w:r>
    </w:p>
    <w:p w14:paraId="7D4E7EA5" w14:textId="24096BCE" w:rsidR="001F6E52" w:rsidRPr="008C73EF" w:rsidRDefault="001F6E52" w:rsidP="001F6E52">
      <w:pPr>
        <w:spacing w:line="276" w:lineRule="auto"/>
        <w:rPr>
          <w:rFonts w:cs="Arial"/>
          <w:sz w:val="20"/>
          <w:szCs w:val="20"/>
        </w:rPr>
        <w:sectPr w:rsidR="001F6E52" w:rsidRPr="008C73EF" w:rsidSect="001F6E52">
          <w:footerReference w:type="default" r:id="rId80"/>
          <w:pgSz w:w="12240" w:h="15840"/>
          <w:pgMar w:top="1440" w:right="1440" w:bottom="1440" w:left="1440" w:header="720" w:footer="720" w:gutter="0"/>
          <w:cols w:space="720"/>
          <w:docGrid w:linePitch="360"/>
        </w:sectPr>
      </w:pPr>
      <w:r w:rsidRPr="008C73EF">
        <w:rPr>
          <w:b/>
          <w:bCs/>
          <w:sz w:val="20"/>
          <w:szCs w:val="20"/>
        </w:rPr>
        <w:t xml:space="preserve">Supplementary Figure </w:t>
      </w:r>
      <w:r>
        <w:rPr>
          <w:b/>
          <w:bCs/>
          <w:sz w:val="20"/>
          <w:szCs w:val="20"/>
        </w:rPr>
        <w:t>2</w:t>
      </w:r>
      <w:r w:rsidR="00A04F19">
        <w:rPr>
          <w:b/>
          <w:bCs/>
          <w:sz w:val="20"/>
          <w:szCs w:val="20"/>
        </w:rPr>
        <w:t>9</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Rub al Khali, United Arab Emirates (UAE</w:t>
      </w:r>
      <w:r w:rsidRPr="008C73EF">
        <w:rPr>
          <w:rFonts w:cs="Arial"/>
          <w:sz w:val="20"/>
          <w:szCs w:val="20"/>
        </w:rPr>
        <w:t>) region.</w:t>
      </w:r>
    </w:p>
    <w:p w14:paraId="22A05E4D" w14:textId="5B1FF293" w:rsidR="001F6E52" w:rsidRDefault="000A0114" w:rsidP="00742938">
      <w:pPr>
        <w:spacing w:line="276" w:lineRule="auto"/>
      </w:pPr>
      <w:r>
        <w:rPr>
          <w:noProof/>
        </w:rPr>
        <w:lastRenderedPageBreak/>
        <w:drawing>
          <wp:inline distT="0" distB="0" distL="0" distR="0" wp14:anchorId="248C1B97" wp14:editId="18E785D5">
            <wp:extent cx="4334972" cy="3476625"/>
            <wp:effectExtent l="0" t="0" r="8890" b="0"/>
            <wp:docPr id="203643614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37104" cy="3478335"/>
                    </a:xfrm>
                    <a:prstGeom prst="rect">
                      <a:avLst/>
                    </a:prstGeom>
                    <a:noFill/>
                  </pic:spPr>
                </pic:pic>
              </a:graphicData>
            </a:graphic>
          </wp:inline>
        </w:drawing>
      </w:r>
    </w:p>
    <w:p w14:paraId="7F129DFB" w14:textId="701137BF" w:rsidR="00CF261D" w:rsidRDefault="00CF261D" w:rsidP="00742938">
      <w:pPr>
        <w:spacing w:line="276" w:lineRule="auto"/>
      </w:pPr>
      <w:r>
        <w:rPr>
          <w:noProof/>
        </w:rPr>
        <w:drawing>
          <wp:inline distT="0" distB="0" distL="0" distR="0" wp14:anchorId="25210A88" wp14:editId="380DB878">
            <wp:extent cx="4352925" cy="3491038"/>
            <wp:effectExtent l="0" t="0" r="0" b="0"/>
            <wp:docPr id="139751793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61823" cy="3498174"/>
                    </a:xfrm>
                    <a:prstGeom prst="rect">
                      <a:avLst/>
                    </a:prstGeom>
                    <a:noFill/>
                  </pic:spPr>
                </pic:pic>
              </a:graphicData>
            </a:graphic>
          </wp:inline>
        </w:drawing>
      </w:r>
    </w:p>
    <w:p w14:paraId="0259BB8D" w14:textId="4E617668" w:rsidR="00CF261D" w:rsidRPr="008C73EF" w:rsidRDefault="00CF261D" w:rsidP="00CF261D">
      <w:pPr>
        <w:spacing w:line="276" w:lineRule="auto"/>
        <w:rPr>
          <w:rFonts w:cs="Arial"/>
          <w:sz w:val="20"/>
          <w:szCs w:val="20"/>
        </w:rPr>
        <w:sectPr w:rsidR="00CF261D" w:rsidRPr="008C73EF" w:rsidSect="00CF261D">
          <w:footerReference w:type="default" r:id="rId83"/>
          <w:pgSz w:w="12240" w:h="15840"/>
          <w:pgMar w:top="1440" w:right="1440" w:bottom="1440" w:left="1440" w:header="720" w:footer="720" w:gutter="0"/>
          <w:cols w:space="720"/>
          <w:docGrid w:linePitch="360"/>
        </w:sectPr>
      </w:pPr>
      <w:r w:rsidRPr="008C73EF">
        <w:rPr>
          <w:b/>
          <w:bCs/>
          <w:sz w:val="20"/>
          <w:szCs w:val="20"/>
        </w:rPr>
        <w:t xml:space="preserve">Supplementary Figure </w:t>
      </w:r>
      <w:r w:rsidR="00A04F19">
        <w:rPr>
          <w:b/>
          <w:bCs/>
          <w:sz w:val="20"/>
          <w:szCs w:val="20"/>
        </w:rPr>
        <w:t>30</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Hassi R’Mel, Algeria (ALG</w:t>
      </w:r>
      <w:r w:rsidRPr="008C73EF">
        <w:rPr>
          <w:rFonts w:cs="Arial"/>
          <w:sz w:val="20"/>
          <w:szCs w:val="20"/>
        </w:rPr>
        <w:t>) region.</w:t>
      </w:r>
    </w:p>
    <w:p w14:paraId="779DF8AB" w14:textId="0E136EDC" w:rsidR="00CF261D" w:rsidRDefault="00A21561" w:rsidP="00742938">
      <w:pPr>
        <w:spacing w:line="276" w:lineRule="auto"/>
      </w:pPr>
      <w:r w:rsidRPr="00A21561">
        <w:rPr>
          <w:noProof/>
        </w:rPr>
        <w:lastRenderedPageBreak/>
        <w:drawing>
          <wp:inline distT="0" distB="0" distL="0" distR="0" wp14:anchorId="1A90B3C2" wp14:editId="5B60E5E2">
            <wp:extent cx="4269933" cy="3400425"/>
            <wp:effectExtent l="0" t="0" r="0" b="0"/>
            <wp:docPr id="690853317" name="Picture 3" descr="SAN_JOAQUIN_area_weighted_flux_100_159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AN_JOAQUIN_area_weighted_flux_100_159_measurement_based_filt.png"/>
                    <pic:cNvPicPr>
                      <a:picLocks noChangeAspect="1"/>
                    </pic:cNvPicPr>
                  </pic:nvPicPr>
                  <pic:blipFill>
                    <a:blip r:embed="rId84"/>
                    <a:stretch>
                      <a:fillRect/>
                    </a:stretch>
                  </pic:blipFill>
                  <pic:spPr>
                    <a:xfrm>
                      <a:off x="0" y="0"/>
                      <a:ext cx="4274606" cy="3404147"/>
                    </a:xfrm>
                    <a:prstGeom prst="rect">
                      <a:avLst/>
                    </a:prstGeom>
                  </pic:spPr>
                </pic:pic>
              </a:graphicData>
            </a:graphic>
          </wp:inline>
        </w:drawing>
      </w:r>
    </w:p>
    <w:p w14:paraId="4085C938" w14:textId="77777777" w:rsidR="00CE5C89" w:rsidRDefault="00CE5C89" w:rsidP="00CE5C89">
      <w:pPr>
        <w:spacing w:line="276" w:lineRule="auto"/>
        <w:rPr>
          <w:b/>
          <w:bCs/>
          <w:sz w:val="20"/>
          <w:szCs w:val="20"/>
        </w:rPr>
      </w:pPr>
      <w:r w:rsidRPr="00CE5C89">
        <w:rPr>
          <w:noProof/>
        </w:rPr>
        <w:drawing>
          <wp:inline distT="0" distB="0" distL="0" distR="0" wp14:anchorId="3D6A6CCB" wp14:editId="47A25448">
            <wp:extent cx="4222077" cy="3362325"/>
            <wp:effectExtent l="0" t="0" r="7620" b="0"/>
            <wp:docPr id="255090323" name="Picture 3" descr="SAN_JOAQUIN_area_weighted_flux_100_159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AN_JOAQUIN_area_weighted_flux_100_159_bottom_up_filt.png"/>
                    <pic:cNvPicPr>
                      <a:picLocks noChangeAspect="1"/>
                    </pic:cNvPicPr>
                  </pic:nvPicPr>
                  <pic:blipFill>
                    <a:blip r:embed="rId85"/>
                    <a:stretch>
                      <a:fillRect/>
                    </a:stretch>
                  </pic:blipFill>
                  <pic:spPr>
                    <a:xfrm>
                      <a:off x="0" y="0"/>
                      <a:ext cx="4223475" cy="3363438"/>
                    </a:xfrm>
                    <a:prstGeom prst="rect">
                      <a:avLst/>
                    </a:prstGeom>
                  </pic:spPr>
                </pic:pic>
              </a:graphicData>
            </a:graphic>
          </wp:inline>
        </w:drawing>
      </w:r>
      <w:r w:rsidRPr="00CE5C89">
        <w:rPr>
          <w:b/>
          <w:bCs/>
          <w:sz w:val="20"/>
          <w:szCs w:val="20"/>
        </w:rPr>
        <w:t xml:space="preserve"> </w:t>
      </w:r>
    </w:p>
    <w:p w14:paraId="1EE3BA33" w14:textId="392015B2" w:rsidR="00CE5C89" w:rsidRPr="008C73EF" w:rsidRDefault="00CE5C89" w:rsidP="00CE5C89">
      <w:pPr>
        <w:spacing w:line="276" w:lineRule="auto"/>
        <w:rPr>
          <w:rFonts w:cs="Arial"/>
          <w:sz w:val="20"/>
          <w:szCs w:val="20"/>
        </w:rPr>
        <w:sectPr w:rsidR="00CE5C89" w:rsidRPr="008C73EF" w:rsidSect="00CE5C89">
          <w:footerReference w:type="default" r:id="rId86"/>
          <w:pgSz w:w="12240" w:h="15840"/>
          <w:pgMar w:top="1440" w:right="1440" w:bottom="1440" w:left="1440" w:header="720" w:footer="720" w:gutter="0"/>
          <w:cols w:space="720"/>
          <w:docGrid w:linePitch="360"/>
        </w:sectPr>
      </w:pPr>
      <w:r w:rsidRPr="008C73EF">
        <w:rPr>
          <w:b/>
          <w:bCs/>
          <w:sz w:val="20"/>
          <w:szCs w:val="20"/>
        </w:rPr>
        <w:t xml:space="preserve">Supplementary Figure </w:t>
      </w:r>
      <w:r w:rsidR="00E178D6">
        <w:rPr>
          <w:b/>
          <w:bCs/>
          <w:sz w:val="20"/>
          <w:szCs w:val="20"/>
        </w:rPr>
        <w:t>3</w:t>
      </w:r>
      <w:r w:rsidR="00A04F19">
        <w:rPr>
          <w:b/>
          <w:bCs/>
          <w:sz w:val="20"/>
          <w:szCs w:val="20"/>
        </w:rPr>
        <w:t>1</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San Joaquin</w:t>
      </w:r>
      <w:r w:rsidR="00E533BF">
        <w:rPr>
          <w:rFonts w:cs="Arial"/>
          <w:sz w:val="20"/>
          <w:szCs w:val="20"/>
        </w:rPr>
        <w:t>, United States</w:t>
      </w:r>
      <w:r>
        <w:rPr>
          <w:rFonts w:cs="Arial"/>
          <w:sz w:val="20"/>
          <w:szCs w:val="20"/>
        </w:rPr>
        <w:t xml:space="preserve"> (</w:t>
      </w:r>
      <w:r w:rsidR="00E533BF">
        <w:rPr>
          <w:rFonts w:cs="Arial"/>
          <w:sz w:val="20"/>
          <w:szCs w:val="20"/>
        </w:rPr>
        <w:t>USA</w:t>
      </w:r>
      <w:r w:rsidRPr="008C73EF">
        <w:rPr>
          <w:rFonts w:cs="Arial"/>
          <w:sz w:val="20"/>
          <w:szCs w:val="20"/>
        </w:rPr>
        <w:t>) region.</w:t>
      </w:r>
    </w:p>
    <w:p w14:paraId="7A37E1B8" w14:textId="786A868D" w:rsidR="00CE5C89" w:rsidRDefault="00652F04" w:rsidP="00742938">
      <w:pPr>
        <w:spacing w:line="276" w:lineRule="auto"/>
      </w:pPr>
      <w:r w:rsidRPr="00652F04">
        <w:rPr>
          <w:noProof/>
        </w:rPr>
        <w:lastRenderedPageBreak/>
        <w:drawing>
          <wp:inline distT="0" distB="0" distL="0" distR="0" wp14:anchorId="29B8C4B6" wp14:editId="2B97B42F">
            <wp:extent cx="4543425" cy="3618224"/>
            <wp:effectExtent l="0" t="0" r="0" b="1905"/>
            <wp:docPr id="493732369" name="Picture 3" descr="SOUTH_CASPIAN_area_weighted_flux_011_065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OUTH_CASPIAN_area_weighted_flux_011_065_measurement_based_filt.png"/>
                    <pic:cNvPicPr>
                      <a:picLocks noChangeAspect="1"/>
                    </pic:cNvPicPr>
                  </pic:nvPicPr>
                  <pic:blipFill>
                    <a:blip r:embed="rId87"/>
                    <a:stretch>
                      <a:fillRect/>
                    </a:stretch>
                  </pic:blipFill>
                  <pic:spPr>
                    <a:xfrm>
                      <a:off x="0" y="0"/>
                      <a:ext cx="4547132" cy="3621177"/>
                    </a:xfrm>
                    <a:prstGeom prst="rect">
                      <a:avLst/>
                    </a:prstGeom>
                  </pic:spPr>
                </pic:pic>
              </a:graphicData>
            </a:graphic>
          </wp:inline>
        </w:drawing>
      </w:r>
    </w:p>
    <w:p w14:paraId="56A5EBDF" w14:textId="6CD857ED" w:rsidR="00C011C2" w:rsidRDefault="00C011C2" w:rsidP="00742938">
      <w:pPr>
        <w:spacing w:line="276" w:lineRule="auto"/>
      </w:pPr>
      <w:r w:rsidRPr="00C011C2">
        <w:rPr>
          <w:noProof/>
        </w:rPr>
        <w:drawing>
          <wp:inline distT="0" distB="0" distL="0" distR="0" wp14:anchorId="42B21D6D" wp14:editId="6B3FFF46">
            <wp:extent cx="4425406" cy="3524250"/>
            <wp:effectExtent l="0" t="0" r="0" b="0"/>
            <wp:docPr id="820798137" name="Picture 3" descr="SOUTH_CASPIAN_area_weighted_flux_011_065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OUTH_CASPIAN_area_weighted_flux_011_065_bottom_up_filt.png"/>
                    <pic:cNvPicPr>
                      <a:picLocks noChangeAspect="1"/>
                    </pic:cNvPicPr>
                  </pic:nvPicPr>
                  <pic:blipFill>
                    <a:blip r:embed="rId88"/>
                    <a:stretch>
                      <a:fillRect/>
                    </a:stretch>
                  </pic:blipFill>
                  <pic:spPr>
                    <a:xfrm>
                      <a:off x="0" y="0"/>
                      <a:ext cx="4427104" cy="3525602"/>
                    </a:xfrm>
                    <a:prstGeom prst="rect">
                      <a:avLst/>
                    </a:prstGeom>
                  </pic:spPr>
                </pic:pic>
              </a:graphicData>
            </a:graphic>
          </wp:inline>
        </w:drawing>
      </w:r>
    </w:p>
    <w:p w14:paraId="4754CAAE" w14:textId="0BEEA795" w:rsidR="00C011C2" w:rsidRPr="008C73EF" w:rsidRDefault="00C011C2" w:rsidP="00C011C2">
      <w:pPr>
        <w:spacing w:line="276" w:lineRule="auto"/>
        <w:rPr>
          <w:rFonts w:cs="Arial"/>
          <w:sz w:val="20"/>
          <w:szCs w:val="20"/>
        </w:rPr>
        <w:sectPr w:rsidR="00C011C2" w:rsidRPr="008C73EF" w:rsidSect="00C011C2">
          <w:footerReference w:type="default" r:id="rId89"/>
          <w:pgSz w:w="12240" w:h="15840"/>
          <w:pgMar w:top="1440" w:right="1440" w:bottom="1440" w:left="1440" w:header="720" w:footer="720" w:gutter="0"/>
          <w:cols w:space="720"/>
          <w:docGrid w:linePitch="360"/>
        </w:sectPr>
      </w:pPr>
      <w:r w:rsidRPr="008C73EF">
        <w:rPr>
          <w:b/>
          <w:bCs/>
          <w:sz w:val="20"/>
          <w:szCs w:val="20"/>
        </w:rPr>
        <w:t xml:space="preserve">Supplementary Figure </w:t>
      </w:r>
      <w:r>
        <w:rPr>
          <w:b/>
          <w:bCs/>
          <w:sz w:val="20"/>
          <w:szCs w:val="20"/>
        </w:rPr>
        <w:t>3</w:t>
      </w:r>
      <w:r w:rsidR="00A04F19">
        <w:rPr>
          <w:b/>
          <w:bCs/>
          <w:sz w:val="20"/>
          <w:szCs w:val="20"/>
        </w:rPr>
        <w:t>2</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South Caspian, Turkmenistan (TKM</w:t>
      </w:r>
      <w:r w:rsidRPr="008C73EF">
        <w:rPr>
          <w:rFonts w:cs="Arial"/>
          <w:sz w:val="20"/>
          <w:szCs w:val="20"/>
        </w:rPr>
        <w:t>) region.</w:t>
      </w:r>
    </w:p>
    <w:p w14:paraId="6FA0DC07" w14:textId="4CA544F6" w:rsidR="00C011C2" w:rsidRDefault="00AD7A52" w:rsidP="00742938">
      <w:pPr>
        <w:spacing w:line="276" w:lineRule="auto"/>
      </w:pPr>
      <w:r w:rsidRPr="00AD7A52">
        <w:rPr>
          <w:noProof/>
        </w:rPr>
        <w:lastRenderedPageBreak/>
        <w:drawing>
          <wp:inline distT="0" distB="0" distL="0" distR="0" wp14:anchorId="7B535CAB" wp14:editId="21DCF705">
            <wp:extent cx="4352925" cy="3466516"/>
            <wp:effectExtent l="0" t="0" r="0" b="635"/>
            <wp:docPr id="852332003" name="Picture 3" descr="SOUTH_CASPIAN_area_weighted_flux_038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OUTH_CASPIAN_area_weighted_flux_038_measurement_based_filt.png"/>
                    <pic:cNvPicPr>
                      <a:picLocks noChangeAspect="1"/>
                    </pic:cNvPicPr>
                  </pic:nvPicPr>
                  <pic:blipFill>
                    <a:blip r:embed="rId90"/>
                    <a:stretch>
                      <a:fillRect/>
                    </a:stretch>
                  </pic:blipFill>
                  <pic:spPr>
                    <a:xfrm>
                      <a:off x="0" y="0"/>
                      <a:ext cx="4357472" cy="3470137"/>
                    </a:xfrm>
                    <a:prstGeom prst="rect">
                      <a:avLst/>
                    </a:prstGeom>
                  </pic:spPr>
                </pic:pic>
              </a:graphicData>
            </a:graphic>
          </wp:inline>
        </w:drawing>
      </w:r>
    </w:p>
    <w:p w14:paraId="383BB0C9" w14:textId="2E15CDC5" w:rsidR="0071245A" w:rsidRDefault="0071245A" w:rsidP="00742938">
      <w:pPr>
        <w:spacing w:line="276" w:lineRule="auto"/>
      </w:pPr>
      <w:r w:rsidRPr="0071245A">
        <w:rPr>
          <w:noProof/>
        </w:rPr>
        <w:drawing>
          <wp:inline distT="0" distB="0" distL="0" distR="0" wp14:anchorId="1583DB1B" wp14:editId="1DF68CA6">
            <wp:extent cx="4467225" cy="3557553"/>
            <wp:effectExtent l="0" t="0" r="0" b="5080"/>
            <wp:docPr id="272380673" name="Picture 3" descr="SOUTH_CASPIAN_area_weighted_flux_038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OUTH_CASPIAN_area_weighted_flux_038_bottom_up_filt.png"/>
                    <pic:cNvPicPr>
                      <a:picLocks noChangeAspect="1"/>
                    </pic:cNvPicPr>
                  </pic:nvPicPr>
                  <pic:blipFill>
                    <a:blip r:embed="rId91"/>
                    <a:stretch>
                      <a:fillRect/>
                    </a:stretch>
                  </pic:blipFill>
                  <pic:spPr>
                    <a:xfrm>
                      <a:off x="0" y="0"/>
                      <a:ext cx="4472044" cy="3561390"/>
                    </a:xfrm>
                    <a:prstGeom prst="rect">
                      <a:avLst/>
                    </a:prstGeom>
                  </pic:spPr>
                </pic:pic>
              </a:graphicData>
            </a:graphic>
          </wp:inline>
        </w:drawing>
      </w:r>
    </w:p>
    <w:p w14:paraId="0D09FBC2" w14:textId="50F2E8BB" w:rsidR="0071245A" w:rsidRPr="008C73EF" w:rsidRDefault="0071245A" w:rsidP="0071245A">
      <w:pPr>
        <w:spacing w:line="276" w:lineRule="auto"/>
        <w:rPr>
          <w:rFonts w:cs="Arial"/>
          <w:sz w:val="20"/>
          <w:szCs w:val="20"/>
        </w:rPr>
        <w:sectPr w:rsidR="0071245A" w:rsidRPr="008C73EF" w:rsidSect="0071245A">
          <w:footerReference w:type="default" r:id="rId92"/>
          <w:pgSz w:w="12240" w:h="15840"/>
          <w:pgMar w:top="1440" w:right="1440" w:bottom="1440" w:left="1440" w:header="720" w:footer="720" w:gutter="0"/>
          <w:cols w:space="720"/>
          <w:docGrid w:linePitch="360"/>
        </w:sectPr>
      </w:pPr>
      <w:r w:rsidRPr="008C73EF">
        <w:rPr>
          <w:b/>
          <w:bCs/>
          <w:sz w:val="20"/>
          <w:szCs w:val="20"/>
        </w:rPr>
        <w:t xml:space="preserve">Supplementary Figure </w:t>
      </w:r>
      <w:r>
        <w:rPr>
          <w:b/>
          <w:bCs/>
          <w:sz w:val="20"/>
          <w:szCs w:val="20"/>
        </w:rPr>
        <w:t>3</w:t>
      </w:r>
      <w:r w:rsidR="00A04F19">
        <w:rPr>
          <w:b/>
          <w:bCs/>
          <w:sz w:val="20"/>
          <w:szCs w:val="20"/>
        </w:rPr>
        <w:t>3</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South Caspian, Azerbaijan (</w:t>
      </w:r>
      <w:r w:rsidR="00270760">
        <w:rPr>
          <w:rFonts w:cs="Arial"/>
          <w:sz w:val="20"/>
          <w:szCs w:val="20"/>
        </w:rPr>
        <w:t>AZB</w:t>
      </w:r>
      <w:r w:rsidRPr="008C73EF">
        <w:rPr>
          <w:rFonts w:cs="Arial"/>
          <w:sz w:val="20"/>
          <w:szCs w:val="20"/>
        </w:rPr>
        <w:t>) region.</w:t>
      </w:r>
    </w:p>
    <w:p w14:paraId="136410CB" w14:textId="6FF52286" w:rsidR="0071245A" w:rsidRDefault="006F581F" w:rsidP="00742938">
      <w:pPr>
        <w:spacing w:line="276" w:lineRule="auto"/>
      </w:pPr>
      <w:r w:rsidRPr="006F581F">
        <w:rPr>
          <w:noProof/>
        </w:rPr>
        <w:lastRenderedPageBreak/>
        <w:drawing>
          <wp:inline distT="0" distB="0" distL="0" distR="0" wp14:anchorId="2A3A53AF" wp14:editId="309AC102">
            <wp:extent cx="4293855" cy="3419475"/>
            <wp:effectExtent l="0" t="0" r="0" b="0"/>
            <wp:docPr id="1063185265" name="Picture 3" descr="TARIM_area_weighted_flux_112_113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RIM_area_weighted_flux_112_113_measurement_based_filt.png"/>
                    <pic:cNvPicPr>
                      <a:picLocks noChangeAspect="1"/>
                    </pic:cNvPicPr>
                  </pic:nvPicPr>
                  <pic:blipFill>
                    <a:blip r:embed="rId93"/>
                    <a:stretch>
                      <a:fillRect/>
                    </a:stretch>
                  </pic:blipFill>
                  <pic:spPr>
                    <a:xfrm>
                      <a:off x="0" y="0"/>
                      <a:ext cx="4298784" cy="3423400"/>
                    </a:xfrm>
                    <a:prstGeom prst="rect">
                      <a:avLst/>
                    </a:prstGeom>
                  </pic:spPr>
                </pic:pic>
              </a:graphicData>
            </a:graphic>
          </wp:inline>
        </w:drawing>
      </w:r>
    </w:p>
    <w:p w14:paraId="367256FC" w14:textId="17B46F92" w:rsidR="006F581F" w:rsidRDefault="006F581F" w:rsidP="00742938">
      <w:pPr>
        <w:spacing w:line="276" w:lineRule="auto"/>
      </w:pPr>
      <w:r w:rsidRPr="006F581F">
        <w:rPr>
          <w:noProof/>
        </w:rPr>
        <w:drawing>
          <wp:inline distT="0" distB="0" distL="0" distR="0" wp14:anchorId="0028DFCD" wp14:editId="6AF9CA08">
            <wp:extent cx="4305300" cy="3428601"/>
            <wp:effectExtent l="0" t="0" r="0" b="635"/>
            <wp:docPr id="1889046082" name="Picture 3" descr="TARIM_area_weighted_flux_112_113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RIM_area_weighted_flux_112_113_bottom_up_filt.png"/>
                    <pic:cNvPicPr>
                      <a:picLocks noChangeAspect="1"/>
                    </pic:cNvPicPr>
                  </pic:nvPicPr>
                  <pic:blipFill>
                    <a:blip r:embed="rId94"/>
                    <a:stretch>
                      <a:fillRect/>
                    </a:stretch>
                  </pic:blipFill>
                  <pic:spPr>
                    <a:xfrm>
                      <a:off x="0" y="0"/>
                      <a:ext cx="4309899" cy="3432263"/>
                    </a:xfrm>
                    <a:prstGeom prst="rect">
                      <a:avLst/>
                    </a:prstGeom>
                  </pic:spPr>
                </pic:pic>
              </a:graphicData>
            </a:graphic>
          </wp:inline>
        </w:drawing>
      </w:r>
    </w:p>
    <w:p w14:paraId="1498FA5A" w14:textId="095C633B" w:rsidR="006F581F" w:rsidRPr="008C73EF" w:rsidRDefault="006F581F" w:rsidP="006F581F">
      <w:pPr>
        <w:spacing w:line="276" w:lineRule="auto"/>
        <w:rPr>
          <w:rFonts w:cs="Arial"/>
          <w:sz w:val="20"/>
          <w:szCs w:val="20"/>
        </w:rPr>
        <w:sectPr w:rsidR="006F581F" w:rsidRPr="008C73EF" w:rsidSect="006F581F">
          <w:footerReference w:type="default" r:id="rId95"/>
          <w:pgSz w:w="12240" w:h="15840"/>
          <w:pgMar w:top="1440" w:right="1440" w:bottom="1440" w:left="1440" w:header="720" w:footer="720" w:gutter="0"/>
          <w:cols w:space="720"/>
          <w:docGrid w:linePitch="360"/>
        </w:sectPr>
      </w:pPr>
      <w:r w:rsidRPr="008C73EF">
        <w:rPr>
          <w:b/>
          <w:bCs/>
          <w:sz w:val="20"/>
          <w:szCs w:val="20"/>
        </w:rPr>
        <w:t xml:space="preserve">Supplementary Figure </w:t>
      </w:r>
      <w:r>
        <w:rPr>
          <w:b/>
          <w:bCs/>
          <w:sz w:val="20"/>
          <w:szCs w:val="20"/>
        </w:rPr>
        <w:t>3</w:t>
      </w:r>
      <w:r w:rsidR="00A04F19">
        <w:rPr>
          <w:b/>
          <w:bCs/>
          <w:sz w:val="20"/>
          <w:szCs w:val="20"/>
        </w:rPr>
        <w:t>4</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Tarim, China (CHN</w:t>
      </w:r>
      <w:r w:rsidRPr="008C73EF">
        <w:rPr>
          <w:rFonts w:cs="Arial"/>
          <w:sz w:val="20"/>
          <w:szCs w:val="20"/>
        </w:rPr>
        <w:t>) region.</w:t>
      </w:r>
    </w:p>
    <w:p w14:paraId="0A58FA6D" w14:textId="3A0CE096" w:rsidR="006F581F" w:rsidRDefault="009B5BB0" w:rsidP="00742938">
      <w:pPr>
        <w:spacing w:line="276" w:lineRule="auto"/>
      </w:pPr>
      <w:r w:rsidRPr="009B5BB0">
        <w:rPr>
          <w:noProof/>
        </w:rPr>
        <w:lastRenderedPageBreak/>
        <w:drawing>
          <wp:inline distT="0" distB="0" distL="0" distR="0" wp14:anchorId="1B10A69F" wp14:editId="7F83BD97">
            <wp:extent cx="4162289" cy="3314700"/>
            <wp:effectExtent l="0" t="0" r="0" b="0"/>
            <wp:docPr id="1226140888" name="Picture 3" descr="UINTA_area_weighted_flux_110_213_214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UINTA_area_weighted_flux_110_213_214_measurement_based_filt.png"/>
                    <pic:cNvPicPr>
                      <a:picLocks noChangeAspect="1"/>
                    </pic:cNvPicPr>
                  </pic:nvPicPr>
                  <pic:blipFill>
                    <a:blip r:embed="rId96"/>
                    <a:stretch>
                      <a:fillRect/>
                    </a:stretch>
                  </pic:blipFill>
                  <pic:spPr>
                    <a:xfrm>
                      <a:off x="0" y="0"/>
                      <a:ext cx="4169549" cy="3320482"/>
                    </a:xfrm>
                    <a:prstGeom prst="rect">
                      <a:avLst/>
                    </a:prstGeom>
                  </pic:spPr>
                </pic:pic>
              </a:graphicData>
            </a:graphic>
          </wp:inline>
        </w:drawing>
      </w:r>
    </w:p>
    <w:p w14:paraId="610A278F" w14:textId="3967B74E" w:rsidR="00650C33" w:rsidRDefault="00650C33" w:rsidP="00742938">
      <w:pPr>
        <w:spacing w:line="276" w:lineRule="auto"/>
      </w:pPr>
      <w:r w:rsidRPr="00650C33">
        <w:rPr>
          <w:noProof/>
        </w:rPr>
        <w:drawing>
          <wp:inline distT="0" distB="0" distL="0" distR="0" wp14:anchorId="5AF00BEB" wp14:editId="1629EA51">
            <wp:extent cx="4257958" cy="3390900"/>
            <wp:effectExtent l="0" t="0" r="9525" b="0"/>
            <wp:docPr id="2072280782" name="Picture 3" descr="UINTA_area_weighted_flux_110_213_214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UINTA_area_weighted_flux_110_213_214_bottom_up_filt.png"/>
                    <pic:cNvPicPr>
                      <a:picLocks noChangeAspect="1"/>
                    </pic:cNvPicPr>
                  </pic:nvPicPr>
                  <pic:blipFill>
                    <a:blip r:embed="rId97"/>
                    <a:stretch>
                      <a:fillRect/>
                    </a:stretch>
                  </pic:blipFill>
                  <pic:spPr>
                    <a:xfrm>
                      <a:off x="0" y="0"/>
                      <a:ext cx="4266186" cy="3397452"/>
                    </a:xfrm>
                    <a:prstGeom prst="rect">
                      <a:avLst/>
                    </a:prstGeom>
                  </pic:spPr>
                </pic:pic>
              </a:graphicData>
            </a:graphic>
          </wp:inline>
        </w:drawing>
      </w:r>
    </w:p>
    <w:p w14:paraId="7A932263" w14:textId="0FCC3D12" w:rsidR="00650C33" w:rsidRPr="008C73EF" w:rsidRDefault="00650C33" w:rsidP="00650C33">
      <w:pPr>
        <w:spacing w:line="276" w:lineRule="auto"/>
        <w:rPr>
          <w:rFonts w:cs="Arial"/>
          <w:sz w:val="20"/>
          <w:szCs w:val="20"/>
        </w:rPr>
        <w:sectPr w:rsidR="00650C33" w:rsidRPr="008C73EF" w:rsidSect="00650C33">
          <w:footerReference w:type="default" r:id="rId98"/>
          <w:pgSz w:w="12240" w:h="15840"/>
          <w:pgMar w:top="1440" w:right="1440" w:bottom="1440" w:left="1440" w:header="720" w:footer="720" w:gutter="0"/>
          <w:cols w:space="720"/>
          <w:docGrid w:linePitch="360"/>
        </w:sectPr>
      </w:pPr>
      <w:r w:rsidRPr="008C73EF">
        <w:rPr>
          <w:b/>
          <w:bCs/>
          <w:sz w:val="20"/>
          <w:szCs w:val="20"/>
        </w:rPr>
        <w:t xml:space="preserve">Supplementary Figure </w:t>
      </w:r>
      <w:r>
        <w:rPr>
          <w:b/>
          <w:bCs/>
          <w:sz w:val="20"/>
          <w:szCs w:val="20"/>
        </w:rPr>
        <w:t>3</w:t>
      </w:r>
      <w:r w:rsidR="00A04F19">
        <w:rPr>
          <w:b/>
          <w:bCs/>
          <w:sz w:val="20"/>
          <w:szCs w:val="20"/>
        </w:rPr>
        <w:t>5</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Uinta, United States (USA</w:t>
      </w:r>
      <w:r w:rsidRPr="008C73EF">
        <w:rPr>
          <w:rFonts w:cs="Arial"/>
          <w:sz w:val="20"/>
          <w:szCs w:val="20"/>
        </w:rPr>
        <w:t>) region.</w:t>
      </w:r>
    </w:p>
    <w:p w14:paraId="42271623" w14:textId="77777777" w:rsidR="00383D30" w:rsidRDefault="00383D30" w:rsidP="00742938">
      <w:pPr>
        <w:spacing w:line="276" w:lineRule="auto"/>
      </w:pPr>
      <w:r w:rsidRPr="00383D30">
        <w:rPr>
          <w:noProof/>
        </w:rPr>
        <w:lastRenderedPageBreak/>
        <w:drawing>
          <wp:anchor distT="0" distB="0" distL="114300" distR="114300" simplePos="0" relativeHeight="251658240" behindDoc="0" locked="0" layoutInCell="1" allowOverlap="1" wp14:anchorId="0A67B10D" wp14:editId="213EF459">
            <wp:simplePos x="0" y="0"/>
            <wp:positionH relativeFrom="margin">
              <wp:posOffset>19050</wp:posOffset>
            </wp:positionH>
            <wp:positionV relativeFrom="paragraph">
              <wp:posOffset>0</wp:posOffset>
            </wp:positionV>
            <wp:extent cx="4185920" cy="3333750"/>
            <wp:effectExtent l="0" t="0" r="5080" b="0"/>
            <wp:wrapSquare wrapText="bothSides"/>
            <wp:docPr id="1342450690" name="Picture 3" descr="WESTERN_DESERT_area_weighted_flux_091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WESTERN_DESERT_area_weighted_flux_091_measurement_based_filt.png"/>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185920" cy="3333750"/>
                    </a:xfrm>
                    <a:prstGeom prst="rect">
                      <a:avLst/>
                    </a:prstGeom>
                  </pic:spPr>
                </pic:pic>
              </a:graphicData>
            </a:graphic>
            <wp14:sizeRelH relativeFrom="margin">
              <wp14:pctWidth>0</wp14:pctWidth>
            </wp14:sizeRelH>
            <wp14:sizeRelV relativeFrom="margin">
              <wp14:pctHeight>0</wp14:pctHeight>
            </wp14:sizeRelV>
          </wp:anchor>
        </w:drawing>
      </w:r>
    </w:p>
    <w:p w14:paraId="57ABA651" w14:textId="77777777" w:rsidR="00383D30" w:rsidRPr="00383D30" w:rsidRDefault="00383D30" w:rsidP="00383D30"/>
    <w:p w14:paraId="119386CF" w14:textId="77777777" w:rsidR="00383D30" w:rsidRPr="00383D30" w:rsidRDefault="00383D30" w:rsidP="00383D30"/>
    <w:p w14:paraId="2AFAAB6A" w14:textId="77777777" w:rsidR="00383D30" w:rsidRPr="00383D30" w:rsidRDefault="00383D30" w:rsidP="00383D30"/>
    <w:p w14:paraId="199098E4" w14:textId="77777777" w:rsidR="00383D30" w:rsidRPr="00383D30" w:rsidRDefault="00383D30" w:rsidP="00383D30"/>
    <w:p w14:paraId="2B95F737" w14:textId="77777777" w:rsidR="00383D30" w:rsidRPr="00383D30" w:rsidRDefault="00383D30" w:rsidP="00383D30"/>
    <w:p w14:paraId="4A87E8E9" w14:textId="77777777" w:rsidR="00383D30" w:rsidRPr="00383D30" w:rsidRDefault="00383D30" w:rsidP="00383D30"/>
    <w:p w14:paraId="07CDA8DB" w14:textId="77777777" w:rsidR="00383D30" w:rsidRPr="00383D30" w:rsidRDefault="00383D30" w:rsidP="00383D30"/>
    <w:p w14:paraId="0CBC0294" w14:textId="77777777" w:rsidR="00383D30" w:rsidRPr="00383D30" w:rsidRDefault="00383D30" w:rsidP="00383D30"/>
    <w:p w14:paraId="70D1D916" w14:textId="77777777" w:rsidR="00383D30" w:rsidRPr="00383D30" w:rsidRDefault="00383D30" w:rsidP="00383D30"/>
    <w:p w14:paraId="43F59046" w14:textId="77777777" w:rsidR="00383D30" w:rsidRPr="00383D30" w:rsidRDefault="00383D30" w:rsidP="00383D30"/>
    <w:p w14:paraId="00633633" w14:textId="77777777" w:rsidR="00383D30" w:rsidRPr="00383D30" w:rsidRDefault="00383D30" w:rsidP="00383D30"/>
    <w:p w14:paraId="4D6F7419" w14:textId="77777777" w:rsidR="00383D30" w:rsidRPr="00383D30" w:rsidRDefault="00383D30" w:rsidP="00383D30"/>
    <w:p w14:paraId="06834BB5" w14:textId="77777777" w:rsidR="00383D30" w:rsidRPr="00383D30" w:rsidRDefault="00383D30" w:rsidP="00383D30"/>
    <w:p w14:paraId="5F96D2A9" w14:textId="77777777" w:rsidR="00383D30" w:rsidRPr="00383D30" w:rsidRDefault="00383D30" w:rsidP="00383D30"/>
    <w:p w14:paraId="3841FD05" w14:textId="77777777" w:rsidR="00383D30" w:rsidRPr="00383D30" w:rsidRDefault="00383D30" w:rsidP="00383D30"/>
    <w:p w14:paraId="195704DD" w14:textId="77777777" w:rsidR="00383D30" w:rsidRPr="00383D30" w:rsidRDefault="00383D30" w:rsidP="00383D30"/>
    <w:p w14:paraId="679995D2" w14:textId="77777777" w:rsidR="00383D30" w:rsidRPr="00383D30" w:rsidRDefault="00383D30" w:rsidP="00383D30"/>
    <w:p w14:paraId="756FB954" w14:textId="77777777" w:rsidR="00383D30" w:rsidRPr="00383D30" w:rsidRDefault="00383D30" w:rsidP="00383D30"/>
    <w:p w14:paraId="74AF3E7D" w14:textId="77777777" w:rsidR="00383D30" w:rsidRPr="00383D30" w:rsidRDefault="00383D30" w:rsidP="00383D30"/>
    <w:p w14:paraId="68FF360F" w14:textId="77777777" w:rsidR="00383D30" w:rsidRDefault="00383D30" w:rsidP="00742938">
      <w:pPr>
        <w:spacing w:line="276" w:lineRule="auto"/>
      </w:pPr>
    </w:p>
    <w:p w14:paraId="531C13F6" w14:textId="77777777" w:rsidR="00383D30" w:rsidRDefault="00383D30" w:rsidP="00383D30">
      <w:pPr>
        <w:spacing w:line="276" w:lineRule="auto"/>
        <w:ind w:firstLine="720"/>
      </w:pPr>
    </w:p>
    <w:p w14:paraId="5A8A4F51" w14:textId="6CC6B745" w:rsidR="00383D30" w:rsidRPr="008C73EF" w:rsidRDefault="00383D30" w:rsidP="00383D30">
      <w:pPr>
        <w:spacing w:line="276" w:lineRule="auto"/>
        <w:rPr>
          <w:rFonts w:cs="Arial"/>
          <w:sz w:val="20"/>
          <w:szCs w:val="20"/>
        </w:rPr>
        <w:sectPr w:rsidR="00383D30" w:rsidRPr="008C73EF" w:rsidSect="00383D30">
          <w:footerReference w:type="default" r:id="rId100"/>
          <w:pgSz w:w="12240" w:h="15840"/>
          <w:pgMar w:top="1440" w:right="1440" w:bottom="1440" w:left="1440" w:header="720" w:footer="720" w:gutter="0"/>
          <w:cols w:space="720"/>
          <w:docGrid w:linePitch="360"/>
        </w:sectPr>
      </w:pPr>
      <w:r w:rsidRPr="00383D30">
        <w:rPr>
          <w:noProof/>
        </w:rPr>
        <w:drawing>
          <wp:inline distT="0" distB="0" distL="0" distR="0" wp14:anchorId="311C99E1" wp14:editId="3C0FFFD9">
            <wp:extent cx="4138353" cy="3295650"/>
            <wp:effectExtent l="0" t="0" r="0" b="0"/>
            <wp:docPr id="87843729" name="Picture 3" descr="WESTERN_DESERT_area_weighted_flux_091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WESTERN_DESERT_area_weighted_flux_091_bottom_up_filt.png"/>
                    <pic:cNvPicPr>
                      <a:picLocks noChangeAspect="1"/>
                    </pic:cNvPicPr>
                  </pic:nvPicPr>
                  <pic:blipFill>
                    <a:blip r:embed="rId101"/>
                    <a:stretch>
                      <a:fillRect/>
                    </a:stretch>
                  </pic:blipFill>
                  <pic:spPr>
                    <a:xfrm>
                      <a:off x="0" y="0"/>
                      <a:ext cx="4148843" cy="3304004"/>
                    </a:xfrm>
                    <a:prstGeom prst="rect">
                      <a:avLst/>
                    </a:prstGeom>
                  </pic:spPr>
                </pic:pic>
              </a:graphicData>
            </a:graphic>
          </wp:inline>
        </w:drawing>
      </w:r>
      <w:r>
        <w:br w:type="textWrapping" w:clear="all"/>
      </w:r>
      <w:r w:rsidRPr="008C73EF">
        <w:rPr>
          <w:b/>
          <w:bCs/>
          <w:sz w:val="20"/>
          <w:szCs w:val="20"/>
        </w:rPr>
        <w:t xml:space="preserve">Supplementary Figure </w:t>
      </w:r>
      <w:r>
        <w:rPr>
          <w:b/>
          <w:bCs/>
          <w:sz w:val="20"/>
          <w:szCs w:val="20"/>
        </w:rPr>
        <w:t>3</w:t>
      </w:r>
      <w:r w:rsidR="00A04F19">
        <w:rPr>
          <w:b/>
          <w:bCs/>
          <w:sz w:val="20"/>
          <w:szCs w:val="20"/>
        </w:rPr>
        <w:t>6</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Western Desert, Egypt (EGY</w:t>
      </w:r>
      <w:r w:rsidRPr="008C73EF">
        <w:rPr>
          <w:rFonts w:cs="Arial"/>
          <w:sz w:val="20"/>
          <w:szCs w:val="20"/>
        </w:rPr>
        <w:t>) region.</w:t>
      </w:r>
    </w:p>
    <w:p w14:paraId="408AFBBB" w14:textId="49E8B22B" w:rsidR="00650C33" w:rsidRDefault="00991EF7" w:rsidP="00383D30">
      <w:pPr>
        <w:spacing w:line="276" w:lineRule="auto"/>
        <w:ind w:firstLine="720"/>
      </w:pPr>
      <w:r w:rsidRPr="00991EF7">
        <w:lastRenderedPageBreak/>
        <w:t> </w:t>
      </w:r>
      <w:r w:rsidRPr="00991EF7">
        <w:rPr>
          <w:noProof/>
        </w:rPr>
        <w:drawing>
          <wp:inline distT="0" distB="0" distL="0" distR="0" wp14:anchorId="7DC14B69" wp14:editId="79CFF76C">
            <wp:extent cx="4552950" cy="3626794"/>
            <wp:effectExtent l="0" t="0" r="0" b="0"/>
            <wp:docPr id="168696254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58332" cy="3631081"/>
                    </a:xfrm>
                    <a:prstGeom prst="rect">
                      <a:avLst/>
                    </a:prstGeom>
                    <a:noFill/>
                    <a:ln>
                      <a:noFill/>
                    </a:ln>
                  </pic:spPr>
                </pic:pic>
              </a:graphicData>
            </a:graphic>
          </wp:inline>
        </w:drawing>
      </w:r>
    </w:p>
    <w:p w14:paraId="1ADA7B32" w14:textId="070B52B7" w:rsidR="009B4A47" w:rsidRDefault="009B4A47" w:rsidP="00383D30">
      <w:pPr>
        <w:spacing w:line="276" w:lineRule="auto"/>
        <w:ind w:firstLine="720"/>
      </w:pPr>
      <w:r w:rsidRPr="009B4A47">
        <w:t> </w:t>
      </w:r>
      <w:r w:rsidRPr="009B4A47">
        <w:rPr>
          <w:noProof/>
        </w:rPr>
        <w:drawing>
          <wp:inline distT="0" distB="0" distL="0" distR="0" wp14:anchorId="005A3319" wp14:editId="3DFCD583">
            <wp:extent cx="4353669" cy="3448050"/>
            <wp:effectExtent l="0" t="0" r="8890" b="0"/>
            <wp:docPr id="124867912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355551" cy="3449541"/>
                    </a:xfrm>
                    <a:prstGeom prst="rect">
                      <a:avLst/>
                    </a:prstGeom>
                    <a:noFill/>
                    <a:ln>
                      <a:noFill/>
                    </a:ln>
                  </pic:spPr>
                </pic:pic>
              </a:graphicData>
            </a:graphic>
          </wp:inline>
        </w:drawing>
      </w:r>
    </w:p>
    <w:p w14:paraId="25A1630A" w14:textId="0B8EC194" w:rsidR="009B4A47" w:rsidRDefault="009B4A47" w:rsidP="009B4A47">
      <w:pPr>
        <w:spacing w:line="276" w:lineRule="auto"/>
        <w:rPr>
          <w:rFonts w:cs="Arial"/>
          <w:sz w:val="20"/>
          <w:szCs w:val="20"/>
        </w:rPr>
      </w:pPr>
      <w:r w:rsidRPr="008C73EF">
        <w:rPr>
          <w:b/>
          <w:bCs/>
          <w:sz w:val="20"/>
          <w:szCs w:val="20"/>
        </w:rPr>
        <w:t xml:space="preserve">Supplementary Figure </w:t>
      </w:r>
      <w:r>
        <w:rPr>
          <w:b/>
          <w:bCs/>
          <w:sz w:val="20"/>
          <w:szCs w:val="20"/>
        </w:rPr>
        <w:t>3</w:t>
      </w:r>
      <w:r w:rsidR="00A04F19">
        <w:rPr>
          <w:b/>
          <w:bCs/>
          <w:sz w:val="20"/>
          <w:szCs w:val="20"/>
        </w:rPr>
        <w:t>7</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xml:space="preserve">). </w:t>
      </w:r>
      <w:proofErr w:type="spellStart"/>
      <w:r>
        <w:rPr>
          <w:rFonts w:cs="Arial"/>
          <w:sz w:val="20"/>
          <w:szCs w:val="20"/>
        </w:rPr>
        <w:t>Widyan</w:t>
      </w:r>
      <w:proofErr w:type="spellEnd"/>
      <w:r w:rsidR="006C083A">
        <w:rPr>
          <w:rFonts w:cs="Arial"/>
          <w:sz w:val="20"/>
          <w:szCs w:val="20"/>
        </w:rPr>
        <w:t>, Kingdom of Saudi Arabia (KSA)</w:t>
      </w:r>
      <w:r w:rsidRPr="008C73EF">
        <w:rPr>
          <w:rFonts w:cs="Arial"/>
          <w:sz w:val="20"/>
          <w:szCs w:val="20"/>
        </w:rPr>
        <w:t xml:space="preserve"> region.</w:t>
      </w:r>
    </w:p>
    <w:p w14:paraId="356F2A1D" w14:textId="77777777" w:rsidR="00B83F65" w:rsidRDefault="00B83F65" w:rsidP="009B4A47">
      <w:pPr>
        <w:spacing w:line="276" w:lineRule="auto"/>
        <w:rPr>
          <w:rFonts w:cs="Arial"/>
          <w:sz w:val="20"/>
          <w:szCs w:val="20"/>
        </w:rPr>
      </w:pPr>
    </w:p>
    <w:p w14:paraId="5656037B" w14:textId="77777777" w:rsidR="00B83F65" w:rsidRDefault="00B83F65" w:rsidP="009B4A47">
      <w:pPr>
        <w:spacing w:line="276" w:lineRule="auto"/>
        <w:rPr>
          <w:rFonts w:cs="Arial"/>
          <w:sz w:val="20"/>
          <w:szCs w:val="20"/>
        </w:rPr>
      </w:pPr>
    </w:p>
    <w:p w14:paraId="24AD7E29" w14:textId="0C341D5C" w:rsidR="00B83F65" w:rsidRDefault="00B83F65" w:rsidP="009B4A47">
      <w:pPr>
        <w:spacing w:line="276" w:lineRule="auto"/>
      </w:pPr>
      <w:r w:rsidRPr="00B83F65">
        <w:lastRenderedPageBreak/>
        <w:t> </w:t>
      </w:r>
      <w:r w:rsidRPr="00B83F65">
        <w:rPr>
          <w:noProof/>
        </w:rPr>
        <w:drawing>
          <wp:inline distT="0" distB="0" distL="0" distR="0" wp14:anchorId="680F677A" wp14:editId="05714DEC">
            <wp:extent cx="4419600" cy="3520570"/>
            <wp:effectExtent l="0" t="0" r="0" b="3810"/>
            <wp:docPr id="206632671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22701" cy="3523040"/>
                    </a:xfrm>
                    <a:prstGeom prst="rect">
                      <a:avLst/>
                    </a:prstGeom>
                    <a:noFill/>
                    <a:ln>
                      <a:noFill/>
                    </a:ln>
                  </pic:spPr>
                </pic:pic>
              </a:graphicData>
            </a:graphic>
          </wp:inline>
        </w:drawing>
      </w:r>
    </w:p>
    <w:p w14:paraId="7C97AE85" w14:textId="76A4CA7D" w:rsidR="00B83F65" w:rsidRDefault="00B83F65" w:rsidP="009B4A47">
      <w:pPr>
        <w:spacing w:line="276" w:lineRule="auto"/>
      </w:pPr>
      <w:r w:rsidRPr="00B83F65">
        <w:t> </w:t>
      </w:r>
      <w:r w:rsidRPr="00B83F65">
        <w:rPr>
          <w:noProof/>
        </w:rPr>
        <w:drawing>
          <wp:inline distT="0" distB="0" distL="0" distR="0" wp14:anchorId="2C298AA2" wp14:editId="41C21232">
            <wp:extent cx="4467225" cy="3558508"/>
            <wp:effectExtent l="0" t="0" r="0" b="4445"/>
            <wp:docPr id="48490679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471774" cy="3562132"/>
                    </a:xfrm>
                    <a:prstGeom prst="rect">
                      <a:avLst/>
                    </a:prstGeom>
                    <a:noFill/>
                    <a:ln>
                      <a:noFill/>
                    </a:ln>
                  </pic:spPr>
                </pic:pic>
              </a:graphicData>
            </a:graphic>
          </wp:inline>
        </w:drawing>
      </w:r>
    </w:p>
    <w:p w14:paraId="39BDBE9F" w14:textId="1B7AF988" w:rsidR="00B83F65" w:rsidRDefault="00B83F65" w:rsidP="00B83F65">
      <w:pPr>
        <w:spacing w:line="276" w:lineRule="auto"/>
        <w:rPr>
          <w:rFonts w:cs="Arial"/>
          <w:sz w:val="20"/>
          <w:szCs w:val="20"/>
        </w:rPr>
      </w:pPr>
      <w:r w:rsidRPr="008C73EF">
        <w:rPr>
          <w:b/>
          <w:bCs/>
          <w:sz w:val="20"/>
          <w:szCs w:val="20"/>
        </w:rPr>
        <w:t xml:space="preserve">Supplementary Figure </w:t>
      </w:r>
      <w:r>
        <w:rPr>
          <w:b/>
          <w:bCs/>
          <w:sz w:val="20"/>
          <w:szCs w:val="20"/>
        </w:rPr>
        <w:t>3</w:t>
      </w:r>
      <w:r w:rsidR="00A04F19">
        <w:rPr>
          <w:b/>
          <w:bCs/>
          <w:sz w:val="20"/>
          <w:szCs w:val="20"/>
        </w:rPr>
        <w:t>8</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xml:space="preserve">). </w:t>
      </w:r>
      <w:proofErr w:type="spellStart"/>
      <w:r>
        <w:rPr>
          <w:rFonts w:cs="Arial"/>
          <w:sz w:val="20"/>
          <w:szCs w:val="20"/>
        </w:rPr>
        <w:t>Widyan</w:t>
      </w:r>
      <w:proofErr w:type="spellEnd"/>
      <w:r>
        <w:rPr>
          <w:rFonts w:cs="Arial"/>
          <w:sz w:val="20"/>
          <w:szCs w:val="20"/>
        </w:rPr>
        <w:t xml:space="preserve">, </w:t>
      </w:r>
      <w:r w:rsidR="00C32896">
        <w:rPr>
          <w:rFonts w:cs="Arial"/>
          <w:sz w:val="20"/>
          <w:szCs w:val="20"/>
        </w:rPr>
        <w:t>Kuwait</w:t>
      </w:r>
      <w:r>
        <w:rPr>
          <w:rFonts w:cs="Arial"/>
          <w:sz w:val="20"/>
          <w:szCs w:val="20"/>
        </w:rPr>
        <w:t xml:space="preserve"> (</w:t>
      </w:r>
      <w:r w:rsidR="00C32896">
        <w:rPr>
          <w:rFonts w:cs="Arial"/>
          <w:sz w:val="20"/>
          <w:szCs w:val="20"/>
        </w:rPr>
        <w:t>KUW</w:t>
      </w:r>
      <w:r>
        <w:rPr>
          <w:rFonts w:cs="Arial"/>
          <w:sz w:val="20"/>
          <w:szCs w:val="20"/>
        </w:rPr>
        <w:t>)</w:t>
      </w:r>
      <w:r w:rsidRPr="008C73EF">
        <w:rPr>
          <w:rFonts w:cs="Arial"/>
          <w:sz w:val="20"/>
          <w:szCs w:val="20"/>
        </w:rPr>
        <w:t xml:space="preserve"> region.</w:t>
      </w:r>
    </w:p>
    <w:p w14:paraId="37458946" w14:textId="77777777" w:rsidR="007E5BFF" w:rsidRDefault="007E5BFF" w:rsidP="00B83F65">
      <w:pPr>
        <w:spacing w:line="276" w:lineRule="auto"/>
        <w:rPr>
          <w:rFonts w:cs="Arial"/>
          <w:sz w:val="20"/>
          <w:szCs w:val="20"/>
        </w:rPr>
      </w:pPr>
    </w:p>
    <w:p w14:paraId="44B603EF" w14:textId="77777777" w:rsidR="007E5BFF" w:rsidRDefault="007E5BFF" w:rsidP="00B83F65">
      <w:pPr>
        <w:spacing w:line="276" w:lineRule="auto"/>
        <w:rPr>
          <w:rFonts w:cs="Arial"/>
          <w:sz w:val="20"/>
          <w:szCs w:val="20"/>
        </w:rPr>
      </w:pPr>
    </w:p>
    <w:p w14:paraId="65BA5E3A" w14:textId="38E1B6AF" w:rsidR="00B83F65" w:rsidRDefault="0033361F" w:rsidP="009B4A47">
      <w:pPr>
        <w:spacing w:line="276" w:lineRule="auto"/>
      </w:pPr>
      <w:r w:rsidRPr="0033361F">
        <w:lastRenderedPageBreak/>
        <w:t> </w:t>
      </w:r>
      <w:r w:rsidRPr="0033361F">
        <w:rPr>
          <w:noProof/>
        </w:rPr>
        <w:drawing>
          <wp:inline distT="0" distB="0" distL="0" distR="0" wp14:anchorId="5D3A4539" wp14:editId="3D02F49F">
            <wp:extent cx="4232903" cy="3371850"/>
            <wp:effectExtent l="0" t="0" r="0" b="0"/>
            <wp:docPr id="37752896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36968" cy="3375088"/>
                    </a:xfrm>
                    <a:prstGeom prst="rect">
                      <a:avLst/>
                    </a:prstGeom>
                    <a:noFill/>
                    <a:ln>
                      <a:noFill/>
                    </a:ln>
                  </pic:spPr>
                </pic:pic>
              </a:graphicData>
            </a:graphic>
          </wp:inline>
        </w:drawing>
      </w:r>
    </w:p>
    <w:p w14:paraId="0B3B56D8" w14:textId="5CF3DD7C" w:rsidR="0033361F" w:rsidRDefault="0033361F" w:rsidP="009B4A47">
      <w:pPr>
        <w:spacing w:line="276" w:lineRule="auto"/>
      </w:pPr>
      <w:r w:rsidRPr="0033361F">
        <w:t> </w:t>
      </w:r>
      <w:r w:rsidRPr="0033361F">
        <w:rPr>
          <w:noProof/>
        </w:rPr>
        <w:drawing>
          <wp:inline distT="0" distB="0" distL="0" distR="0" wp14:anchorId="316B3BE4" wp14:editId="76A9869F">
            <wp:extent cx="4314825" cy="3437109"/>
            <wp:effectExtent l="0" t="0" r="0" b="0"/>
            <wp:docPr id="135366847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322583" cy="3443289"/>
                    </a:xfrm>
                    <a:prstGeom prst="rect">
                      <a:avLst/>
                    </a:prstGeom>
                    <a:noFill/>
                    <a:ln>
                      <a:noFill/>
                    </a:ln>
                  </pic:spPr>
                </pic:pic>
              </a:graphicData>
            </a:graphic>
          </wp:inline>
        </w:drawing>
      </w:r>
    </w:p>
    <w:p w14:paraId="0A7EE1B9" w14:textId="081C8045" w:rsidR="0033361F" w:rsidRDefault="0033361F" w:rsidP="0033361F">
      <w:pPr>
        <w:spacing w:line="276" w:lineRule="auto"/>
        <w:rPr>
          <w:rFonts w:cs="Arial"/>
          <w:sz w:val="20"/>
          <w:szCs w:val="20"/>
        </w:rPr>
      </w:pPr>
      <w:r w:rsidRPr="008C73EF">
        <w:rPr>
          <w:b/>
          <w:bCs/>
          <w:sz w:val="20"/>
          <w:szCs w:val="20"/>
        </w:rPr>
        <w:t xml:space="preserve">Supplementary Figure </w:t>
      </w:r>
      <w:r>
        <w:rPr>
          <w:b/>
          <w:bCs/>
          <w:sz w:val="20"/>
          <w:szCs w:val="20"/>
        </w:rPr>
        <w:t>3</w:t>
      </w:r>
      <w:r w:rsidR="00A04F19">
        <w:rPr>
          <w:b/>
          <w:bCs/>
          <w:sz w:val="20"/>
          <w:szCs w:val="20"/>
        </w:rPr>
        <w:t>9</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xml:space="preserve">). </w:t>
      </w:r>
      <w:proofErr w:type="spellStart"/>
      <w:r>
        <w:rPr>
          <w:rFonts w:cs="Arial"/>
          <w:sz w:val="20"/>
          <w:szCs w:val="20"/>
        </w:rPr>
        <w:t>Widyan</w:t>
      </w:r>
      <w:proofErr w:type="spellEnd"/>
      <w:r>
        <w:rPr>
          <w:rFonts w:cs="Arial"/>
          <w:sz w:val="20"/>
          <w:szCs w:val="20"/>
        </w:rPr>
        <w:t xml:space="preserve">, </w:t>
      </w:r>
      <w:r w:rsidR="00DD06D8">
        <w:rPr>
          <w:rFonts w:cs="Arial"/>
          <w:sz w:val="20"/>
          <w:szCs w:val="20"/>
        </w:rPr>
        <w:t>Iran, Iraq</w:t>
      </w:r>
      <w:r>
        <w:rPr>
          <w:rFonts w:cs="Arial"/>
          <w:sz w:val="20"/>
          <w:szCs w:val="20"/>
        </w:rPr>
        <w:t xml:space="preserve"> (</w:t>
      </w:r>
      <w:r w:rsidR="00DD06D8">
        <w:rPr>
          <w:rFonts w:cs="Arial"/>
          <w:sz w:val="20"/>
          <w:szCs w:val="20"/>
        </w:rPr>
        <w:t>IRN</w:t>
      </w:r>
      <w:r w:rsidR="008C1E7F">
        <w:rPr>
          <w:rFonts w:cs="Arial"/>
          <w:sz w:val="20"/>
          <w:szCs w:val="20"/>
        </w:rPr>
        <w:t>_</w:t>
      </w:r>
      <w:r w:rsidR="00DD06D8">
        <w:rPr>
          <w:rFonts w:cs="Arial"/>
          <w:sz w:val="20"/>
          <w:szCs w:val="20"/>
        </w:rPr>
        <w:t>IRQ</w:t>
      </w:r>
      <w:r>
        <w:rPr>
          <w:rFonts w:cs="Arial"/>
          <w:sz w:val="20"/>
          <w:szCs w:val="20"/>
        </w:rPr>
        <w:t>)</w:t>
      </w:r>
      <w:r w:rsidRPr="008C73EF">
        <w:rPr>
          <w:rFonts w:cs="Arial"/>
          <w:sz w:val="20"/>
          <w:szCs w:val="20"/>
        </w:rPr>
        <w:t xml:space="preserve"> region.</w:t>
      </w:r>
    </w:p>
    <w:p w14:paraId="738DE337" w14:textId="77777777" w:rsidR="00A6233E" w:rsidRDefault="00A6233E" w:rsidP="0033361F">
      <w:pPr>
        <w:spacing w:line="276" w:lineRule="auto"/>
        <w:rPr>
          <w:rFonts w:cs="Arial"/>
          <w:sz w:val="20"/>
          <w:szCs w:val="20"/>
        </w:rPr>
      </w:pPr>
    </w:p>
    <w:p w14:paraId="71F7B2A4" w14:textId="77777777" w:rsidR="00A6233E" w:rsidRDefault="00A6233E" w:rsidP="0033361F">
      <w:pPr>
        <w:spacing w:line="276" w:lineRule="auto"/>
        <w:rPr>
          <w:rFonts w:cs="Arial"/>
          <w:sz w:val="20"/>
          <w:szCs w:val="20"/>
        </w:rPr>
      </w:pPr>
    </w:p>
    <w:p w14:paraId="33909317" w14:textId="77777777" w:rsidR="00A6233E" w:rsidRDefault="00A6233E" w:rsidP="0033361F">
      <w:pPr>
        <w:spacing w:line="276" w:lineRule="auto"/>
        <w:rPr>
          <w:rFonts w:cs="Arial"/>
          <w:sz w:val="20"/>
          <w:szCs w:val="20"/>
        </w:rPr>
      </w:pPr>
    </w:p>
    <w:p w14:paraId="417D74E5" w14:textId="4A0900BB" w:rsidR="00A6233E" w:rsidRDefault="00E2793C" w:rsidP="0033361F">
      <w:pPr>
        <w:spacing w:line="276" w:lineRule="auto"/>
        <w:rPr>
          <w:rFonts w:cs="Arial"/>
          <w:sz w:val="20"/>
          <w:szCs w:val="20"/>
        </w:rPr>
      </w:pPr>
      <w:r w:rsidRPr="00E2793C">
        <w:rPr>
          <w:rFonts w:cs="Arial"/>
          <w:sz w:val="20"/>
          <w:szCs w:val="20"/>
        </w:rPr>
        <w:lastRenderedPageBreak/>
        <w:t> </w:t>
      </w:r>
      <w:r w:rsidRPr="00E2793C">
        <w:rPr>
          <w:rFonts w:cs="Arial"/>
          <w:noProof/>
          <w:sz w:val="20"/>
          <w:szCs w:val="20"/>
        </w:rPr>
        <w:drawing>
          <wp:inline distT="0" distB="0" distL="0" distR="0" wp14:anchorId="663E01F3" wp14:editId="5D26D8EC">
            <wp:extent cx="4328561" cy="3448050"/>
            <wp:effectExtent l="0" t="0" r="0" b="0"/>
            <wp:docPr id="103193776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332807" cy="3451433"/>
                    </a:xfrm>
                    <a:prstGeom prst="rect">
                      <a:avLst/>
                    </a:prstGeom>
                    <a:noFill/>
                    <a:ln>
                      <a:noFill/>
                    </a:ln>
                  </pic:spPr>
                </pic:pic>
              </a:graphicData>
            </a:graphic>
          </wp:inline>
        </w:drawing>
      </w:r>
    </w:p>
    <w:p w14:paraId="5DD68A27" w14:textId="449FA95F" w:rsidR="0033361F" w:rsidRDefault="00E2793C" w:rsidP="009B4A47">
      <w:pPr>
        <w:spacing w:line="276" w:lineRule="auto"/>
      </w:pPr>
      <w:r w:rsidRPr="00E2793C">
        <w:t> </w:t>
      </w:r>
      <w:r w:rsidRPr="00E2793C">
        <w:rPr>
          <w:noProof/>
        </w:rPr>
        <w:drawing>
          <wp:inline distT="0" distB="0" distL="0" distR="0" wp14:anchorId="3C4BFEF7" wp14:editId="4783AB07">
            <wp:extent cx="4333875" cy="3452283"/>
            <wp:effectExtent l="0" t="0" r="0" b="0"/>
            <wp:docPr id="38577411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35557" cy="3453623"/>
                    </a:xfrm>
                    <a:prstGeom prst="rect">
                      <a:avLst/>
                    </a:prstGeom>
                    <a:noFill/>
                    <a:ln>
                      <a:noFill/>
                    </a:ln>
                  </pic:spPr>
                </pic:pic>
              </a:graphicData>
            </a:graphic>
          </wp:inline>
        </w:drawing>
      </w:r>
    </w:p>
    <w:p w14:paraId="123E98E8" w14:textId="53C75E04" w:rsidR="00E2793C" w:rsidRDefault="00E2793C" w:rsidP="00E2793C">
      <w:pPr>
        <w:spacing w:line="276" w:lineRule="auto"/>
        <w:rPr>
          <w:rFonts w:cs="Arial"/>
          <w:sz w:val="20"/>
          <w:szCs w:val="20"/>
        </w:rPr>
      </w:pPr>
      <w:r w:rsidRPr="008C73EF">
        <w:rPr>
          <w:b/>
          <w:bCs/>
          <w:sz w:val="20"/>
          <w:szCs w:val="20"/>
        </w:rPr>
        <w:t xml:space="preserve">Supplementary Figure </w:t>
      </w:r>
      <w:r w:rsidR="00A04F19">
        <w:rPr>
          <w:b/>
          <w:bCs/>
          <w:sz w:val="20"/>
          <w:szCs w:val="20"/>
        </w:rPr>
        <w:t>40</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xml:space="preserve">). </w:t>
      </w:r>
      <w:proofErr w:type="spellStart"/>
      <w:r>
        <w:rPr>
          <w:rFonts w:cs="Arial"/>
          <w:sz w:val="20"/>
          <w:szCs w:val="20"/>
        </w:rPr>
        <w:t>Widyan</w:t>
      </w:r>
      <w:proofErr w:type="spellEnd"/>
      <w:r>
        <w:rPr>
          <w:rFonts w:cs="Arial"/>
          <w:sz w:val="20"/>
          <w:szCs w:val="20"/>
        </w:rPr>
        <w:t>, Iraq (IRQ)</w:t>
      </w:r>
      <w:r w:rsidRPr="008C73EF">
        <w:rPr>
          <w:rFonts w:cs="Arial"/>
          <w:sz w:val="20"/>
          <w:szCs w:val="20"/>
        </w:rPr>
        <w:t xml:space="preserve"> region.</w:t>
      </w:r>
    </w:p>
    <w:p w14:paraId="72C906FA" w14:textId="77777777" w:rsidR="00763FD3" w:rsidRDefault="00763FD3" w:rsidP="00E2793C">
      <w:pPr>
        <w:spacing w:line="276" w:lineRule="auto"/>
        <w:rPr>
          <w:rFonts w:cs="Arial"/>
          <w:sz w:val="20"/>
          <w:szCs w:val="20"/>
        </w:rPr>
      </w:pPr>
    </w:p>
    <w:p w14:paraId="79E1107F" w14:textId="77777777" w:rsidR="00763FD3" w:rsidRDefault="00763FD3" w:rsidP="00E2793C">
      <w:pPr>
        <w:spacing w:line="276" w:lineRule="auto"/>
        <w:rPr>
          <w:rFonts w:cs="Arial"/>
          <w:sz w:val="20"/>
          <w:szCs w:val="20"/>
        </w:rPr>
      </w:pPr>
    </w:p>
    <w:p w14:paraId="01AEB091" w14:textId="77777777" w:rsidR="00763FD3" w:rsidRDefault="00763FD3" w:rsidP="00E2793C">
      <w:pPr>
        <w:spacing w:line="276" w:lineRule="auto"/>
        <w:rPr>
          <w:rFonts w:cs="Arial"/>
          <w:sz w:val="20"/>
          <w:szCs w:val="20"/>
        </w:rPr>
      </w:pPr>
    </w:p>
    <w:p w14:paraId="691CD5AF" w14:textId="1B80CC57" w:rsidR="00E2793C" w:rsidRDefault="001E4FB6" w:rsidP="009B4A47">
      <w:pPr>
        <w:spacing w:line="276" w:lineRule="auto"/>
      </w:pPr>
      <w:r w:rsidRPr="001E4FB6">
        <w:rPr>
          <w:noProof/>
        </w:rPr>
        <w:lastRenderedPageBreak/>
        <w:drawing>
          <wp:inline distT="0" distB="0" distL="0" distR="0" wp14:anchorId="372BEDC3" wp14:editId="5FCD111D">
            <wp:extent cx="4509147" cy="3590925"/>
            <wp:effectExtent l="0" t="0" r="5715" b="0"/>
            <wp:docPr id="1256254137" name="Picture 3" descr="ZAGROS_FOLDBELT_area_weighted_flux_092_measurement_based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ZAGROS_FOLDBELT_area_weighted_flux_092_measurement_based_filt.png"/>
                    <pic:cNvPicPr>
                      <a:picLocks noChangeAspect="1"/>
                    </pic:cNvPicPr>
                  </pic:nvPicPr>
                  <pic:blipFill>
                    <a:blip r:embed="rId110"/>
                    <a:stretch>
                      <a:fillRect/>
                    </a:stretch>
                  </pic:blipFill>
                  <pic:spPr>
                    <a:xfrm>
                      <a:off x="0" y="0"/>
                      <a:ext cx="4513022" cy="3594011"/>
                    </a:xfrm>
                    <a:prstGeom prst="rect">
                      <a:avLst/>
                    </a:prstGeom>
                  </pic:spPr>
                </pic:pic>
              </a:graphicData>
            </a:graphic>
          </wp:inline>
        </w:drawing>
      </w:r>
    </w:p>
    <w:p w14:paraId="0DAB488F" w14:textId="245AB432" w:rsidR="001E4FB6" w:rsidRDefault="001E4FB6" w:rsidP="009B4A47">
      <w:pPr>
        <w:spacing w:line="276" w:lineRule="auto"/>
      </w:pPr>
      <w:r w:rsidRPr="001E4FB6">
        <w:rPr>
          <w:noProof/>
        </w:rPr>
        <w:drawing>
          <wp:inline distT="0" distB="0" distL="0" distR="0" wp14:anchorId="46BFB26A" wp14:editId="47C97D58">
            <wp:extent cx="4572000" cy="3640993"/>
            <wp:effectExtent l="0" t="0" r="0" b="0"/>
            <wp:docPr id="778719505" name="Picture 3" descr="ZAGROS_FOLDBELT_area_weighted_flux_092_bottom_up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ZAGROS_FOLDBELT_area_weighted_flux_092_bottom_up_filt.png"/>
                    <pic:cNvPicPr>
                      <a:picLocks noChangeAspect="1"/>
                    </pic:cNvPicPr>
                  </pic:nvPicPr>
                  <pic:blipFill>
                    <a:blip r:embed="rId111"/>
                    <a:stretch>
                      <a:fillRect/>
                    </a:stretch>
                  </pic:blipFill>
                  <pic:spPr>
                    <a:xfrm>
                      <a:off x="0" y="0"/>
                      <a:ext cx="4576496" cy="3644574"/>
                    </a:xfrm>
                    <a:prstGeom prst="rect">
                      <a:avLst/>
                    </a:prstGeom>
                  </pic:spPr>
                </pic:pic>
              </a:graphicData>
            </a:graphic>
          </wp:inline>
        </w:drawing>
      </w:r>
    </w:p>
    <w:p w14:paraId="4A5E5540" w14:textId="0B45DE07" w:rsidR="001E4FB6" w:rsidRDefault="001E4FB6" w:rsidP="001E4FB6">
      <w:pPr>
        <w:spacing w:line="276" w:lineRule="auto"/>
        <w:rPr>
          <w:rFonts w:cs="Arial"/>
          <w:sz w:val="20"/>
          <w:szCs w:val="20"/>
        </w:rPr>
      </w:pPr>
      <w:r w:rsidRPr="008C73EF">
        <w:rPr>
          <w:b/>
          <w:bCs/>
          <w:sz w:val="20"/>
          <w:szCs w:val="20"/>
        </w:rPr>
        <w:t xml:space="preserve">Supplementary Figure </w:t>
      </w:r>
      <w:r w:rsidR="00E178D6">
        <w:rPr>
          <w:b/>
          <w:bCs/>
          <w:sz w:val="20"/>
          <w:szCs w:val="20"/>
        </w:rPr>
        <w:t>4</w:t>
      </w:r>
      <w:r w:rsidR="00A04F19">
        <w:rPr>
          <w:b/>
          <w:bCs/>
          <w:sz w:val="20"/>
          <w:szCs w:val="20"/>
        </w:rPr>
        <w:t>1</w:t>
      </w:r>
      <w:r w:rsidRPr="008C73EF">
        <w:rPr>
          <w:sz w:val="20"/>
          <w:szCs w:val="20"/>
        </w:rPr>
        <w:t xml:space="preserve">. </w:t>
      </w:r>
      <w:r w:rsidRPr="008C73EF">
        <w:rPr>
          <w:rFonts w:cs="Arial"/>
          <w:sz w:val="20"/>
          <w:szCs w:val="20"/>
        </w:rPr>
        <w:t>Comparison of MethaneSAT total methane emissions estimates with peer-reviewed “top-down” measurements (top panel) and “bottom-up” inventory data (bottom panel). The shaded area shows the representative range of the peer-reviewed data (2.5</w:t>
      </w:r>
      <w:r w:rsidRPr="008C73EF">
        <w:rPr>
          <w:rFonts w:cs="Arial"/>
          <w:sz w:val="20"/>
          <w:szCs w:val="20"/>
          <w:vertAlign w:val="superscript"/>
        </w:rPr>
        <w:t>th</w:t>
      </w:r>
      <w:r w:rsidRPr="008C73EF">
        <w:rPr>
          <w:rFonts w:cs="Arial"/>
          <w:sz w:val="20"/>
          <w:szCs w:val="20"/>
        </w:rPr>
        <w:t>, 97.5</w:t>
      </w:r>
      <w:r w:rsidRPr="008C73EF">
        <w:rPr>
          <w:rFonts w:cs="Arial"/>
          <w:sz w:val="20"/>
          <w:szCs w:val="20"/>
          <w:vertAlign w:val="superscript"/>
        </w:rPr>
        <w:t>th</w:t>
      </w:r>
      <w:r w:rsidRPr="008C73EF">
        <w:rPr>
          <w:rFonts w:cs="Arial"/>
          <w:sz w:val="20"/>
          <w:szCs w:val="20"/>
        </w:rPr>
        <w:t xml:space="preserve"> percentiles</w:t>
      </w:r>
      <w:r>
        <w:rPr>
          <w:rFonts w:cs="Arial"/>
          <w:sz w:val="20"/>
          <w:szCs w:val="20"/>
        </w:rPr>
        <w:t xml:space="preserve">). Zagros </w:t>
      </w:r>
      <w:proofErr w:type="spellStart"/>
      <w:r>
        <w:rPr>
          <w:rFonts w:cs="Arial"/>
          <w:sz w:val="20"/>
          <w:szCs w:val="20"/>
        </w:rPr>
        <w:t>Foldbelt</w:t>
      </w:r>
      <w:proofErr w:type="spellEnd"/>
      <w:r>
        <w:rPr>
          <w:rFonts w:cs="Arial"/>
          <w:sz w:val="20"/>
          <w:szCs w:val="20"/>
        </w:rPr>
        <w:t>, Iran (IRN)</w:t>
      </w:r>
      <w:r w:rsidRPr="008C73EF">
        <w:rPr>
          <w:rFonts w:cs="Arial"/>
          <w:sz w:val="20"/>
          <w:szCs w:val="20"/>
        </w:rPr>
        <w:t xml:space="preserve"> region.</w:t>
      </w:r>
    </w:p>
    <w:p w14:paraId="144F161B" w14:textId="77777777" w:rsidR="001E4FB6" w:rsidRDefault="001E4FB6" w:rsidP="009B4A47">
      <w:pPr>
        <w:spacing w:line="276" w:lineRule="auto"/>
      </w:pPr>
    </w:p>
    <w:p w14:paraId="362E559B" w14:textId="40EB66C7" w:rsidR="00433760" w:rsidRPr="00AD3D48" w:rsidRDefault="00433760" w:rsidP="009B4A47">
      <w:pPr>
        <w:spacing w:line="276" w:lineRule="auto"/>
        <w:rPr>
          <w:b/>
          <w:bCs/>
          <w:sz w:val="28"/>
          <w:szCs w:val="32"/>
        </w:rPr>
      </w:pPr>
      <w:r w:rsidRPr="00AD3D48">
        <w:rPr>
          <w:b/>
          <w:bCs/>
          <w:sz w:val="28"/>
          <w:szCs w:val="32"/>
        </w:rPr>
        <w:lastRenderedPageBreak/>
        <w:t>References</w:t>
      </w:r>
    </w:p>
    <w:p w14:paraId="6DBD030D" w14:textId="46936E97" w:rsidR="009F61A1" w:rsidRPr="00AD3D48" w:rsidRDefault="00A1139C" w:rsidP="009F61A1">
      <w:pPr>
        <w:pStyle w:val="ListParagraph"/>
        <w:numPr>
          <w:ilvl w:val="0"/>
          <w:numId w:val="14"/>
        </w:numPr>
        <w:spacing w:line="276" w:lineRule="auto"/>
        <w:rPr>
          <w:sz w:val="24"/>
          <w:lang w:val="en"/>
        </w:rPr>
      </w:pPr>
      <w:r w:rsidRPr="00AD3D48">
        <w:rPr>
          <w:sz w:val="24"/>
        </w:rPr>
        <w:t xml:space="preserve">Shen et al. </w:t>
      </w:r>
      <w:r w:rsidR="009F61A1" w:rsidRPr="00AD3D48">
        <w:rPr>
          <w:sz w:val="24"/>
          <w:lang w:val="en"/>
        </w:rPr>
        <w:t>Unravelling a large methane emission discrepancy in Mexico using satellite observations. Remote Sens. Env. 260, 112461</w:t>
      </w:r>
      <w:r w:rsidR="00325393" w:rsidRPr="00AD3D48">
        <w:rPr>
          <w:sz w:val="24"/>
          <w:lang w:val="en"/>
        </w:rPr>
        <w:t xml:space="preserve">, </w:t>
      </w:r>
      <w:hyperlink r:id="rId112" w:history="1">
        <w:r w:rsidR="0041470C" w:rsidRPr="00AD3D48">
          <w:rPr>
            <w:rStyle w:val="Hyperlink"/>
            <w:sz w:val="24"/>
            <w:lang w:val="en"/>
          </w:rPr>
          <w:t>https://doi.org/10.1016/j.rse.2021.112461</w:t>
        </w:r>
      </w:hyperlink>
      <w:r w:rsidR="0041470C" w:rsidRPr="00AD3D48">
        <w:rPr>
          <w:sz w:val="24"/>
          <w:lang w:val="en"/>
        </w:rPr>
        <w:t xml:space="preserve"> (2021)</w:t>
      </w:r>
    </w:p>
    <w:p w14:paraId="0D8EA251" w14:textId="77777777" w:rsidR="00D118CD" w:rsidRPr="00AD3D48" w:rsidRDefault="00D118CD" w:rsidP="00D118CD">
      <w:pPr>
        <w:pStyle w:val="ListParagraph"/>
        <w:numPr>
          <w:ilvl w:val="0"/>
          <w:numId w:val="14"/>
        </w:numPr>
        <w:rPr>
          <w:sz w:val="24"/>
        </w:rPr>
      </w:pPr>
      <w:r w:rsidRPr="00AD3D48">
        <w:rPr>
          <w:sz w:val="24"/>
        </w:rPr>
        <w:t xml:space="preserve">East, J.D., Jacob, D.J., Jervis, D. et al. Worldwide inference of national methane emissions by inversion of satellite observations with UNFCCC prior estimates. Nat Commun 16, 11004 (2025). https://doi.org/10.1038/s41467-025-67122-8 </w:t>
      </w:r>
    </w:p>
    <w:p w14:paraId="35EA853C" w14:textId="77777777" w:rsidR="00F25A05" w:rsidRPr="00AD3D48" w:rsidRDefault="00F25A05" w:rsidP="00F25A05">
      <w:pPr>
        <w:pStyle w:val="ListParagraph"/>
        <w:numPr>
          <w:ilvl w:val="0"/>
          <w:numId w:val="14"/>
        </w:numPr>
        <w:rPr>
          <w:sz w:val="24"/>
        </w:rPr>
      </w:pPr>
      <w:r w:rsidRPr="00AD3D48">
        <w:rPr>
          <w:sz w:val="24"/>
        </w:rPr>
        <w:t>Seymour, S.P. et al. Methane intensity metrics: unmasking the trade-offs. [Preprint] https://doi.org/10.21203/rs.3.rs-6753363/v1 (2025)</w:t>
      </w:r>
    </w:p>
    <w:p w14:paraId="638879A5" w14:textId="77777777" w:rsidR="00EB7BE0" w:rsidRPr="00AD3D48" w:rsidRDefault="00EB7BE0" w:rsidP="00EB7BE0">
      <w:pPr>
        <w:pStyle w:val="ListParagraph"/>
        <w:numPr>
          <w:ilvl w:val="0"/>
          <w:numId w:val="14"/>
        </w:numPr>
        <w:rPr>
          <w:rFonts w:cs="Arial"/>
          <w:sz w:val="24"/>
        </w:rPr>
      </w:pPr>
      <w:r w:rsidRPr="00AD3D48">
        <w:rPr>
          <w:rFonts w:cs="Arial"/>
          <w:sz w:val="24"/>
        </w:rPr>
        <w:t xml:space="preserve">Scarpelli, T. R. </w:t>
      </w:r>
      <w:r w:rsidRPr="00AD3D48">
        <w:rPr>
          <w:rFonts w:cs="Arial"/>
          <w:i/>
          <w:iCs/>
          <w:sz w:val="24"/>
        </w:rPr>
        <w:t>et al.</w:t>
      </w:r>
      <w:r w:rsidRPr="00AD3D48">
        <w:rPr>
          <w:rFonts w:cs="Arial"/>
          <w:sz w:val="24"/>
        </w:rPr>
        <w:t xml:space="preserve"> Using new geospatial data and 2020 fossil fuel methane emissions for the Global Fuel Exploitation Inventory (GFEI) v3.</w:t>
      </w:r>
      <w:r w:rsidRPr="00AD3D48">
        <w:rPr>
          <w:rFonts w:ascii="Open Sans" w:hAnsi="Open Sans" w:cs="Open Sans"/>
          <w:color w:val="464646"/>
          <w:sz w:val="24"/>
          <w:shd w:val="clear" w:color="auto" w:fill="FFFFFF"/>
        </w:rPr>
        <w:t xml:space="preserve"> </w:t>
      </w:r>
      <w:r w:rsidRPr="00AD3D48">
        <w:rPr>
          <w:rFonts w:cs="Arial"/>
          <w:sz w:val="24"/>
        </w:rPr>
        <w:t>Earth Syst. Sci. Data, 17, 7019–7033, https://doi.org/10.5194/essd-17-7019-2025, 2025.</w:t>
      </w:r>
    </w:p>
    <w:p w14:paraId="51B279B3" w14:textId="55EFD567" w:rsidR="00632A0D" w:rsidRPr="00AD3D48" w:rsidRDefault="00210876" w:rsidP="00632A0D">
      <w:pPr>
        <w:pStyle w:val="ListParagraph"/>
        <w:numPr>
          <w:ilvl w:val="0"/>
          <w:numId w:val="14"/>
        </w:numPr>
        <w:spacing w:line="276" w:lineRule="auto"/>
        <w:rPr>
          <w:sz w:val="24"/>
        </w:rPr>
      </w:pPr>
      <w:r w:rsidRPr="00AD3D48">
        <w:rPr>
          <w:sz w:val="24"/>
        </w:rPr>
        <w:t xml:space="preserve">Chen, </w:t>
      </w:r>
      <w:r w:rsidR="00632A0D" w:rsidRPr="00AD3D48">
        <w:rPr>
          <w:sz w:val="24"/>
        </w:rPr>
        <w:t>Z. et al. Methane emissions from China: a high-resolution inversion of TROPOMI satellite observations, Atmos. Chem. Phys., 22, 10809–10826, https://doi.org/10.5194/acp-22-10809-2022, 2022.</w:t>
      </w:r>
    </w:p>
    <w:p w14:paraId="64B106AD" w14:textId="38E8015D" w:rsidR="00101C9B" w:rsidRPr="00AD3D48" w:rsidRDefault="00101C9B" w:rsidP="00101C9B">
      <w:pPr>
        <w:pStyle w:val="ListParagraph"/>
        <w:numPr>
          <w:ilvl w:val="0"/>
          <w:numId w:val="14"/>
        </w:numPr>
        <w:spacing w:line="276" w:lineRule="auto"/>
        <w:rPr>
          <w:sz w:val="24"/>
        </w:rPr>
      </w:pPr>
      <w:r w:rsidRPr="00AD3D48">
        <w:rPr>
          <w:sz w:val="24"/>
        </w:rPr>
        <w:t>Chen, Z. et al. Satellite quantification of methane emissions and oil–gas methane intensities from individual countries in the Middle East and North Africa: implications for climate action, Atmos. Chem. Phys., 23, 5945–5967, https://doi.org/10.5194/acp-23-5945-2023, 2023.</w:t>
      </w:r>
    </w:p>
    <w:p w14:paraId="2B55865F" w14:textId="0B370E07" w:rsidR="00433760" w:rsidRPr="00AD3D48" w:rsidRDefault="007E3E8C" w:rsidP="00A1139C">
      <w:pPr>
        <w:pStyle w:val="ListParagraph"/>
        <w:numPr>
          <w:ilvl w:val="0"/>
          <w:numId w:val="14"/>
        </w:numPr>
        <w:spacing w:line="276" w:lineRule="auto"/>
        <w:rPr>
          <w:sz w:val="24"/>
        </w:rPr>
      </w:pPr>
      <w:r w:rsidRPr="00AD3D48">
        <w:rPr>
          <w:sz w:val="24"/>
        </w:rPr>
        <w:t xml:space="preserve">Climate Trace, Comprehensive Emissions Insight. Available online at </w:t>
      </w:r>
      <w:hyperlink r:id="rId113" w:history="1">
        <w:r w:rsidRPr="00AD3D48">
          <w:rPr>
            <w:rStyle w:val="Hyperlink"/>
            <w:sz w:val="24"/>
          </w:rPr>
          <w:t>https://climatetrace.org/</w:t>
        </w:r>
      </w:hyperlink>
      <w:r w:rsidRPr="00AD3D48">
        <w:rPr>
          <w:sz w:val="24"/>
        </w:rPr>
        <w:t>.</w:t>
      </w:r>
    </w:p>
    <w:p w14:paraId="41143181" w14:textId="392A3526" w:rsidR="003F0281" w:rsidRPr="00AD3D48" w:rsidRDefault="00BE52A3" w:rsidP="003F0281">
      <w:pPr>
        <w:pStyle w:val="ListParagraph"/>
        <w:numPr>
          <w:ilvl w:val="0"/>
          <w:numId w:val="14"/>
        </w:numPr>
        <w:spacing w:line="276" w:lineRule="auto"/>
        <w:rPr>
          <w:sz w:val="24"/>
        </w:rPr>
      </w:pPr>
      <w:r w:rsidRPr="00AD3D48">
        <w:rPr>
          <w:sz w:val="24"/>
        </w:rPr>
        <w:t xml:space="preserve">Hancock, S.E. et al. </w:t>
      </w:r>
      <w:r w:rsidR="003F0281" w:rsidRPr="00AD3D48">
        <w:rPr>
          <w:sz w:val="24"/>
        </w:rPr>
        <w:t>Satellite quantification of methane emissions from South American countries: a high-resolution inversion of TROPOMI and GOSAT observations, Atmos. Chem. Phys., 25, 797–817, https://doi.org/10.5194/acp-25-797-2025, 2025.</w:t>
      </w:r>
    </w:p>
    <w:p w14:paraId="058999B0" w14:textId="4C04DA25" w:rsidR="007E3E8C" w:rsidRPr="00AD3D48" w:rsidRDefault="00E040D2" w:rsidP="00A1139C">
      <w:pPr>
        <w:pStyle w:val="ListParagraph"/>
        <w:numPr>
          <w:ilvl w:val="0"/>
          <w:numId w:val="14"/>
        </w:numPr>
        <w:spacing w:line="276" w:lineRule="auto"/>
        <w:rPr>
          <w:sz w:val="24"/>
        </w:rPr>
      </w:pPr>
      <w:r w:rsidRPr="00AD3D48">
        <w:rPr>
          <w:sz w:val="24"/>
        </w:rPr>
        <w:t>Western, L</w:t>
      </w:r>
      <w:r w:rsidR="00242AFF" w:rsidRPr="00AD3D48">
        <w:rPr>
          <w:sz w:val="24"/>
        </w:rPr>
        <w:t xml:space="preserve">. Estimates of North African methane emissions from 2010-2017 using GOSAT observations, </w:t>
      </w:r>
      <w:hyperlink r:id="rId114" w:history="1">
        <w:r w:rsidR="00242AFF" w:rsidRPr="00AD3D48">
          <w:rPr>
            <w:rStyle w:val="Hyperlink"/>
            <w:sz w:val="24"/>
          </w:rPr>
          <w:t>https://doi.org/10.17605/OSF.IO/CDAE3</w:t>
        </w:r>
      </w:hyperlink>
    </w:p>
    <w:p w14:paraId="6B6FA7F2" w14:textId="76F1AA81" w:rsidR="000E4290" w:rsidRPr="00AD3D48" w:rsidRDefault="000E4290" w:rsidP="000E4290">
      <w:pPr>
        <w:pStyle w:val="ListParagraph"/>
        <w:numPr>
          <w:ilvl w:val="0"/>
          <w:numId w:val="14"/>
        </w:numPr>
        <w:spacing w:line="276" w:lineRule="auto"/>
        <w:rPr>
          <w:sz w:val="24"/>
        </w:rPr>
      </w:pPr>
      <w:r w:rsidRPr="00AD3D48">
        <w:rPr>
          <w:sz w:val="24"/>
        </w:rPr>
        <w:t xml:space="preserve">Worden, J.R. et al. The 2019 methane budget and uncertainties at 1° resolution and each country through Bayesian integration Of GOSAT total column methane data and a priori inventory estimates, Atmos. Chem. Phys., 22, 6811–6841, https://doi.org/10.5194/acp-22-6811-2022, 2022. </w:t>
      </w:r>
    </w:p>
    <w:p w14:paraId="54F84AC1" w14:textId="77777777" w:rsidR="00DF45F3" w:rsidRPr="00AD3D48" w:rsidRDefault="00DF45F3" w:rsidP="00DF45F3">
      <w:pPr>
        <w:pStyle w:val="ListParagraph"/>
        <w:numPr>
          <w:ilvl w:val="0"/>
          <w:numId w:val="14"/>
        </w:numPr>
        <w:rPr>
          <w:rFonts w:cs="Arial"/>
          <w:sz w:val="24"/>
        </w:rPr>
      </w:pPr>
      <w:r w:rsidRPr="00AD3D48">
        <w:rPr>
          <w:rFonts w:cs="Arial"/>
          <w:sz w:val="24"/>
          <w:lang w:val="es-ES"/>
        </w:rPr>
        <w:t xml:space="preserve">van </w:t>
      </w:r>
      <w:proofErr w:type="spellStart"/>
      <w:r w:rsidRPr="00AD3D48">
        <w:rPr>
          <w:rFonts w:cs="Arial"/>
          <w:sz w:val="24"/>
          <w:lang w:val="es-ES"/>
        </w:rPr>
        <w:t>der</w:t>
      </w:r>
      <w:proofErr w:type="spellEnd"/>
      <w:r w:rsidRPr="00AD3D48">
        <w:rPr>
          <w:rFonts w:cs="Arial"/>
          <w:sz w:val="24"/>
          <w:lang w:val="es-ES"/>
        </w:rPr>
        <w:t xml:space="preserve"> Gon, H.D. et al. </w:t>
      </w:r>
      <w:r w:rsidRPr="00AD3D48">
        <w:rPr>
          <w:rFonts w:cs="Arial"/>
          <w:sz w:val="24"/>
        </w:rPr>
        <w:t xml:space="preserve">Documentation of the CAMS emission inventory products. Available online at </w:t>
      </w:r>
      <w:hyperlink r:id="rId115" w:history="1">
        <w:r w:rsidRPr="00AD3D48">
          <w:rPr>
            <w:rStyle w:val="Hyperlink"/>
            <w:rFonts w:cs="Arial"/>
            <w:sz w:val="24"/>
          </w:rPr>
          <w:t>https://atmosphere.copernicus.eu/node/1054</w:t>
        </w:r>
      </w:hyperlink>
      <w:r w:rsidRPr="00AD3D48">
        <w:rPr>
          <w:rFonts w:cs="Arial"/>
          <w:sz w:val="24"/>
        </w:rPr>
        <w:t xml:space="preserve"> , https://doi.org/</w:t>
      </w:r>
      <w:r w:rsidRPr="00AD3D48">
        <w:rPr>
          <w:sz w:val="24"/>
        </w:rPr>
        <w:t xml:space="preserve"> </w:t>
      </w:r>
      <w:hyperlink r:id="rId116" w:tgtFrame="_blank" w:history="1">
        <w:r w:rsidRPr="00AD3D48">
          <w:rPr>
            <w:rStyle w:val="Hyperlink"/>
            <w:rFonts w:cs="Arial"/>
            <w:sz w:val="24"/>
          </w:rPr>
          <w:t>10.24380/q2si-ti6i</w:t>
        </w:r>
      </w:hyperlink>
      <w:r w:rsidRPr="00AD3D48">
        <w:rPr>
          <w:rFonts w:cs="Arial"/>
          <w:sz w:val="24"/>
        </w:rPr>
        <w:t xml:space="preserve"> (2023) </w:t>
      </w:r>
    </w:p>
    <w:p w14:paraId="24EEFA93" w14:textId="77777777" w:rsidR="00A81B22" w:rsidRPr="00AD3D48" w:rsidRDefault="00A81B22" w:rsidP="00A81B22">
      <w:pPr>
        <w:pStyle w:val="ListParagraph"/>
        <w:numPr>
          <w:ilvl w:val="0"/>
          <w:numId w:val="14"/>
        </w:numPr>
        <w:rPr>
          <w:rFonts w:cs="Arial"/>
          <w:sz w:val="24"/>
        </w:rPr>
      </w:pPr>
      <w:r w:rsidRPr="00AD3D48">
        <w:rPr>
          <w:rFonts w:cs="Arial"/>
          <w:sz w:val="24"/>
        </w:rPr>
        <w:t>Crippa, M</w:t>
      </w:r>
      <w:r w:rsidRPr="00AD3D48">
        <w:rPr>
          <w:rFonts w:cs="Arial"/>
          <w:i/>
          <w:iCs/>
          <w:sz w:val="24"/>
        </w:rPr>
        <w:t>. et al.</w:t>
      </w:r>
      <w:r w:rsidRPr="00AD3D48">
        <w:rPr>
          <w:rFonts w:cs="Arial"/>
          <w:sz w:val="24"/>
        </w:rPr>
        <w:t xml:space="preserve"> Insights into the spatial distribution of global, national, and subnational greenhouse gas emissions in the Emissions Database for Global Atmospheric Research (EDGAR v8.0), Earth System Science Data, 16, 2811–2830 (2024), </w:t>
      </w:r>
      <w:hyperlink r:id="rId117" w:history="1">
        <w:r w:rsidRPr="00AD3D48">
          <w:rPr>
            <w:rStyle w:val="Hyperlink"/>
            <w:rFonts w:cs="Arial"/>
            <w:sz w:val="24"/>
          </w:rPr>
          <w:t>https://doi.org/10.5194/essd-16-2811-2024</w:t>
        </w:r>
      </w:hyperlink>
      <w:r w:rsidRPr="00AD3D48">
        <w:rPr>
          <w:rFonts w:cs="Arial"/>
          <w:sz w:val="24"/>
        </w:rPr>
        <w:t xml:space="preserve"> </w:t>
      </w:r>
    </w:p>
    <w:p w14:paraId="6BA0A6DF" w14:textId="7093F595" w:rsidR="00242AFF" w:rsidRDefault="00F95318" w:rsidP="00A1139C">
      <w:pPr>
        <w:pStyle w:val="ListParagraph"/>
        <w:numPr>
          <w:ilvl w:val="0"/>
          <w:numId w:val="14"/>
        </w:numPr>
        <w:spacing w:line="276" w:lineRule="auto"/>
        <w:rPr>
          <w:sz w:val="24"/>
        </w:rPr>
      </w:pPr>
      <w:r w:rsidRPr="00AD3D48">
        <w:rPr>
          <w:sz w:val="24"/>
        </w:rPr>
        <w:t xml:space="preserve">Lu, X. et al. </w:t>
      </w:r>
      <w:r w:rsidR="00AD3D48" w:rsidRPr="00AD3D48">
        <w:rPr>
          <w:sz w:val="24"/>
        </w:rPr>
        <w:t xml:space="preserve">Observation-derived 2010-2019 trends in methane emissions and intensities from US oil and gas fields tied to activity metrics. PNAS, </w:t>
      </w:r>
      <w:hyperlink r:id="rId118" w:history="1">
        <w:r w:rsidR="00AD3D48" w:rsidRPr="00AD3D48">
          <w:rPr>
            <w:rStyle w:val="Hyperlink"/>
            <w:sz w:val="24"/>
          </w:rPr>
          <w:t>https://doi.org/10.1073/pnas.2217900120</w:t>
        </w:r>
      </w:hyperlink>
      <w:r w:rsidR="00AD3D48" w:rsidRPr="00AD3D48">
        <w:rPr>
          <w:sz w:val="24"/>
        </w:rPr>
        <w:t xml:space="preserve"> (2023)</w:t>
      </w:r>
    </w:p>
    <w:p w14:paraId="532A5033" w14:textId="77777777" w:rsidR="00631B6E" w:rsidRPr="00631B6E" w:rsidRDefault="00631B6E" w:rsidP="00631B6E">
      <w:pPr>
        <w:pStyle w:val="ListParagraph"/>
        <w:numPr>
          <w:ilvl w:val="0"/>
          <w:numId w:val="14"/>
        </w:numPr>
        <w:rPr>
          <w:sz w:val="24"/>
        </w:rPr>
      </w:pPr>
      <w:r w:rsidRPr="00631B6E">
        <w:rPr>
          <w:sz w:val="24"/>
        </w:rPr>
        <w:lastRenderedPageBreak/>
        <w:t xml:space="preserve">Maasakkers, J. D. et al. Gridded Inventory of Annual 2012–2018 U.S. Anthropogenic Methane Emissions, Environ. Sci. Technol., 57, 16276–16288 (2023), https://doi.org/10.1021/acs.est.3c05138. </w:t>
      </w:r>
    </w:p>
    <w:p w14:paraId="6215DA53" w14:textId="77777777" w:rsidR="00631B6E" w:rsidRPr="00CB3C07" w:rsidRDefault="00631B6E" w:rsidP="00CB3C07">
      <w:pPr>
        <w:spacing w:line="276" w:lineRule="auto"/>
        <w:ind w:left="360"/>
        <w:rPr>
          <w:sz w:val="24"/>
        </w:rPr>
      </w:pPr>
    </w:p>
    <w:sectPr w:rsidR="00631B6E" w:rsidRPr="00CB3C07">
      <w:footerReference w:type="default" r:id="rId11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8CCED5" w14:textId="77777777" w:rsidR="00ED5B0E" w:rsidRDefault="00ED5B0E" w:rsidP="008D3945">
      <w:r>
        <w:separator/>
      </w:r>
    </w:p>
  </w:endnote>
  <w:endnote w:type="continuationSeparator" w:id="0">
    <w:p w14:paraId="700412FB" w14:textId="77777777" w:rsidR="00ED5B0E" w:rsidRDefault="00ED5B0E" w:rsidP="008D39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0141179"/>
      <w:docPartObj>
        <w:docPartGallery w:val="Page Numbers (Bottom of Page)"/>
        <w:docPartUnique/>
      </w:docPartObj>
    </w:sdtPr>
    <w:sdtEndPr>
      <w:rPr>
        <w:noProof/>
      </w:rPr>
    </w:sdtEndPr>
    <w:sdtContent>
      <w:p w14:paraId="02CD1ACA" w14:textId="77777777" w:rsidR="00204077" w:rsidRDefault="0020407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1895894" w14:textId="77777777" w:rsidR="00204077" w:rsidRDefault="00204077">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34536242"/>
      <w:docPartObj>
        <w:docPartGallery w:val="Page Numbers (Bottom of Page)"/>
        <w:docPartUnique/>
      </w:docPartObj>
    </w:sdtPr>
    <w:sdtEndPr>
      <w:rPr>
        <w:noProof/>
      </w:rPr>
    </w:sdtEndPr>
    <w:sdtContent>
      <w:p w14:paraId="37421C39" w14:textId="77777777" w:rsidR="002B0A5C" w:rsidRDefault="002B0A5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E417B56" w14:textId="77777777" w:rsidR="002B0A5C" w:rsidRDefault="002B0A5C">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2673744"/>
      <w:docPartObj>
        <w:docPartGallery w:val="Page Numbers (Bottom of Page)"/>
        <w:docPartUnique/>
      </w:docPartObj>
    </w:sdtPr>
    <w:sdtEndPr>
      <w:rPr>
        <w:noProof/>
      </w:rPr>
    </w:sdtEndPr>
    <w:sdtContent>
      <w:p w14:paraId="06C9384F" w14:textId="77777777" w:rsidR="00D41461" w:rsidRDefault="00D4146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81F042" w14:textId="77777777" w:rsidR="00D41461" w:rsidRDefault="00D41461">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9418094"/>
      <w:docPartObj>
        <w:docPartGallery w:val="Page Numbers (Bottom of Page)"/>
        <w:docPartUnique/>
      </w:docPartObj>
    </w:sdtPr>
    <w:sdtEndPr>
      <w:rPr>
        <w:noProof/>
      </w:rPr>
    </w:sdtEndPr>
    <w:sdtContent>
      <w:p w14:paraId="58FE7BFF" w14:textId="77777777" w:rsidR="00B0074E" w:rsidRDefault="00B0074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5E7CFD0" w14:textId="77777777" w:rsidR="00B0074E" w:rsidRDefault="00B0074E">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63591023"/>
      <w:docPartObj>
        <w:docPartGallery w:val="Page Numbers (Bottom of Page)"/>
        <w:docPartUnique/>
      </w:docPartObj>
    </w:sdtPr>
    <w:sdtEndPr>
      <w:rPr>
        <w:noProof/>
      </w:rPr>
    </w:sdtEndPr>
    <w:sdtContent>
      <w:p w14:paraId="4E553C4D" w14:textId="77777777" w:rsidR="00AC5694" w:rsidRDefault="00AC569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6F73BF3" w14:textId="77777777" w:rsidR="00AC5694" w:rsidRDefault="00AC5694">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9407505"/>
      <w:docPartObj>
        <w:docPartGallery w:val="Page Numbers (Bottom of Page)"/>
        <w:docPartUnique/>
      </w:docPartObj>
    </w:sdtPr>
    <w:sdtEndPr>
      <w:rPr>
        <w:noProof/>
      </w:rPr>
    </w:sdtEndPr>
    <w:sdtContent>
      <w:p w14:paraId="6D1796CC" w14:textId="77777777" w:rsidR="00423FA8" w:rsidRDefault="00423FA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D00F437" w14:textId="77777777" w:rsidR="00423FA8" w:rsidRDefault="00423FA8">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31869503"/>
      <w:docPartObj>
        <w:docPartGallery w:val="Page Numbers (Bottom of Page)"/>
        <w:docPartUnique/>
      </w:docPartObj>
    </w:sdtPr>
    <w:sdtEndPr>
      <w:rPr>
        <w:noProof/>
      </w:rPr>
    </w:sdtEndPr>
    <w:sdtContent>
      <w:p w14:paraId="254A6BCB" w14:textId="77777777" w:rsidR="00230E0C" w:rsidRDefault="00230E0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3161A3F" w14:textId="77777777" w:rsidR="00230E0C" w:rsidRDefault="00230E0C">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87828509"/>
      <w:docPartObj>
        <w:docPartGallery w:val="Page Numbers (Bottom of Page)"/>
        <w:docPartUnique/>
      </w:docPartObj>
    </w:sdtPr>
    <w:sdtEndPr>
      <w:rPr>
        <w:noProof/>
      </w:rPr>
    </w:sdtEndPr>
    <w:sdtContent>
      <w:p w14:paraId="0E435B0F" w14:textId="77777777" w:rsidR="00D433E2" w:rsidRDefault="00D433E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0916FB" w14:textId="77777777" w:rsidR="00D433E2" w:rsidRDefault="00D433E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77082342"/>
      <w:docPartObj>
        <w:docPartGallery w:val="Page Numbers (Bottom of Page)"/>
        <w:docPartUnique/>
      </w:docPartObj>
    </w:sdtPr>
    <w:sdtEndPr>
      <w:rPr>
        <w:noProof/>
      </w:rPr>
    </w:sdtEndPr>
    <w:sdtContent>
      <w:p w14:paraId="7478C91F" w14:textId="77777777" w:rsidR="00AF1489" w:rsidRDefault="00AF148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8C8A1C5" w14:textId="77777777" w:rsidR="00AF1489" w:rsidRDefault="00AF1489">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92958467"/>
      <w:docPartObj>
        <w:docPartGallery w:val="Page Numbers (Bottom of Page)"/>
        <w:docPartUnique/>
      </w:docPartObj>
    </w:sdtPr>
    <w:sdtEndPr>
      <w:rPr>
        <w:noProof/>
      </w:rPr>
    </w:sdtEndPr>
    <w:sdtContent>
      <w:p w14:paraId="0218E530" w14:textId="77777777" w:rsidR="004745D0" w:rsidRDefault="004745D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01D1F0F" w14:textId="77777777" w:rsidR="004745D0" w:rsidRDefault="004745D0">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57260767"/>
      <w:docPartObj>
        <w:docPartGallery w:val="Page Numbers (Bottom of Page)"/>
        <w:docPartUnique/>
      </w:docPartObj>
    </w:sdtPr>
    <w:sdtEndPr>
      <w:rPr>
        <w:noProof/>
      </w:rPr>
    </w:sdtEndPr>
    <w:sdtContent>
      <w:p w14:paraId="643A94DD" w14:textId="77777777" w:rsidR="00D46E40" w:rsidRDefault="00D46E4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66DDD18" w14:textId="77777777" w:rsidR="00D46E40" w:rsidRDefault="00D46E4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71891172"/>
      <w:docPartObj>
        <w:docPartGallery w:val="Page Numbers (Bottom of Page)"/>
        <w:docPartUnique/>
      </w:docPartObj>
    </w:sdtPr>
    <w:sdtEndPr>
      <w:rPr>
        <w:noProof/>
      </w:rPr>
    </w:sdtEndPr>
    <w:sdtContent>
      <w:p w14:paraId="02E10FD7" w14:textId="77777777" w:rsidR="001E7A9F" w:rsidRDefault="001E7A9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F296F38" w14:textId="77777777" w:rsidR="001E7A9F" w:rsidRDefault="001E7A9F">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0359966"/>
      <w:docPartObj>
        <w:docPartGallery w:val="Page Numbers (Bottom of Page)"/>
        <w:docPartUnique/>
      </w:docPartObj>
    </w:sdtPr>
    <w:sdtEndPr>
      <w:rPr>
        <w:noProof/>
      </w:rPr>
    </w:sdtEndPr>
    <w:sdtContent>
      <w:p w14:paraId="0F689E53" w14:textId="77777777" w:rsidR="001F6E52" w:rsidRDefault="001F6E5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B8E916C" w14:textId="77777777" w:rsidR="001F6E52" w:rsidRDefault="001F6E5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96338365"/>
      <w:docPartObj>
        <w:docPartGallery w:val="Page Numbers (Bottom of Page)"/>
        <w:docPartUnique/>
      </w:docPartObj>
    </w:sdtPr>
    <w:sdtEndPr>
      <w:rPr>
        <w:noProof/>
      </w:rPr>
    </w:sdtEndPr>
    <w:sdtContent>
      <w:p w14:paraId="34B610BA" w14:textId="77777777" w:rsidR="00CF261D" w:rsidRDefault="00CF261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7AC7507" w14:textId="77777777" w:rsidR="00CF261D" w:rsidRDefault="00CF261D">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97007094"/>
      <w:docPartObj>
        <w:docPartGallery w:val="Page Numbers (Bottom of Page)"/>
        <w:docPartUnique/>
      </w:docPartObj>
    </w:sdtPr>
    <w:sdtEndPr>
      <w:rPr>
        <w:noProof/>
      </w:rPr>
    </w:sdtEndPr>
    <w:sdtContent>
      <w:p w14:paraId="094A173F" w14:textId="77777777" w:rsidR="00CE5C89" w:rsidRDefault="00CE5C8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A6A7B77" w14:textId="77777777" w:rsidR="00CE5C89" w:rsidRDefault="00CE5C89">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03882270"/>
      <w:docPartObj>
        <w:docPartGallery w:val="Page Numbers (Bottom of Page)"/>
        <w:docPartUnique/>
      </w:docPartObj>
    </w:sdtPr>
    <w:sdtEndPr>
      <w:rPr>
        <w:noProof/>
      </w:rPr>
    </w:sdtEndPr>
    <w:sdtContent>
      <w:p w14:paraId="4975D41B" w14:textId="77777777" w:rsidR="00C011C2" w:rsidRDefault="00C011C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856F496" w14:textId="77777777" w:rsidR="00C011C2" w:rsidRDefault="00C011C2">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08435013"/>
      <w:docPartObj>
        <w:docPartGallery w:val="Page Numbers (Bottom of Page)"/>
        <w:docPartUnique/>
      </w:docPartObj>
    </w:sdtPr>
    <w:sdtEndPr>
      <w:rPr>
        <w:noProof/>
      </w:rPr>
    </w:sdtEndPr>
    <w:sdtContent>
      <w:p w14:paraId="0956F7A2" w14:textId="77777777" w:rsidR="0071245A" w:rsidRDefault="0071245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866A870" w14:textId="77777777" w:rsidR="0071245A" w:rsidRDefault="0071245A">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52041082"/>
      <w:docPartObj>
        <w:docPartGallery w:val="Page Numbers (Bottom of Page)"/>
        <w:docPartUnique/>
      </w:docPartObj>
    </w:sdtPr>
    <w:sdtEndPr>
      <w:rPr>
        <w:noProof/>
      </w:rPr>
    </w:sdtEndPr>
    <w:sdtContent>
      <w:p w14:paraId="7299D49E" w14:textId="77777777" w:rsidR="006F581F" w:rsidRDefault="006F581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27EA35E" w14:textId="77777777" w:rsidR="006F581F" w:rsidRDefault="006F581F">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4588956"/>
      <w:docPartObj>
        <w:docPartGallery w:val="Page Numbers (Bottom of Page)"/>
        <w:docPartUnique/>
      </w:docPartObj>
    </w:sdtPr>
    <w:sdtEndPr>
      <w:rPr>
        <w:noProof/>
      </w:rPr>
    </w:sdtEndPr>
    <w:sdtContent>
      <w:p w14:paraId="0AEDD3B5" w14:textId="77777777" w:rsidR="00650C33" w:rsidRDefault="00650C3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0DF82D8" w14:textId="77777777" w:rsidR="00650C33" w:rsidRDefault="00650C33">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5667874"/>
      <w:docPartObj>
        <w:docPartGallery w:val="Page Numbers (Bottom of Page)"/>
        <w:docPartUnique/>
      </w:docPartObj>
    </w:sdtPr>
    <w:sdtEndPr>
      <w:rPr>
        <w:noProof/>
      </w:rPr>
    </w:sdtEndPr>
    <w:sdtContent>
      <w:p w14:paraId="2F7CEBB7" w14:textId="77777777" w:rsidR="00383D30" w:rsidRDefault="00383D3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66B85FF" w14:textId="77777777" w:rsidR="00383D30" w:rsidRDefault="00383D30">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05657896"/>
      <w:docPartObj>
        <w:docPartGallery w:val="Page Numbers (Bottom of Page)"/>
        <w:docPartUnique/>
      </w:docPartObj>
    </w:sdtPr>
    <w:sdtEndPr>
      <w:rPr>
        <w:noProof/>
      </w:rPr>
    </w:sdtEndPr>
    <w:sdtContent>
      <w:p w14:paraId="4D2DF911" w14:textId="4F73C214" w:rsidR="008D3945" w:rsidRDefault="008D394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8D04A57" w14:textId="77777777" w:rsidR="008D3945" w:rsidRDefault="008D394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08338537"/>
      <w:docPartObj>
        <w:docPartGallery w:val="Page Numbers (Bottom of Page)"/>
        <w:docPartUnique/>
      </w:docPartObj>
    </w:sdtPr>
    <w:sdtEndPr>
      <w:rPr>
        <w:noProof/>
      </w:rPr>
    </w:sdtEndPr>
    <w:sdtContent>
      <w:p w14:paraId="1C87C29D" w14:textId="77777777" w:rsidR="00AA1AAE" w:rsidRDefault="00AA1AA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F41C719" w14:textId="77777777" w:rsidR="00AA1AAE" w:rsidRDefault="00AA1AA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55269112"/>
      <w:docPartObj>
        <w:docPartGallery w:val="Page Numbers (Bottom of Page)"/>
        <w:docPartUnique/>
      </w:docPartObj>
    </w:sdtPr>
    <w:sdtEndPr>
      <w:rPr>
        <w:noProof/>
      </w:rPr>
    </w:sdtEndPr>
    <w:sdtContent>
      <w:p w14:paraId="44E3603C" w14:textId="77777777" w:rsidR="00EE5CFB" w:rsidRDefault="00EE5CF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1EFB28A" w14:textId="77777777" w:rsidR="00EE5CFB" w:rsidRDefault="00EE5CF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60077"/>
      <w:docPartObj>
        <w:docPartGallery w:val="Page Numbers (Bottom of Page)"/>
        <w:docPartUnique/>
      </w:docPartObj>
    </w:sdtPr>
    <w:sdtEndPr>
      <w:rPr>
        <w:noProof/>
      </w:rPr>
    </w:sdtEndPr>
    <w:sdtContent>
      <w:p w14:paraId="521618C8" w14:textId="77777777" w:rsidR="006E1C4A" w:rsidRDefault="006E1C4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4C18A1F" w14:textId="77777777" w:rsidR="006E1C4A" w:rsidRDefault="006E1C4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31148346"/>
      <w:docPartObj>
        <w:docPartGallery w:val="Page Numbers (Bottom of Page)"/>
        <w:docPartUnique/>
      </w:docPartObj>
    </w:sdtPr>
    <w:sdtEndPr>
      <w:rPr>
        <w:noProof/>
      </w:rPr>
    </w:sdtEndPr>
    <w:sdtContent>
      <w:p w14:paraId="4DBD6AE5" w14:textId="77777777" w:rsidR="006E37A4" w:rsidRDefault="006E37A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6BABC76" w14:textId="77777777" w:rsidR="006E37A4" w:rsidRDefault="006E37A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68185776"/>
      <w:docPartObj>
        <w:docPartGallery w:val="Page Numbers (Bottom of Page)"/>
        <w:docPartUnique/>
      </w:docPartObj>
    </w:sdtPr>
    <w:sdtEndPr>
      <w:rPr>
        <w:noProof/>
      </w:rPr>
    </w:sdtEndPr>
    <w:sdtContent>
      <w:p w14:paraId="60B112AE" w14:textId="77777777" w:rsidR="0012212A" w:rsidRDefault="0012212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42685F7" w14:textId="77777777" w:rsidR="0012212A" w:rsidRDefault="0012212A">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03876854"/>
      <w:docPartObj>
        <w:docPartGallery w:val="Page Numbers (Bottom of Page)"/>
        <w:docPartUnique/>
      </w:docPartObj>
    </w:sdtPr>
    <w:sdtEndPr>
      <w:rPr>
        <w:noProof/>
      </w:rPr>
    </w:sdtEndPr>
    <w:sdtContent>
      <w:p w14:paraId="617BEC1A" w14:textId="77777777" w:rsidR="006806F8" w:rsidRDefault="006806F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A1D7F7A" w14:textId="77777777" w:rsidR="006806F8" w:rsidRDefault="006806F8">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61834126"/>
      <w:docPartObj>
        <w:docPartGallery w:val="Page Numbers (Bottom of Page)"/>
        <w:docPartUnique/>
      </w:docPartObj>
    </w:sdtPr>
    <w:sdtEndPr>
      <w:rPr>
        <w:noProof/>
      </w:rPr>
    </w:sdtEndPr>
    <w:sdtContent>
      <w:p w14:paraId="0340F9E8" w14:textId="77777777" w:rsidR="00FA6981" w:rsidRDefault="00FA698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EBFF226" w14:textId="77777777" w:rsidR="00FA6981" w:rsidRDefault="00FA69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03B770" w14:textId="77777777" w:rsidR="00ED5B0E" w:rsidRDefault="00ED5B0E" w:rsidP="008D3945">
      <w:r>
        <w:separator/>
      </w:r>
    </w:p>
  </w:footnote>
  <w:footnote w:type="continuationSeparator" w:id="0">
    <w:p w14:paraId="2A46E696" w14:textId="77777777" w:rsidR="00ED5B0E" w:rsidRDefault="00ED5B0E" w:rsidP="008D394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23CA83A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07824456"/>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28E2B1F0"/>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F7D8D18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B100E6A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36E589E"/>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D28F10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972793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4F23AA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6302CB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C1B28EF"/>
    <w:multiLevelType w:val="hybridMultilevel"/>
    <w:tmpl w:val="A05E9D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00413F1"/>
    <w:multiLevelType w:val="multilevel"/>
    <w:tmpl w:val="797E79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D4C0930"/>
    <w:multiLevelType w:val="hybridMultilevel"/>
    <w:tmpl w:val="DE946A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02A41AB"/>
    <w:multiLevelType w:val="multilevel"/>
    <w:tmpl w:val="FE746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8EB25E6"/>
    <w:multiLevelType w:val="multilevel"/>
    <w:tmpl w:val="1E38B7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92001765">
    <w:abstractNumId w:val="0"/>
  </w:num>
  <w:num w:numId="2" w16cid:durableId="802160837">
    <w:abstractNumId w:val="1"/>
  </w:num>
  <w:num w:numId="3" w16cid:durableId="27031133">
    <w:abstractNumId w:val="2"/>
  </w:num>
  <w:num w:numId="4" w16cid:durableId="1315914570">
    <w:abstractNumId w:val="3"/>
  </w:num>
  <w:num w:numId="5" w16cid:durableId="1226449525">
    <w:abstractNumId w:val="8"/>
  </w:num>
  <w:num w:numId="6" w16cid:durableId="1633093705">
    <w:abstractNumId w:val="4"/>
  </w:num>
  <w:num w:numId="7" w16cid:durableId="1589537084">
    <w:abstractNumId w:val="5"/>
  </w:num>
  <w:num w:numId="8" w16cid:durableId="589436927">
    <w:abstractNumId w:val="6"/>
  </w:num>
  <w:num w:numId="9" w16cid:durableId="497422823">
    <w:abstractNumId w:val="7"/>
  </w:num>
  <w:num w:numId="10" w16cid:durableId="1194003134">
    <w:abstractNumId w:val="9"/>
  </w:num>
  <w:num w:numId="11" w16cid:durableId="1633560076">
    <w:abstractNumId w:val="11"/>
  </w:num>
  <w:num w:numId="12" w16cid:durableId="548303365">
    <w:abstractNumId w:val="13"/>
  </w:num>
  <w:num w:numId="13" w16cid:durableId="1339384955">
    <w:abstractNumId w:val="14"/>
  </w:num>
  <w:num w:numId="14" w16cid:durableId="13382320">
    <w:abstractNumId w:val="10"/>
  </w:num>
  <w:num w:numId="15" w16cid:durableId="181536737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742B"/>
    <w:rsid w:val="00013220"/>
    <w:rsid w:val="00015E31"/>
    <w:rsid w:val="00024EF1"/>
    <w:rsid w:val="00026DFF"/>
    <w:rsid w:val="000462E8"/>
    <w:rsid w:val="000505B4"/>
    <w:rsid w:val="00086999"/>
    <w:rsid w:val="000A0114"/>
    <w:rsid w:val="000A7E19"/>
    <w:rsid w:val="000C6596"/>
    <w:rsid w:val="000E4290"/>
    <w:rsid w:val="000E5A74"/>
    <w:rsid w:val="000F0B4A"/>
    <w:rsid w:val="000F4B26"/>
    <w:rsid w:val="00101C9B"/>
    <w:rsid w:val="001054CA"/>
    <w:rsid w:val="00110105"/>
    <w:rsid w:val="001164C5"/>
    <w:rsid w:val="0012212A"/>
    <w:rsid w:val="001339AE"/>
    <w:rsid w:val="00153137"/>
    <w:rsid w:val="001659F2"/>
    <w:rsid w:val="0017522A"/>
    <w:rsid w:val="001D78AB"/>
    <w:rsid w:val="001E4FB6"/>
    <w:rsid w:val="001E7A9F"/>
    <w:rsid w:val="001F0008"/>
    <w:rsid w:val="001F34B1"/>
    <w:rsid w:val="001F4F31"/>
    <w:rsid w:val="001F6C67"/>
    <w:rsid w:val="001F6E52"/>
    <w:rsid w:val="00204077"/>
    <w:rsid w:val="00207A93"/>
    <w:rsid w:val="00210876"/>
    <w:rsid w:val="00224390"/>
    <w:rsid w:val="00230E0C"/>
    <w:rsid w:val="00242AFF"/>
    <w:rsid w:val="002668AE"/>
    <w:rsid w:val="00270760"/>
    <w:rsid w:val="00275D3C"/>
    <w:rsid w:val="00282FC5"/>
    <w:rsid w:val="002975C4"/>
    <w:rsid w:val="002B0A5C"/>
    <w:rsid w:val="002B15EA"/>
    <w:rsid w:val="002D6D6C"/>
    <w:rsid w:val="002E0D27"/>
    <w:rsid w:val="002E0EC6"/>
    <w:rsid w:val="002E4C4C"/>
    <w:rsid w:val="003051BE"/>
    <w:rsid w:val="00320FD3"/>
    <w:rsid w:val="0032493E"/>
    <w:rsid w:val="00325393"/>
    <w:rsid w:val="0033361F"/>
    <w:rsid w:val="00365268"/>
    <w:rsid w:val="00366149"/>
    <w:rsid w:val="00371990"/>
    <w:rsid w:val="00383D30"/>
    <w:rsid w:val="003A0AA1"/>
    <w:rsid w:val="003B742B"/>
    <w:rsid w:val="003C282D"/>
    <w:rsid w:val="003D3142"/>
    <w:rsid w:val="003F0281"/>
    <w:rsid w:val="00401DCA"/>
    <w:rsid w:val="0041339D"/>
    <w:rsid w:val="00413D78"/>
    <w:rsid w:val="0041470C"/>
    <w:rsid w:val="004160F9"/>
    <w:rsid w:val="00423FA8"/>
    <w:rsid w:val="004261AE"/>
    <w:rsid w:val="004269A9"/>
    <w:rsid w:val="00433760"/>
    <w:rsid w:val="0044208B"/>
    <w:rsid w:val="0047139D"/>
    <w:rsid w:val="00471E13"/>
    <w:rsid w:val="004745D0"/>
    <w:rsid w:val="00491715"/>
    <w:rsid w:val="00492FE6"/>
    <w:rsid w:val="004A0362"/>
    <w:rsid w:val="004A7B79"/>
    <w:rsid w:val="004D4CDC"/>
    <w:rsid w:val="004F436C"/>
    <w:rsid w:val="00524AD0"/>
    <w:rsid w:val="00525E1D"/>
    <w:rsid w:val="00545C89"/>
    <w:rsid w:val="00546D4F"/>
    <w:rsid w:val="0056611F"/>
    <w:rsid w:val="005959FC"/>
    <w:rsid w:val="005A3CAB"/>
    <w:rsid w:val="005B41EF"/>
    <w:rsid w:val="005D626A"/>
    <w:rsid w:val="005F13C8"/>
    <w:rsid w:val="00602EC8"/>
    <w:rsid w:val="00627B72"/>
    <w:rsid w:val="00631B6E"/>
    <w:rsid w:val="00632A0D"/>
    <w:rsid w:val="006368D5"/>
    <w:rsid w:val="0064462C"/>
    <w:rsid w:val="00646E0A"/>
    <w:rsid w:val="00650C33"/>
    <w:rsid w:val="00652F04"/>
    <w:rsid w:val="00655C3D"/>
    <w:rsid w:val="00662A90"/>
    <w:rsid w:val="006736BA"/>
    <w:rsid w:val="006806F8"/>
    <w:rsid w:val="006916E2"/>
    <w:rsid w:val="006A76D3"/>
    <w:rsid w:val="006B532B"/>
    <w:rsid w:val="006C083A"/>
    <w:rsid w:val="006C2A11"/>
    <w:rsid w:val="006C320A"/>
    <w:rsid w:val="006C423B"/>
    <w:rsid w:val="006C584F"/>
    <w:rsid w:val="006E1C4A"/>
    <w:rsid w:val="006E37A4"/>
    <w:rsid w:val="006F0442"/>
    <w:rsid w:val="006F2FA4"/>
    <w:rsid w:val="006F55F1"/>
    <w:rsid w:val="006F581F"/>
    <w:rsid w:val="006F62DC"/>
    <w:rsid w:val="0071245A"/>
    <w:rsid w:val="00723872"/>
    <w:rsid w:val="0073141F"/>
    <w:rsid w:val="00737683"/>
    <w:rsid w:val="00740843"/>
    <w:rsid w:val="00742938"/>
    <w:rsid w:val="00752881"/>
    <w:rsid w:val="007537E1"/>
    <w:rsid w:val="00760E68"/>
    <w:rsid w:val="00763FD3"/>
    <w:rsid w:val="00771DB9"/>
    <w:rsid w:val="00786602"/>
    <w:rsid w:val="007A456C"/>
    <w:rsid w:val="007A737C"/>
    <w:rsid w:val="007C67A9"/>
    <w:rsid w:val="007D7B97"/>
    <w:rsid w:val="007D7F77"/>
    <w:rsid w:val="007E3E8C"/>
    <w:rsid w:val="007E5BFF"/>
    <w:rsid w:val="00823A81"/>
    <w:rsid w:val="00826822"/>
    <w:rsid w:val="008556F7"/>
    <w:rsid w:val="00863CA1"/>
    <w:rsid w:val="0088495B"/>
    <w:rsid w:val="00891940"/>
    <w:rsid w:val="008926C6"/>
    <w:rsid w:val="008B37BB"/>
    <w:rsid w:val="008B3C03"/>
    <w:rsid w:val="008B79DD"/>
    <w:rsid w:val="008C1E7F"/>
    <w:rsid w:val="008C73EF"/>
    <w:rsid w:val="008C7888"/>
    <w:rsid w:val="008D2407"/>
    <w:rsid w:val="008D3945"/>
    <w:rsid w:val="00905C4B"/>
    <w:rsid w:val="00905D9A"/>
    <w:rsid w:val="00906049"/>
    <w:rsid w:val="00910ED5"/>
    <w:rsid w:val="0091277F"/>
    <w:rsid w:val="00917769"/>
    <w:rsid w:val="00926DCE"/>
    <w:rsid w:val="0093026A"/>
    <w:rsid w:val="00947887"/>
    <w:rsid w:val="00953A14"/>
    <w:rsid w:val="00953B8A"/>
    <w:rsid w:val="009550D4"/>
    <w:rsid w:val="009626D1"/>
    <w:rsid w:val="00984395"/>
    <w:rsid w:val="00991EF7"/>
    <w:rsid w:val="009B3ED4"/>
    <w:rsid w:val="009B4A47"/>
    <w:rsid w:val="009B5BB0"/>
    <w:rsid w:val="009C1F5C"/>
    <w:rsid w:val="009E2136"/>
    <w:rsid w:val="009F61A1"/>
    <w:rsid w:val="00A04F19"/>
    <w:rsid w:val="00A1112B"/>
    <w:rsid w:val="00A1139C"/>
    <w:rsid w:val="00A11DEA"/>
    <w:rsid w:val="00A17DE2"/>
    <w:rsid w:val="00A21561"/>
    <w:rsid w:val="00A30093"/>
    <w:rsid w:val="00A3246F"/>
    <w:rsid w:val="00A61E8C"/>
    <w:rsid w:val="00A6233E"/>
    <w:rsid w:val="00A744FA"/>
    <w:rsid w:val="00A81B22"/>
    <w:rsid w:val="00A94D3A"/>
    <w:rsid w:val="00AA1AAE"/>
    <w:rsid w:val="00AC5694"/>
    <w:rsid w:val="00AC7932"/>
    <w:rsid w:val="00AD3D48"/>
    <w:rsid w:val="00AD4CF8"/>
    <w:rsid w:val="00AD7A52"/>
    <w:rsid w:val="00AF008F"/>
    <w:rsid w:val="00AF1489"/>
    <w:rsid w:val="00B0074E"/>
    <w:rsid w:val="00B15D6E"/>
    <w:rsid w:val="00B25D56"/>
    <w:rsid w:val="00B46DE4"/>
    <w:rsid w:val="00B6173A"/>
    <w:rsid w:val="00B70777"/>
    <w:rsid w:val="00B746EC"/>
    <w:rsid w:val="00B83F65"/>
    <w:rsid w:val="00BC4119"/>
    <w:rsid w:val="00BC6745"/>
    <w:rsid w:val="00BD0C88"/>
    <w:rsid w:val="00BD2CA1"/>
    <w:rsid w:val="00BD551C"/>
    <w:rsid w:val="00BD79A4"/>
    <w:rsid w:val="00BE52A3"/>
    <w:rsid w:val="00BF2E8B"/>
    <w:rsid w:val="00C011C2"/>
    <w:rsid w:val="00C15138"/>
    <w:rsid w:val="00C15772"/>
    <w:rsid w:val="00C17528"/>
    <w:rsid w:val="00C24C75"/>
    <w:rsid w:val="00C32896"/>
    <w:rsid w:val="00C52B38"/>
    <w:rsid w:val="00C64886"/>
    <w:rsid w:val="00C75ED2"/>
    <w:rsid w:val="00CB2E46"/>
    <w:rsid w:val="00CB3C07"/>
    <w:rsid w:val="00CB5F61"/>
    <w:rsid w:val="00CC2BB6"/>
    <w:rsid w:val="00CC7AA6"/>
    <w:rsid w:val="00CD4DA7"/>
    <w:rsid w:val="00CD5AF8"/>
    <w:rsid w:val="00CE5C89"/>
    <w:rsid w:val="00CE72F3"/>
    <w:rsid w:val="00CF261D"/>
    <w:rsid w:val="00D118CD"/>
    <w:rsid w:val="00D3153A"/>
    <w:rsid w:val="00D41461"/>
    <w:rsid w:val="00D433E2"/>
    <w:rsid w:val="00D46E40"/>
    <w:rsid w:val="00D64C20"/>
    <w:rsid w:val="00D7299A"/>
    <w:rsid w:val="00D902E9"/>
    <w:rsid w:val="00DA45FB"/>
    <w:rsid w:val="00DB269E"/>
    <w:rsid w:val="00DB566D"/>
    <w:rsid w:val="00DD06D8"/>
    <w:rsid w:val="00DF4506"/>
    <w:rsid w:val="00DF45F3"/>
    <w:rsid w:val="00DF49C6"/>
    <w:rsid w:val="00E00230"/>
    <w:rsid w:val="00E040D2"/>
    <w:rsid w:val="00E07A08"/>
    <w:rsid w:val="00E1274C"/>
    <w:rsid w:val="00E178D6"/>
    <w:rsid w:val="00E237C0"/>
    <w:rsid w:val="00E2793C"/>
    <w:rsid w:val="00E4157E"/>
    <w:rsid w:val="00E453D7"/>
    <w:rsid w:val="00E533BF"/>
    <w:rsid w:val="00E66F94"/>
    <w:rsid w:val="00E766E2"/>
    <w:rsid w:val="00E829D4"/>
    <w:rsid w:val="00E90C91"/>
    <w:rsid w:val="00E962DC"/>
    <w:rsid w:val="00EA2CFF"/>
    <w:rsid w:val="00EB7BE0"/>
    <w:rsid w:val="00EB7FFC"/>
    <w:rsid w:val="00ED4F4A"/>
    <w:rsid w:val="00ED5B0E"/>
    <w:rsid w:val="00EE014E"/>
    <w:rsid w:val="00EE5CFB"/>
    <w:rsid w:val="00F07751"/>
    <w:rsid w:val="00F16393"/>
    <w:rsid w:val="00F23E85"/>
    <w:rsid w:val="00F25A05"/>
    <w:rsid w:val="00F30DC3"/>
    <w:rsid w:val="00F40890"/>
    <w:rsid w:val="00F616E9"/>
    <w:rsid w:val="00F62FC0"/>
    <w:rsid w:val="00F75AED"/>
    <w:rsid w:val="00F854DA"/>
    <w:rsid w:val="00F95318"/>
    <w:rsid w:val="00FA6981"/>
    <w:rsid w:val="00FB2CC9"/>
    <w:rsid w:val="00FD166E"/>
    <w:rsid w:val="00FD4D29"/>
    <w:rsid w:val="02BD3B18"/>
    <w:rsid w:val="10016B89"/>
    <w:rsid w:val="1C54D911"/>
    <w:rsid w:val="1C8341F8"/>
    <w:rsid w:val="25ACFFF0"/>
    <w:rsid w:val="4ACF65B2"/>
    <w:rsid w:val="5D65DC03"/>
    <w:rsid w:val="61073FAA"/>
    <w:rsid w:val="647A93A9"/>
    <w:rsid w:val="7D8E486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5A659D"/>
  <w15:chartTrackingRefBased/>
  <w15:docId w15:val="{F0A8AF8D-CAA4-4DF0-884D-06010CE355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13C8"/>
    <w:rPr>
      <w:rFonts w:ascii="Arial" w:hAnsi="Arial"/>
      <w:sz w:val="22"/>
    </w:rPr>
  </w:style>
  <w:style w:type="paragraph" w:styleId="Heading1">
    <w:name w:val="heading 1"/>
    <w:basedOn w:val="Normal"/>
    <w:next w:val="Normal"/>
    <w:link w:val="Heading1Char"/>
    <w:uiPriority w:val="9"/>
    <w:qFormat/>
    <w:rsid w:val="006C2A11"/>
    <w:pPr>
      <w:keepNext/>
      <w:keepLines/>
      <w:spacing w:before="240"/>
      <w:outlineLvl w:val="0"/>
    </w:pPr>
    <w:rPr>
      <w:rFonts w:eastAsiaTheme="majorEastAsia" w:cstheme="majorBidi"/>
      <w:b/>
      <w:sz w:val="32"/>
      <w:szCs w:val="32"/>
    </w:rPr>
  </w:style>
  <w:style w:type="paragraph" w:styleId="Heading2">
    <w:name w:val="heading 2"/>
    <w:basedOn w:val="Normal"/>
    <w:next w:val="Normal"/>
    <w:link w:val="Heading2Char"/>
    <w:uiPriority w:val="9"/>
    <w:semiHidden/>
    <w:unhideWhenUsed/>
    <w:qFormat/>
    <w:rsid w:val="006C2A11"/>
    <w:pPr>
      <w:keepNext/>
      <w:keepLines/>
      <w:spacing w:before="40"/>
      <w:outlineLvl w:val="1"/>
    </w:pPr>
    <w:rPr>
      <w:rFonts w:eastAsiaTheme="majorEastAsia" w:cstheme="majorBidi"/>
      <w:sz w:val="28"/>
      <w:szCs w:val="26"/>
    </w:rPr>
  </w:style>
  <w:style w:type="paragraph" w:styleId="Heading3">
    <w:name w:val="heading 3"/>
    <w:basedOn w:val="Normal"/>
    <w:next w:val="Normal"/>
    <w:link w:val="Heading3Char"/>
    <w:uiPriority w:val="9"/>
    <w:semiHidden/>
    <w:unhideWhenUsed/>
    <w:qFormat/>
    <w:rsid w:val="003B742B"/>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3B742B"/>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3B742B"/>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3B742B"/>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3B742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3B742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3B742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C2A11"/>
    <w:rPr>
      <w:rFonts w:ascii="Arial" w:eastAsiaTheme="majorEastAsia" w:hAnsi="Arial" w:cstheme="majorBidi"/>
      <w:b/>
      <w:i w:val="0"/>
      <w:sz w:val="32"/>
      <w:szCs w:val="32"/>
    </w:rPr>
  </w:style>
  <w:style w:type="paragraph" w:styleId="NoSpacing">
    <w:name w:val="No Spacing"/>
    <w:uiPriority w:val="1"/>
    <w:qFormat/>
    <w:rsid w:val="006C2A11"/>
    <w:rPr>
      <w:rFonts w:ascii="Arial" w:hAnsi="Arial"/>
      <w:sz w:val="22"/>
    </w:rPr>
  </w:style>
  <w:style w:type="character" w:customStyle="1" w:styleId="Heading2Char">
    <w:name w:val="Heading 2 Char"/>
    <w:basedOn w:val="DefaultParagraphFont"/>
    <w:link w:val="Heading2"/>
    <w:uiPriority w:val="9"/>
    <w:semiHidden/>
    <w:rsid w:val="006C2A11"/>
    <w:rPr>
      <w:rFonts w:ascii="Arial" w:eastAsiaTheme="majorEastAsia" w:hAnsi="Arial" w:cstheme="majorBidi"/>
      <w:b w:val="0"/>
      <w:i w:val="0"/>
      <w:sz w:val="28"/>
      <w:szCs w:val="26"/>
    </w:rPr>
  </w:style>
  <w:style w:type="paragraph" w:styleId="Title">
    <w:name w:val="Title"/>
    <w:basedOn w:val="Normal"/>
    <w:next w:val="Normal"/>
    <w:link w:val="TitleChar"/>
    <w:uiPriority w:val="10"/>
    <w:qFormat/>
    <w:rsid w:val="006C2A11"/>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6C2A11"/>
    <w:rPr>
      <w:rFonts w:ascii="Arial" w:eastAsiaTheme="majorEastAsia" w:hAnsi="Arial" w:cstheme="majorBidi"/>
      <w:b w:val="0"/>
      <w:i w:val="0"/>
      <w:spacing w:val="-10"/>
      <w:kern w:val="28"/>
      <w:sz w:val="56"/>
      <w:szCs w:val="56"/>
    </w:rPr>
  </w:style>
  <w:style w:type="paragraph" w:styleId="Subtitle">
    <w:name w:val="Subtitle"/>
    <w:basedOn w:val="Normal"/>
    <w:next w:val="Normal"/>
    <w:link w:val="SubtitleChar"/>
    <w:uiPriority w:val="11"/>
    <w:qFormat/>
    <w:rsid w:val="006C2A11"/>
    <w:pPr>
      <w:numPr>
        <w:ilvl w:val="1"/>
      </w:numPr>
      <w:spacing w:after="160"/>
    </w:pPr>
    <w:rPr>
      <w:rFonts w:eastAsiaTheme="minorEastAsia"/>
      <w:color w:val="5A5A5A" w:themeColor="text1" w:themeTint="A5"/>
      <w:spacing w:val="15"/>
      <w:szCs w:val="22"/>
    </w:rPr>
  </w:style>
  <w:style w:type="character" w:customStyle="1" w:styleId="SubtitleChar">
    <w:name w:val="Subtitle Char"/>
    <w:basedOn w:val="DefaultParagraphFont"/>
    <w:link w:val="Subtitle"/>
    <w:uiPriority w:val="11"/>
    <w:rsid w:val="006C2A11"/>
    <w:rPr>
      <w:rFonts w:ascii="Arial" w:eastAsiaTheme="minorEastAsia" w:hAnsi="Arial"/>
      <w:b w:val="0"/>
      <w:i w:val="0"/>
      <w:color w:val="5A5A5A" w:themeColor="text1" w:themeTint="A5"/>
      <w:spacing w:val="15"/>
      <w:sz w:val="22"/>
      <w:szCs w:val="22"/>
    </w:rPr>
  </w:style>
  <w:style w:type="paragraph" w:styleId="IntenseQuote">
    <w:name w:val="Intense Quote"/>
    <w:basedOn w:val="Normal"/>
    <w:next w:val="Normal"/>
    <w:link w:val="IntenseQuoteChar"/>
    <w:uiPriority w:val="30"/>
    <w:qFormat/>
    <w:rsid w:val="00E766E2"/>
    <w:pPr>
      <w:pBdr>
        <w:top w:val="single" w:sz="4" w:space="10" w:color="4472C4" w:themeColor="accent1"/>
        <w:bottom w:val="single" w:sz="4" w:space="10" w:color="4472C4" w:themeColor="accent1"/>
      </w:pBdr>
      <w:spacing w:before="360" w:after="360"/>
      <w:ind w:left="864" w:right="864"/>
      <w:jc w:val="center"/>
    </w:pPr>
    <w:rPr>
      <w:b/>
      <w:iCs/>
    </w:rPr>
  </w:style>
  <w:style w:type="paragraph" w:styleId="BodyText">
    <w:name w:val="Body Text"/>
    <w:basedOn w:val="Normal"/>
    <w:link w:val="BodyTextChar"/>
    <w:uiPriority w:val="99"/>
    <w:semiHidden/>
    <w:unhideWhenUsed/>
    <w:rsid w:val="00E766E2"/>
    <w:pPr>
      <w:spacing w:after="120"/>
    </w:pPr>
  </w:style>
  <w:style w:type="character" w:customStyle="1" w:styleId="BodyTextChar">
    <w:name w:val="Body Text Char"/>
    <w:basedOn w:val="DefaultParagraphFont"/>
    <w:link w:val="BodyText"/>
    <w:uiPriority w:val="99"/>
    <w:semiHidden/>
    <w:rsid w:val="00E766E2"/>
    <w:rPr>
      <w:rFonts w:ascii="Arial" w:hAnsi="Arial"/>
      <w:b w:val="0"/>
      <w:i w:val="0"/>
      <w:sz w:val="22"/>
    </w:rPr>
  </w:style>
  <w:style w:type="paragraph" w:styleId="ListParagraph">
    <w:name w:val="List Paragraph"/>
    <w:basedOn w:val="Normal"/>
    <w:uiPriority w:val="34"/>
    <w:qFormat/>
    <w:rsid w:val="00E766E2"/>
    <w:pPr>
      <w:ind w:left="720"/>
      <w:contextualSpacing/>
    </w:pPr>
  </w:style>
  <w:style w:type="character" w:customStyle="1" w:styleId="IntenseQuoteChar">
    <w:name w:val="Intense Quote Char"/>
    <w:basedOn w:val="DefaultParagraphFont"/>
    <w:link w:val="IntenseQuote"/>
    <w:uiPriority w:val="30"/>
    <w:rsid w:val="00E766E2"/>
    <w:rPr>
      <w:rFonts w:ascii="Arial" w:hAnsi="Arial"/>
      <w:b/>
      <w:i w:val="0"/>
      <w:iCs/>
      <w:sz w:val="22"/>
    </w:rPr>
  </w:style>
  <w:style w:type="character" w:styleId="Emphasis">
    <w:name w:val="Emphasis"/>
    <w:basedOn w:val="DefaultParagraphFont"/>
    <w:uiPriority w:val="20"/>
    <w:qFormat/>
    <w:rsid w:val="00E766E2"/>
    <w:rPr>
      <w:rFonts w:ascii="Arial" w:hAnsi="Arial"/>
      <w:b w:val="0"/>
      <w:i/>
      <w:iCs/>
      <w:sz w:val="22"/>
    </w:rPr>
  </w:style>
  <w:style w:type="character" w:styleId="Strong">
    <w:name w:val="Strong"/>
    <w:basedOn w:val="DefaultParagraphFont"/>
    <w:uiPriority w:val="22"/>
    <w:qFormat/>
    <w:rsid w:val="00E766E2"/>
    <w:rPr>
      <w:rFonts w:ascii="Arial" w:hAnsi="Arial"/>
      <w:b/>
      <w:bCs/>
      <w:i w:val="0"/>
      <w:sz w:val="22"/>
    </w:rPr>
  </w:style>
  <w:style w:type="character" w:styleId="SubtleReference">
    <w:name w:val="Subtle Reference"/>
    <w:basedOn w:val="DefaultParagraphFont"/>
    <w:uiPriority w:val="31"/>
    <w:qFormat/>
    <w:rsid w:val="00E766E2"/>
    <w:rPr>
      <w:rFonts w:ascii="Arial" w:hAnsi="Arial"/>
      <w:b w:val="0"/>
      <w:i w:val="0"/>
      <w:caps/>
      <w:smallCaps w:val="0"/>
      <w:color w:val="5A5A5A" w:themeColor="text1" w:themeTint="A5"/>
      <w:sz w:val="20"/>
    </w:rPr>
  </w:style>
  <w:style w:type="character" w:styleId="IntenseReference">
    <w:name w:val="Intense Reference"/>
    <w:basedOn w:val="DefaultParagraphFont"/>
    <w:uiPriority w:val="32"/>
    <w:qFormat/>
    <w:rsid w:val="00E766E2"/>
    <w:rPr>
      <w:rFonts w:ascii="Arial" w:hAnsi="Arial"/>
      <w:b/>
      <w:bCs/>
      <w:i w:val="0"/>
      <w:caps/>
      <w:smallCaps w:val="0"/>
      <w:color w:val="auto"/>
      <w:spacing w:val="5"/>
      <w:sz w:val="20"/>
    </w:rPr>
  </w:style>
  <w:style w:type="character" w:customStyle="1" w:styleId="Heading3Char">
    <w:name w:val="Heading 3 Char"/>
    <w:basedOn w:val="DefaultParagraphFont"/>
    <w:link w:val="Heading3"/>
    <w:uiPriority w:val="9"/>
    <w:semiHidden/>
    <w:rsid w:val="003B742B"/>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3B742B"/>
    <w:rPr>
      <w:rFonts w:eastAsiaTheme="majorEastAsia" w:cstheme="majorBidi"/>
      <w:i/>
      <w:iCs/>
      <w:color w:val="2F5496" w:themeColor="accent1" w:themeShade="BF"/>
      <w:sz w:val="22"/>
    </w:rPr>
  </w:style>
  <w:style w:type="character" w:customStyle="1" w:styleId="Heading5Char">
    <w:name w:val="Heading 5 Char"/>
    <w:basedOn w:val="DefaultParagraphFont"/>
    <w:link w:val="Heading5"/>
    <w:uiPriority w:val="9"/>
    <w:semiHidden/>
    <w:rsid w:val="003B742B"/>
    <w:rPr>
      <w:rFonts w:eastAsiaTheme="majorEastAsia" w:cstheme="majorBidi"/>
      <w:color w:val="2F5496" w:themeColor="accent1" w:themeShade="BF"/>
      <w:sz w:val="22"/>
    </w:rPr>
  </w:style>
  <w:style w:type="character" w:customStyle="1" w:styleId="Heading6Char">
    <w:name w:val="Heading 6 Char"/>
    <w:basedOn w:val="DefaultParagraphFont"/>
    <w:link w:val="Heading6"/>
    <w:uiPriority w:val="9"/>
    <w:semiHidden/>
    <w:rsid w:val="003B742B"/>
    <w:rPr>
      <w:rFonts w:eastAsiaTheme="majorEastAsia" w:cstheme="majorBidi"/>
      <w:i/>
      <w:iCs/>
      <w:color w:val="595959" w:themeColor="text1" w:themeTint="A6"/>
      <w:sz w:val="22"/>
    </w:rPr>
  </w:style>
  <w:style w:type="character" w:customStyle="1" w:styleId="Heading7Char">
    <w:name w:val="Heading 7 Char"/>
    <w:basedOn w:val="DefaultParagraphFont"/>
    <w:link w:val="Heading7"/>
    <w:uiPriority w:val="9"/>
    <w:semiHidden/>
    <w:rsid w:val="003B742B"/>
    <w:rPr>
      <w:rFonts w:eastAsiaTheme="majorEastAsia" w:cstheme="majorBidi"/>
      <w:color w:val="595959" w:themeColor="text1" w:themeTint="A6"/>
      <w:sz w:val="22"/>
    </w:rPr>
  </w:style>
  <w:style w:type="character" w:customStyle="1" w:styleId="Heading8Char">
    <w:name w:val="Heading 8 Char"/>
    <w:basedOn w:val="DefaultParagraphFont"/>
    <w:link w:val="Heading8"/>
    <w:uiPriority w:val="9"/>
    <w:semiHidden/>
    <w:rsid w:val="003B742B"/>
    <w:rPr>
      <w:rFonts w:eastAsiaTheme="majorEastAsia" w:cstheme="majorBidi"/>
      <w:i/>
      <w:iCs/>
      <w:color w:val="272727" w:themeColor="text1" w:themeTint="D8"/>
      <w:sz w:val="22"/>
    </w:rPr>
  </w:style>
  <w:style w:type="character" w:customStyle="1" w:styleId="Heading9Char">
    <w:name w:val="Heading 9 Char"/>
    <w:basedOn w:val="DefaultParagraphFont"/>
    <w:link w:val="Heading9"/>
    <w:uiPriority w:val="9"/>
    <w:semiHidden/>
    <w:rsid w:val="003B742B"/>
    <w:rPr>
      <w:rFonts w:eastAsiaTheme="majorEastAsia" w:cstheme="majorBidi"/>
      <w:color w:val="272727" w:themeColor="text1" w:themeTint="D8"/>
      <w:sz w:val="22"/>
    </w:rPr>
  </w:style>
  <w:style w:type="paragraph" w:styleId="Quote">
    <w:name w:val="Quote"/>
    <w:basedOn w:val="Normal"/>
    <w:next w:val="Normal"/>
    <w:link w:val="QuoteChar"/>
    <w:uiPriority w:val="29"/>
    <w:qFormat/>
    <w:rsid w:val="003B742B"/>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3B742B"/>
    <w:rPr>
      <w:rFonts w:ascii="Arial" w:hAnsi="Arial"/>
      <w:i/>
      <w:iCs/>
      <w:color w:val="404040" w:themeColor="text1" w:themeTint="BF"/>
      <w:sz w:val="22"/>
    </w:rPr>
  </w:style>
  <w:style w:type="character" w:styleId="IntenseEmphasis">
    <w:name w:val="Intense Emphasis"/>
    <w:basedOn w:val="DefaultParagraphFont"/>
    <w:uiPriority w:val="21"/>
    <w:qFormat/>
    <w:rsid w:val="003B742B"/>
    <w:rPr>
      <w:i/>
      <w:iCs/>
      <w:color w:val="2F5496" w:themeColor="accent1" w:themeShade="BF"/>
    </w:rPr>
  </w:style>
  <w:style w:type="character" w:styleId="Hyperlink">
    <w:name w:val="Hyperlink"/>
    <w:basedOn w:val="DefaultParagraphFont"/>
    <w:uiPriority w:val="99"/>
    <w:unhideWhenUsed/>
    <w:rsid w:val="00C75ED2"/>
    <w:rPr>
      <w:color w:val="0563C1" w:themeColor="hyperlink"/>
      <w:u w:val="single"/>
    </w:rPr>
  </w:style>
  <w:style w:type="character" w:styleId="UnresolvedMention">
    <w:name w:val="Unresolved Mention"/>
    <w:basedOn w:val="DefaultParagraphFont"/>
    <w:uiPriority w:val="99"/>
    <w:semiHidden/>
    <w:unhideWhenUsed/>
    <w:rsid w:val="00C75ED2"/>
    <w:rPr>
      <w:color w:val="605E5C"/>
      <w:shd w:val="clear" w:color="auto" w:fill="E1DFDD"/>
    </w:rPr>
  </w:style>
  <w:style w:type="paragraph" w:styleId="Header">
    <w:name w:val="header"/>
    <w:basedOn w:val="Normal"/>
    <w:link w:val="HeaderChar"/>
    <w:uiPriority w:val="99"/>
    <w:unhideWhenUsed/>
    <w:rsid w:val="008D3945"/>
    <w:pPr>
      <w:tabs>
        <w:tab w:val="center" w:pos="4680"/>
        <w:tab w:val="right" w:pos="9360"/>
      </w:tabs>
    </w:pPr>
  </w:style>
  <w:style w:type="character" w:customStyle="1" w:styleId="HeaderChar">
    <w:name w:val="Header Char"/>
    <w:basedOn w:val="DefaultParagraphFont"/>
    <w:link w:val="Header"/>
    <w:uiPriority w:val="99"/>
    <w:rsid w:val="008D3945"/>
    <w:rPr>
      <w:rFonts w:ascii="Arial" w:hAnsi="Arial"/>
      <w:sz w:val="22"/>
    </w:rPr>
  </w:style>
  <w:style w:type="paragraph" w:styleId="Footer">
    <w:name w:val="footer"/>
    <w:basedOn w:val="Normal"/>
    <w:link w:val="FooterChar"/>
    <w:uiPriority w:val="99"/>
    <w:unhideWhenUsed/>
    <w:rsid w:val="008D3945"/>
    <w:pPr>
      <w:tabs>
        <w:tab w:val="center" w:pos="4680"/>
        <w:tab w:val="right" w:pos="9360"/>
      </w:tabs>
    </w:pPr>
  </w:style>
  <w:style w:type="character" w:customStyle="1" w:styleId="FooterChar">
    <w:name w:val="Footer Char"/>
    <w:basedOn w:val="DefaultParagraphFont"/>
    <w:link w:val="Footer"/>
    <w:uiPriority w:val="99"/>
    <w:rsid w:val="008D3945"/>
    <w:rPr>
      <w:rFonts w:ascii="Arial" w:hAnsi="Arial"/>
      <w:sz w:val="22"/>
    </w:r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rFonts w:ascii="Arial" w:hAnsi="Arial"/>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771DB9"/>
    <w:rPr>
      <w:rFonts w:ascii="Arial" w:hAnsi="Arial"/>
      <w:sz w:val="22"/>
    </w:rPr>
  </w:style>
  <w:style w:type="paragraph" w:styleId="CommentSubject">
    <w:name w:val="annotation subject"/>
    <w:basedOn w:val="CommentText"/>
    <w:next w:val="CommentText"/>
    <w:link w:val="CommentSubjectChar"/>
    <w:uiPriority w:val="99"/>
    <w:semiHidden/>
    <w:unhideWhenUsed/>
    <w:rsid w:val="00C15772"/>
    <w:rPr>
      <w:b/>
      <w:bCs/>
    </w:rPr>
  </w:style>
  <w:style w:type="character" w:customStyle="1" w:styleId="CommentSubjectChar">
    <w:name w:val="Comment Subject Char"/>
    <w:basedOn w:val="CommentTextChar"/>
    <w:link w:val="CommentSubject"/>
    <w:uiPriority w:val="99"/>
    <w:semiHidden/>
    <w:rsid w:val="00C15772"/>
    <w:rPr>
      <w:rFonts w:ascii="Arial" w:hAnsi="Arial"/>
      <w:b/>
      <w:bCs/>
      <w:sz w:val="20"/>
      <w:szCs w:val="20"/>
    </w:rPr>
  </w:style>
  <w:style w:type="paragraph" w:styleId="NormalWeb">
    <w:name w:val="Normal (Web)"/>
    <w:basedOn w:val="Normal"/>
    <w:uiPriority w:val="99"/>
    <w:semiHidden/>
    <w:unhideWhenUsed/>
    <w:rsid w:val="00545C89"/>
    <w:rPr>
      <w:rFonts w:ascii="Times New Roman" w:hAnsi="Times New Roman" w:cs="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hyperlink" Target="https://doi.org/10.5194/essd-16-2811-2024" TargetMode="External"/><Relationship Id="rId21" Type="http://schemas.openxmlformats.org/officeDocument/2006/relationships/image" Target="media/image10.png"/><Relationship Id="rId42" Type="http://schemas.openxmlformats.org/officeDocument/2006/relationships/footer" Target="footer8.xml"/><Relationship Id="rId47" Type="http://schemas.openxmlformats.org/officeDocument/2006/relationships/image" Target="media/image28.png"/><Relationship Id="rId63" Type="http://schemas.openxmlformats.org/officeDocument/2006/relationships/image" Target="media/image39.png"/><Relationship Id="rId68" Type="http://schemas.openxmlformats.org/officeDocument/2006/relationships/footer" Target="footer16.xml"/><Relationship Id="rId84" Type="http://schemas.openxmlformats.org/officeDocument/2006/relationships/image" Target="media/image53.png"/><Relationship Id="rId89" Type="http://schemas.openxmlformats.org/officeDocument/2006/relationships/footer" Target="footer23.xml"/><Relationship Id="rId112" Type="http://schemas.openxmlformats.org/officeDocument/2006/relationships/hyperlink" Target="https://doi.org/10.1016/j.rse.2021.112461" TargetMode="External"/><Relationship Id="rId16" Type="http://schemas.openxmlformats.org/officeDocument/2006/relationships/image" Target="media/image6.png"/><Relationship Id="rId107" Type="http://schemas.openxmlformats.org/officeDocument/2006/relationships/image" Target="media/image70.jpeg"/><Relationship Id="rId11" Type="http://schemas.openxmlformats.org/officeDocument/2006/relationships/image" Target="media/image1.png"/><Relationship Id="rId32" Type="http://schemas.openxmlformats.org/officeDocument/2006/relationships/image" Target="media/image18.png"/><Relationship Id="rId37" Type="http://schemas.openxmlformats.org/officeDocument/2006/relationships/image" Target="media/image21.png"/><Relationship Id="rId53" Type="http://schemas.openxmlformats.org/officeDocument/2006/relationships/image" Target="media/image32.png"/><Relationship Id="rId58" Type="http://schemas.openxmlformats.org/officeDocument/2006/relationships/image" Target="media/image36.png"/><Relationship Id="rId74" Type="http://schemas.openxmlformats.org/officeDocument/2006/relationships/footer" Target="footer18.xml"/><Relationship Id="rId79" Type="http://schemas.openxmlformats.org/officeDocument/2006/relationships/image" Target="media/image50.jpeg"/><Relationship Id="rId102" Type="http://schemas.openxmlformats.org/officeDocument/2006/relationships/image" Target="media/image65.jpeg"/><Relationship Id="rId5" Type="http://schemas.openxmlformats.org/officeDocument/2006/relationships/styles" Target="styles.xml"/><Relationship Id="rId90" Type="http://schemas.openxmlformats.org/officeDocument/2006/relationships/image" Target="media/image57.png"/><Relationship Id="rId95" Type="http://schemas.openxmlformats.org/officeDocument/2006/relationships/footer" Target="footer25.xml"/><Relationship Id="rId22" Type="http://schemas.openxmlformats.org/officeDocument/2006/relationships/footer" Target="footer2.xml"/><Relationship Id="rId27" Type="http://schemas.openxmlformats.org/officeDocument/2006/relationships/footer" Target="footer3.xml"/><Relationship Id="rId43" Type="http://schemas.openxmlformats.org/officeDocument/2006/relationships/image" Target="media/image25.png"/><Relationship Id="rId48" Type="http://schemas.openxmlformats.org/officeDocument/2006/relationships/footer" Target="footer10.xml"/><Relationship Id="rId64" Type="http://schemas.openxmlformats.org/officeDocument/2006/relationships/image" Target="media/image40.png"/><Relationship Id="rId69" Type="http://schemas.openxmlformats.org/officeDocument/2006/relationships/image" Target="media/image43.png"/><Relationship Id="rId113" Type="http://schemas.openxmlformats.org/officeDocument/2006/relationships/hyperlink" Target="https://climatetrace.org/" TargetMode="External"/><Relationship Id="rId118" Type="http://schemas.openxmlformats.org/officeDocument/2006/relationships/hyperlink" Target="https://doi.org/10.1073/pnas.2217900120" TargetMode="External"/><Relationship Id="rId80" Type="http://schemas.openxmlformats.org/officeDocument/2006/relationships/footer" Target="footer20.xml"/><Relationship Id="rId85" Type="http://schemas.openxmlformats.org/officeDocument/2006/relationships/image" Target="media/image54.png"/><Relationship Id="rId12" Type="http://schemas.openxmlformats.org/officeDocument/2006/relationships/image" Target="media/image2.jpeg"/><Relationship Id="rId17" Type="http://schemas.openxmlformats.org/officeDocument/2006/relationships/image" Target="media/image7.png"/><Relationship Id="rId33" Type="http://schemas.openxmlformats.org/officeDocument/2006/relationships/footer" Target="footer5.xml"/><Relationship Id="rId38" Type="http://schemas.openxmlformats.org/officeDocument/2006/relationships/image" Target="media/image22.png"/><Relationship Id="rId59" Type="http://schemas.openxmlformats.org/officeDocument/2006/relationships/footer" Target="footer13.xml"/><Relationship Id="rId103" Type="http://schemas.openxmlformats.org/officeDocument/2006/relationships/image" Target="media/image66.jpeg"/><Relationship Id="rId108" Type="http://schemas.openxmlformats.org/officeDocument/2006/relationships/image" Target="media/image71.jpeg"/><Relationship Id="rId54" Type="http://schemas.openxmlformats.org/officeDocument/2006/relationships/footer" Target="footer12.xml"/><Relationship Id="rId70" Type="http://schemas.openxmlformats.org/officeDocument/2006/relationships/image" Target="media/image44.png"/><Relationship Id="rId75" Type="http://schemas.openxmlformats.org/officeDocument/2006/relationships/image" Target="media/image47.jpeg"/><Relationship Id="rId91" Type="http://schemas.openxmlformats.org/officeDocument/2006/relationships/image" Target="media/image58.png"/><Relationship Id="rId96"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1.png"/><Relationship Id="rId28" Type="http://schemas.openxmlformats.org/officeDocument/2006/relationships/image" Target="media/image15.png"/><Relationship Id="rId49" Type="http://schemas.openxmlformats.org/officeDocument/2006/relationships/image" Target="media/image29.png"/><Relationship Id="rId114" Type="http://schemas.openxmlformats.org/officeDocument/2006/relationships/hyperlink" Target="https://doi.org/10.17605/OSF.IO/CDAE3" TargetMode="External"/><Relationship Id="rId119" Type="http://schemas.openxmlformats.org/officeDocument/2006/relationships/footer" Target="footer28.xml"/><Relationship Id="rId44" Type="http://schemas.openxmlformats.org/officeDocument/2006/relationships/image" Target="media/image26.png"/><Relationship Id="rId60" Type="http://schemas.openxmlformats.org/officeDocument/2006/relationships/image" Target="media/image37.png"/><Relationship Id="rId65" Type="http://schemas.openxmlformats.org/officeDocument/2006/relationships/footer" Target="footer15.xml"/><Relationship Id="rId81" Type="http://schemas.openxmlformats.org/officeDocument/2006/relationships/image" Target="media/image51.png"/><Relationship Id="rId86" Type="http://schemas.openxmlformats.org/officeDocument/2006/relationships/footer" Target="footer22.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footer" Target="footer7.xml"/><Relationship Id="rId109" Type="http://schemas.openxmlformats.org/officeDocument/2006/relationships/image" Target="media/image72.jpeg"/><Relationship Id="rId34" Type="http://schemas.openxmlformats.org/officeDocument/2006/relationships/image" Target="media/image19.png"/><Relationship Id="rId50" Type="http://schemas.openxmlformats.org/officeDocument/2006/relationships/image" Target="media/image30.png"/><Relationship Id="rId55" Type="http://schemas.openxmlformats.org/officeDocument/2006/relationships/image" Target="media/image33.png"/><Relationship Id="rId76" Type="http://schemas.openxmlformats.org/officeDocument/2006/relationships/image" Target="media/image48.jpeg"/><Relationship Id="rId97" Type="http://schemas.openxmlformats.org/officeDocument/2006/relationships/image" Target="media/image62.png"/><Relationship Id="rId104" Type="http://schemas.openxmlformats.org/officeDocument/2006/relationships/image" Target="media/image67.jpeg"/><Relationship Id="rId120"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footer" Target="footer17.xml"/><Relationship Id="rId92" Type="http://schemas.openxmlformats.org/officeDocument/2006/relationships/footer" Target="footer24.xm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2.png"/><Relationship Id="rId40" Type="http://schemas.openxmlformats.org/officeDocument/2006/relationships/image" Target="media/image23.png"/><Relationship Id="rId45" Type="http://schemas.openxmlformats.org/officeDocument/2006/relationships/footer" Target="footer9.xml"/><Relationship Id="rId66" Type="http://schemas.openxmlformats.org/officeDocument/2006/relationships/image" Target="media/image41.png"/><Relationship Id="rId87" Type="http://schemas.openxmlformats.org/officeDocument/2006/relationships/image" Target="media/image55.png"/><Relationship Id="rId110" Type="http://schemas.openxmlformats.org/officeDocument/2006/relationships/image" Target="media/image73.png"/><Relationship Id="rId115" Type="http://schemas.openxmlformats.org/officeDocument/2006/relationships/hyperlink" Target="https://atmosphere.copernicus.eu/node/1054" TargetMode="External"/><Relationship Id="rId61" Type="http://schemas.openxmlformats.org/officeDocument/2006/relationships/image" Target="media/image38.png"/><Relationship Id="rId82" Type="http://schemas.openxmlformats.org/officeDocument/2006/relationships/image" Target="media/image52.png"/><Relationship Id="rId19" Type="http://schemas.openxmlformats.org/officeDocument/2006/relationships/footer" Target="footer1.xml"/><Relationship Id="rId14" Type="http://schemas.openxmlformats.org/officeDocument/2006/relationships/image" Target="media/image4.png"/><Relationship Id="rId30" Type="http://schemas.openxmlformats.org/officeDocument/2006/relationships/footer" Target="footer4.xml"/><Relationship Id="rId35" Type="http://schemas.openxmlformats.org/officeDocument/2006/relationships/image" Target="media/image20.png"/><Relationship Id="rId56" Type="http://schemas.openxmlformats.org/officeDocument/2006/relationships/image" Target="media/image34.png"/><Relationship Id="rId77" Type="http://schemas.openxmlformats.org/officeDocument/2006/relationships/footer" Target="footer19.xml"/><Relationship Id="rId100" Type="http://schemas.openxmlformats.org/officeDocument/2006/relationships/footer" Target="footer27.xml"/><Relationship Id="rId105" Type="http://schemas.openxmlformats.org/officeDocument/2006/relationships/image" Target="media/image68.jpeg"/><Relationship Id="rId8" Type="http://schemas.openxmlformats.org/officeDocument/2006/relationships/footnotes" Target="footnotes.xml"/><Relationship Id="rId51" Type="http://schemas.openxmlformats.org/officeDocument/2006/relationships/footer" Target="footer11.xml"/><Relationship Id="rId72" Type="http://schemas.openxmlformats.org/officeDocument/2006/relationships/image" Target="media/image45.png"/><Relationship Id="rId93" Type="http://schemas.openxmlformats.org/officeDocument/2006/relationships/image" Target="media/image59.png"/><Relationship Id="rId98" Type="http://schemas.openxmlformats.org/officeDocument/2006/relationships/footer" Target="footer26.xml"/><Relationship Id="rId121"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27.png"/><Relationship Id="rId67" Type="http://schemas.openxmlformats.org/officeDocument/2006/relationships/image" Target="media/image42.png"/><Relationship Id="rId116" Type="http://schemas.openxmlformats.org/officeDocument/2006/relationships/hyperlink" Target="https://doi.org/10.24380/q2si-ti6i" TargetMode="External"/><Relationship Id="rId20" Type="http://schemas.openxmlformats.org/officeDocument/2006/relationships/image" Target="media/image9.png"/><Relationship Id="rId41" Type="http://schemas.openxmlformats.org/officeDocument/2006/relationships/image" Target="media/image24.png"/><Relationship Id="rId62" Type="http://schemas.openxmlformats.org/officeDocument/2006/relationships/footer" Target="footer14.xml"/><Relationship Id="rId83" Type="http://schemas.openxmlformats.org/officeDocument/2006/relationships/footer" Target="footer21.xml"/><Relationship Id="rId88" Type="http://schemas.openxmlformats.org/officeDocument/2006/relationships/image" Target="media/image56.png"/><Relationship Id="rId111" Type="http://schemas.openxmlformats.org/officeDocument/2006/relationships/image" Target="media/image74.png"/><Relationship Id="rId15" Type="http://schemas.openxmlformats.org/officeDocument/2006/relationships/image" Target="media/image5.png"/><Relationship Id="rId36" Type="http://schemas.openxmlformats.org/officeDocument/2006/relationships/footer" Target="footer6.xml"/><Relationship Id="rId57" Type="http://schemas.openxmlformats.org/officeDocument/2006/relationships/image" Target="media/image35.png"/><Relationship Id="rId106" Type="http://schemas.openxmlformats.org/officeDocument/2006/relationships/image" Target="media/image69.jpeg"/><Relationship Id="rId10" Type="http://schemas.openxmlformats.org/officeDocument/2006/relationships/hyperlink" Target="mailto:momara@edf.org" TargetMode="External"/><Relationship Id="rId31" Type="http://schemas.openxmlformats.org/officeDocument/2006/relationships/image" Target="media/image17.png"/><Relationship Id="rId52" Type="http://schemas.openxmlformats.org/officeDocument/2006/relationships/image" Target="media/image31.png"/><Relationship Id="rId73" Type="http://schemas.openxmlformats.org/officeDocument/2006/relationships/image" Target="media/image46.png"/><Relationship Id="rId78" Type="http://schemas.openxmlformats.org/officeDocument/2006/relationships/image" Target="media/image49.jpeg"/><Relationship Id="rId94" Type="http://schemas.openxmlformats.org/officeDocument/2006/relationships/image" Target="media/image60.png"/><Relationship Id="rId99" Type="http://schemas.openxmlformats.org/officeDocument/2006/relationships/image" Target="media/image63.png"/><Relationship Id="rId101" Type="http://schemas.openxmlformats.org/officeDocument/2006/relationships/image" Target="media/image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60E2A50D08062498363DF5B9953D7E2" ma:contentTypeVersion="11" ma:contentTypeDescription="Create a new document." ma:contentTypeScope="" ma:versionID="6be62c860b6e2aa2ddbcb93ef8f1313c">
  <xsd:schema xmlns:xsd="http://www.w3.org/2001/XMLSchema" xmlns:xs="http://www.w3.org/2001/XMLSchema" xmlns:p="http://schemas.microsoft.com/office/2006/metadata/properties" xmlns:ns2="ce51152e-2a60-40aa-88e7-f26d3d165885" targetNamespace="http://schemas.microsoft.com/office/2006/metadata/properties" ma:root="true" ma:fieldsID="bf1e4e5ad973c6a1bb1e23a9cac2741b" ns2:_="">
    <xsd:import namespace="ce51152e-2a60-40aa-88e7-f26d3d16588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BillingMetadata" minOccurs="0"/>
                <xsd:element ref="ns2:MediaServiceDateTaken" minOccurs="0"/>
                <xsd:element ref="ns2:MediaServiceOCR" minOccurs="0"/>
                <xsd:element ref="ns2:MediaServiceGenerationTime" minOccurs="0"/>
                <xsd:element ref="ns2:MediaServiceEventHashCode" minOccurs="0"/>
                <xsd:element ref="ns2:lcf76f155ced4ddcb4097134ff3c332f"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e51152e-2a60-40aa-88e7-f26d3d16588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BillingMetadata" ma:index="11" nillable="true" ma:displayName="MediaServiceBillingMetadata" ma:hidden="true" ma:internalName="MediaServiceBilling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192c4596-0455-4dfd-b3e1-e582100e0814" ma:termSetId="09814cd3-568e-fe90-9814-8d621ff8fb84" ma:anchorId="fba54fb3-c3e1-fe81-a776-ca4b69148c4d" ma:open="true" ma:isKeyword="false">
      <xsd:complexType>
        <xsd:sequence>
          <xsd:element ref="pc:Terms" minOccurs="0" maxOccurs="1"/>
        </xsd:sequence>
      </xsd:complexType>
    </xsd:element>
    <xsd:element name="MediaLengthInSeconds" ma:index="18"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e51152e-2a60-40aa-88e7-f26d3d165885">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AE841BB1-4C32-484B-9900-59E9B5103B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e51152e-2a60-40aa-88e7-f26d3d1658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9AAF451-5B1F-40BA-A7F0-C524C2CF94F5}">
  <ds:schemaRefs>
    <ds:schemaRef ds:uri="http://schemas.microsoft.com/sharepoint/v3/contenttype/forms"/>
  </ds:schemaRefs>
</ds:datastoreItem>
</file>

<file path=customXml/itemProps3.xml><?xml version="1.0" encoding="utf-8"?>
<ds:datastoreItem xmlns:ds="http://schemas.openxmlformats.org/officeDocument/2006/customXml" ds:itemID="{F3722440-8700-42CA-A0C2-4AEB5FC33029}">
  <ds:schemaRefs>
    <ds:schemaRef ds:uri="http://schemas.microsoft.com/office/2006/metadata/properties"/>
    <ds:schemaRef ds:uri="http://schemas.microsoft.com/office/infopath/2007/PartnerControls"/>
    <ds:schemaRef ds:uri="ce51152e-2a60-40aa-88e7-f26d3d165885"/>
  </ds:schemaRefs>
</ds:datastoreItem>
</file>

<file path=docMetadata/LabelInfo.xml><?xml version="1.0" encoding="utf-8"?>
<clbl:labelList xmlns:clbl="http://schemas.microsoft.com/office/2020/mipLabelMetadata">
  <clbl:label id="{fe4574ed-bcfd-4bf0-bde8-43713c3f434f}" enabled="0" method="" siteId="{fe4574ed-bcfd-4bf0-bde8-43713c3f434f}"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44</Pages>
  <Words>3338</Words>
  <Characters>21599</Characters>
  <Application>Microsoft Office Word</Application>
  <DocSecurity>0</DocSecurity>
  <Lines>583</Lines>
  <Paragraphs>187</Paragraphs>
  <ScaleCrop>false</ScaleCrop>
  <Company/>
  <LinksUpToDate>false</LinksUpToDate>
  <CharactersWithSpaces>24750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Omara</dc:creator>
  <cp:keywords/>
  <dc:description/>
  <cp:lastModifiedBy>Mark Omara</cp:lastModifiedBy>
  <cp:revision>2</cp:revision>
  <cp:lastPrinted>2026-04-13T19:15:00Z</cp:lastPrinted>
  <dcterms:created xsi:type="dcterms:W3CDTF">2026-05-12T07:09:00Z</dcterms:created>
  <dcterms:modified xsi:type="dcterms:W3CDTF">2026-05-12T07:09:00Z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0x010100060E2A50D08062498363DF5B9953D7E2</vt:lpwstr>
  </property>
  <property fmtid="{D5CDD505-2E9C-101B-9397-08002B2CF9AE}" pid="3" name="MediaServiceImageTags">
    <vt:lpwstr/>
  </property>
</Properties>
</file>