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B8E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480" w:lineRule="auto"/>
        <w:rPr>
          <w:rFonts w:hint="eastAsia" w:ascii="Times New Roman" w:hAnsi="Times New Roman" w:eastAsia="Songti SC" w:cs="宋体"/>
          <w:color w:val="auto"/>
          <w:lang w:val="en-US" w:eastAsia="zh-CN"/>
        </w:rPr>
      </w:pPr>
      <w:r>
        <w:rPr>
          <w:rFonts w:hint="eastAsia" w:ascii="Times New Roman" w:hAnsi="Times New Roman" w:eastAsia="Songti SC" w:cs="宋体"/>
          <w:b/>
          <w:bCs/>
          <w:color w:val="auto"/>
          <w:sz w:val="24"/>
          <w:szCs w:val="24"/>
          <w:lang w:val="en-US" w:eastAsia="zh-CN"/>
        </w:rPr>
        <w:t xml:space="preserve">Supplementary </w:t>
      </w:r>
      <w:r>
        <w:rPr>
          <w:rFonts w:hint="eastAsia" w:ascii="Times New Roman" w:hAnsi="Times New Roman" w:eastAsia="Songti SC" w:cs="宋体"/>
          <w:b/>
          <w:bCs/>
          <w:color w:val="000000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eastAsia="Songti SC" w:cs="宋体"/>
          <w:b/>
          <w:bCs/>
          <w:color w:val="000000"/>
          <w:sz w:val="24"/>
          <w:szCs w:val="24"/>
        </w:rPr>
        <w:t>aterials</w:t>
      </w:r>
      <w:r>
        <w:rPr>
          <w:rFonts w:hint="eastAsia" w:ascii="Times New Roman" w:hAnsi="Times New Roman" w:eastAsia="Songti SC" w:cs="宋体"/>
          <w:b/>
          <w:bCs/>
          <w:color w:val="auto"/>
          <w:sz w:val="24"/>
          <w:szCs w:val="24"/>
          <w:lang w:val="en-US" w:eastAsia="zh-CN"/>
        </w:rPr>
        <w:t>：</w:t>
      </w:r>
    </w:p>
    <w:p w14:paraId="7884628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240" w:lineRule="auto"/>
        <w:rPr>
          <w:rFonts w:ascii="Times New Roman" w:hAnsi="Times New Roman"/>
        </w:rPr>
      </w:pPr>
      <w:bookmarkStart w:id="0" w:name="_Ref916800103"/>
      <w:r>
        <w:rPr>
          <w:rFonts w:ascii="Times New Roman" w:hAnsi="Times New Roman"/>
          <w:b/>
          <w:bCs/>
          <w:sz w:val="24"/>
          <w:szCs w:val="24"/>
        </w:rPr>
        <w:t>Figure S</w:t>
      </w:r>
      <w:r>
        <w:rPr>
          <w:rFonts w:ascii="Times New Roman" w:hAnsi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/>
          <w:b/>
          <w:bCs/>
          <w:sz w:val="24"/>
          <w:szCs w:val="24"/>
        </w:rPr>
        <w:instrText xml:space="preserve"> SEQ Figure_S \* ARABIC </w:instrText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fldChar w:fldCharType="end"/>
      </w:r>
      <w:bookmarkEnd w:id="0"/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Songti SC" w:cs="Times New Roman Bold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  <w:t>Time trends of key healthcare expenditure indicators during the COVID-19 pandemic, stratified by cost component.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0810F4">
        <w:tc>
          <w:tcPr>
            <w:tcW w:w="8522" w:type="dxa"/>
            <w:noWrap w:val="0"/>
            <w:vAlign w:val="top"/>
          </w:tcPr>
          <w:p w14:paraId="29A5FCE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Songti SC" w:cs="Times New Roman Bold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CPH</w:t>
            </w:r>
          </w:p>
        </w:tc>
      </w:tr>
      <w:tr w14:paraId="34E7E9DA">
        <w:tc>
          <w:tcPr>
            <w:tcW w:w="8522" w:type="dxa"/>
            <w:noWrap w:val="0"/>
            <w:vAlign w:val="top"/>
          </w:tcPr>
          <w:p w14:paraId="140FDF0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5260975" cy="3256915"/>
                  <wp:effectExtent l="0" t="0" r="9525" b="6985"/>
                  <wp:docPr id="1" name="图片 24" descr="县医院 分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4" descr="县医院 分开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975" cy="325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65AF5F">
        <w:tc>
          <w:tcPr>
            <w:tcW w:w="8522" w:type="dxa"/>
            <w:noWrap w:val="0"/>
            <w:vAlign w:val="top"/>
          </w:tcPr>
          <w:p w14:paraId="1F25442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Songti SC" w:cs="Times New Roman Bold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TCMH</w:t>
            </w:r>
          </w:p>
        </w:tc>
      </w:tr>
      <w:tr w14:paraId="61AF3F9D">
        <w:tc>
          <w:tcPr>
            <w:tcW w:w="8522" w:type="dxa"/>
            <w:noWrap w:val="0"/>
            <w:vAlign w:val="top"/>
          </w:tcPr>
          <w:p w14:paraId="39D455F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5260975" cy="3256915"/>
                  <wp:effectExtent l="0" t="0" r="9525" b="6985"/>
                  <wp:docPr id="2" name="图片 26" descr="中医院 分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6" descr="中医院 分开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975" cy="325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920C4A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1" w:name="_Ref916833717"/>
    </w:p>
    <w:p w14:paraId="2863F79D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487A71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</w:t>
      </w:r>
      <w:r>
        <w:rPr>
          <w:rFonts w:ascii="Times New Roman" w:hAnsi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/>
          <w:b/>
          <w:bCs/>
          <w:sz w:val="24"/>
          <w:szCs w:val="24"/>
        </w:rPr>
        <w:instrText xml:space="preserve"> SEQ Figure_S \* ARABIC </w:instrText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fldChar w:fldCharType="end"/>
      </w:r>
      <w:bookmarkEnd w:id="1"/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Songti SC" w:cs="Times New Roman Bold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  <w:t>Temporal Trends of Multiple Healthcare Expenditure Indicators During the COVID-19 Pandemic (2019–2023): A Stratified Analysis by Cost Component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7856E7F">
        <w:tc>
          <w:tcPr>
            <w:tcW w:w="8522" w:type="dxa"/>
            <w:noWrap w:val="0"/>
            <w:vAlign w:val="top"/>
          </w:tcPr>
          <w:p w14:paraId="7C669F4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Songti SC" w:cs="Times New Roman Bold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CPH</w:t>
            </w:r>
          </w:p>
        </w:tc>
      </w:tr>
      <w:tr w14:paraId="5109C300">
        <w:tc>
          <w:tcPr>
            <w:tcW w:w="8522" w:type="dxa"/>
            <w:noWrap w:val="0"/>
            <w:vAlign w:val="top"/>
          </w:tcPr>
          <w:p w14:paraId="1D4314B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5260975" cy="3256915"/>
                  <wp:effectExtent l="0" t="0" r="9525" b="6985"/>
                  <wp:docPr id="3" name="图片 25" descr="县医院 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5" descr="县医院 合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975" cy="325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DDFB20">
        <w:tc>
          <w:tcPr>
            <w:tcW w:w="8522" w:type="dxa"/>
            <w:noWrap w:val="0"/>
            <w:vAlign w:val="top"/>
          </w:tcPr>
          <w:p w14:paraId="704C498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Songti SC" w:cs="Times New Roman Bold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TCMH</w:t>
            </w:r>
          </w:p>
        </w:tc>
      </w:tr>
      <w:tr w14:paraId="6E0E721E">
        <w:tc>
          <w:tcPr>
            <w:tcW w:w="8522" w:type="dxa"/>
            <w:noWrap w:val="0"/>
            <w:vAlign w:val="top"/>
          </w:tcPr>
          <w:p w14:paraId="3CA3E21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ongti SC" w:cs="宋体"/>
                <w:b w:val="0"/>
                <w:bCs w:val="0"/>
                <w:color w:val="auto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5113020" cy="3323590"/>
                  <wp:effectExtent l="0" t="0" r="5080" b="3810"/>
                  <wp:docPr id="4" name="图片 27" descr="中医院 各种费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7" descr="中医院 各种费用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0" cy="332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5AFBF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480" w:lineRule="auto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bookmarkStart w:id="2" w:name="_Ref135417149"/>
    </w:p>
    <w:p w14:paraId="7BA80E5F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</w:p>
    <w:bookmarkEnd w:id="2"/>
    <w:p w14:paraId="0666BC70">
      <w:pPr>
        <w:pStyle w:val="2"/>
        <w:rPr>
          <w:rFonts w:hint="default" w:ascii="Times New Roman Bold" w:hAnsi="Times New Roman Bold" w:eastAsia="黑体" w:cs="Times New Roman Bold"/>
          <w:b/>
          <w:bCs/>
          <w:sz w:val="24"/>
          <w:szCs w:val="24"/>
          <w:lang w:val="en-US" w:eastAsia="zh-CN"/>
        </w:rPr>
      </w:pPr>
    </w:p>
    <w:p w14:paraId="12484D3D">
      <w:pPr>
        <w:pStyle w:val="2"/>
        <w:rPr>
          <w:rFonts w:hint="eastAsia" w:ascii="Times New Roman Bold" w:hAnsi="Times New Roman Bold" w:eastAsia="黑体" w:cs="Times New Roman Bold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Table S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fldChar w:fldCharType="begin"/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instrText xml:space="preserve"> SEQ Table_S \* ARABIC </w:instrTex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fldChar w:fldCharType="separate"/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1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fldChar w:fldCharType="end"/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Variable Definitions and Justifications</w:t>
      </w:r>
      <w:bookmarkStart w:id="3" w:name="_GoBack"/>
      <w:bookmarkEnd w:id="3"/>
    </w:p>
    <w:tbl>
      <w:tblPr>
        <w:tblStyle w:val="4"/>
        <w:tblW w:w="6189" w:type="pct"/>
        <w:tblInd w:w="-7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2734"/>
        <w:gridCol w:w="5057"/>
      </w:tblGrid>
      <w:tr w14:paraId="5EDF9FD2">
        <w:trPr>
          <w:trHeight w:val="696" w:hRule="atLeast"/>
        </w:trPr>
        <w:tc>
          <w:tcPr>
            <w:tcW w:w="27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E9663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Variable</w:t>
            </w:r>
          </w:p>
        </w:tc>
        <w:tc>
          <w:tcPr>
            <w:tcW w:w="27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7CC38A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Definition</w:t>
            </w:r>
          </w:p>
        </w:tc>
        <w:tc>
          <w:tcPr>
            <w:tcW w:w="505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A43966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Concept Proxied (with References)</w:t>
            </w:r>
          </w:p>
        </w:tc>
      </w:tr>
      <w:tr w14:paraId="0EFBA7D2">
        <w:trPr>
          <w:trHeight w:val="1420" w:hRule="atLeast"/>
        </w:trPr>
        <w:tc>
          <w:tcPr>
            <w:tcW w:w="27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34C4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Per-Visit Hospitalization Expenditure</w:t>
            </w:r>
          </w:p>
        </w:tc>
        <w:tc>
          <w:tcPr>
            <w:tcW w:w="27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F499B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Average hospitalization expenditure per inpatient visit</w:t>
            </w:r>
          </w:p>
        </w:tc>
        <w:tc>
          <w:tcPr>
            <w:tcW w:w="50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FF5BC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Reflects overall hospitalization expenditure level and hospital cost control performance</w:t>
            </w:r>
          </w:p>
        </w:tc>
      </w:tr>
      <w:tr w14:paraId="32D43357">
        <w:trPr>
          <w:trHeight w:val="1880" w:hRule="atLeast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F383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Diagnose Fee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2062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expenditure on diagnostic examinations and testing procedures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071D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May reflect diagnostic resource utilization and healthcare service patterns</w:t>
            </w:r>
          </w:p>
        </w:tc>
      </w:tr>
      <w:tr w14:paraId="64C662E9">
        <w:trPr>
          <w:trHeight w:val="1320" w:hRule="atLeast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9B23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Treatment Expenditure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D32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expenditure on therapeutic and procedural services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9FDD77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Reflects treatment intensity, technical complexity, and healthcare service delivery capacity</w:t>
            </w:r>
          </w:p>
        </w:tc>
      </w:tr>
      <w:tr w14:paraId="371AA186">
        <w:trPr>
          <w:trHeight w:val="1680" w:hRule="atLeast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A42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Out-of-Pocket Payment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717FA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Portion of hospitalization expenditure paid directly by patients after insurance reimbursement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FBD1D3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Reflects patients’ financial burden and the effectiveness of financial protection mechanisms </w:t>
            </w:r>
          </w:p>
        </w:tc>
      </w:tr>
      <w:tr w14:paraId="5E215914">
        <w:trPr>
          <w:trHeight w:val="1440" w:hRule="atLeast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6448B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Actual Reimbursement Amount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D3FB0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Amount reimbursed by the medical insurance fund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2BD32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Reflects insurance coverage and healthcare fund expenditure</w:t>
            </w:r>
          </w:p>
        </w:tc>
      </w:tr>
      <w:tr w14:paraId="58DB78D5">
        <w:trPr>
          <w:trHeight w:val="1340" w:hRule="atLeast"/>
        </w:trPr>
        <w:tc>
          <w:tcPr>
            <w:tcW w:w="2759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A30714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ACSC-related Expenditure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1250327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inpatient expenditure for ACSC-related hospitalizations</w:t>
            </w:r>
          </w:p>
        </w:tc>
        <w:tc>
          <w:tcPr>
            <w:tcW w:w="50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76FEEB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Reflects the economic burden associated with potentially preventable hospitalizations and healthcare system efficiency</w:t>
            </w:r>
          </w:p>
        </w:tc>
      </w:tr>
    </w:tbl>
    <w:p w14:paraId="48F204D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480" w:lineRule="auto"/>
        <w:rPr>
          <w:rFonts w:hint="default" w:ascii="Times New Roman" w:hAnsi="Times New Roman" w:eastAsia="Songti SC" w:cs="Times New Roman"/>
          <w:color w:val="auto"/>
          <w:sz w:val="24"/>
          <w:szCs w:val="24"/>
          <w:u w:val="none"/>
        </w:rPr>
      </w:pPr>
    </w:p>
    <w:p w14:paraId="0D119D3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480" w:lineRule="auto"/>
        <w:rPr>
          <w:rFonts w:hint="default" w:ascii="Times New Roman" w:hAnsi="Times New Roman" w:eastAsia="Songti SC" w:cs="Times New Roman"/>
          <w:color w:val="auto"/>
          <w:sz w:val="24"/>
          <w:szCs w:val="24"/>
          <w:u w:val="none"/>
        </w:rPr>
      </w:pPr>
    </w:p>
    <w:p w14:paraId="04296F5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480" w:lineRule="auto"/>
        <w:rPr>
          <w:rFonts w:hint="default" w:ascii="Times New Roman" w:hAnsi="Times New Roman" w:eastAsia="Songti SC" w:cs="Times New Roman"/>
          <w:color w:val="auto"/>
          <w:sz w:val="24"/>
          <w:szCs w:val="24"/>
          <w:u w:val="none"/>
        </w:rPr>
      </w:pPr>
    </w:p>
    <w:p w14:paraId="757471D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480" w:lineRule="auto"/>
        <w:rPr>
          <w:rFonts w:hint="default" w:ascii="Times New Roman" w:hAnsi="Times New Roman" w:eastAsia="Songti SC" w:cs="Times New Roman"/>
          <w:color w:val="auto"/>
          <w:sz w:val="24"/>
          <w:szCs w:val="24"/>
          <w:u w:val="none"/>
        </w:rPr>
      </w:pPr>
    </w:p>
    <w:p w14:paraId="4D2D9E8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480" w:lineRule="auto"/>
        <w:rPr>
          <w:rFonts w:hint="default" w:ascii="Times New Roman" w:hAnsi="Times New Roman" w:eastAsia="Songti SC" w:cs="Times New Roman"/>
          <w:color w:val="auto"/>
          <w:sz w:val="24"/>
          <w:szCs w:val="24"/>
          <w:u w:val="none"/>
        </w:rPr>
      </w:pPr>
    </w:p>
    <w:p w14:paraId="006923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480" w:lineRule="auto"/>
        <w:rPr>
          <w:rFonts w:hint="default" w:ascii="Times New Roman" w:hAnsi="Times New Roman" w:eastAsia="Songti SC" w:cs="Times New Roman"/>
          <w:color w:val="auto"/>
          <w:sz w:val="24"/>
          <w:szCs w:val="24"/>
          <w:u w:val="none"/>
        </w:rPr>
      </w:pPr>
    </w:p>
    <w:p w14:paraId="530E051A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a细黑拼音体">
    <w:panose1 w:val="02010600010101010101"/>
    <w:charset w:val="86"/>
    <w:family w:val="auto"/>
    <w:pitch w:val="default"/>
    <w:sig w:usb0="800002AF" w:usb1="184F6CF8" w:usb2="00000010" w:usb3="00000000" w:csb0="0004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9FA520"/>
    <w:rsid w:val="0D5F3F90"/>
    <w:rsid w:val="332EF1C6"/>
    <w:rsid w:val="3F6E239D"/>
    <w:rsid w:val="54135D87"/>
    <w:rsid w:val="5B9CE6EF"/>
    <w:rsid w:val="7AAFA9EA"/>
    <w:rsid w:val="7CFF7546"/>
    <w:rsid w:val="7D592B9C"/>
    <w:rsid w:val="7EBD0464"/>
    <w:rsid w:val="B7AC22FB"/>
    <w:rsid w:val="D39C1BCE"/>
    <w:rsid w:val="E77C55DC"/>
    <w:rsid w:val="E8BFB5E9"/>
    <w:rsid w:val="EF9FA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821</Words>
  <Characters>3430</Characters>
  <Lines>0</Lines>
  <Paragraphs>0</Paragraphs>
  <TotalTime>1</TotalTime>
  <ScaleCrop>false</ScaleCrop>
  <LinksUpToDate>false</LinksUpToDate>
  <CharactersWithSpaces>3737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2026-04-17T10:09:00Z</dcterms:created>
  <dc:creator>橘落淮南终成枳</dc:creator>
  <cp:lastModifiedBy>橘落淮南终成枳</cp:lastModifiedBy>
  <dcterms:modified xsi:type="dcterms:W3CDTF">2026-05-12T14:41:07Z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F1472FED2037F0A183CB026A012A17D9_43</vt:lpwstr>
  </property>
</Properties>
</file>