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235A" w:rsidRPr="00801BE9" w:rsidRDefault="00C0235A" w:rsidP="0082096D">
      <w:pPr>
        <w:spacing w:line="480" w:lineRule="auto"/>
        <w:rPr>
          <w:b/>
          <w:bCs/>
        </w:rPr>
      </w:pPr>
      <w:r w:rsidRPr="0082096D">
        <w:rPr>
          <w:b/>
          <w:bCs/>
        </w:rPr>
        <w:t xml:space="preserve">Online Supplemental </w:t>
      </w:r>
    </w:p>
    <w:p w:rsidR="00FB5288" w:rsidRPr="00801BE9" w:rsidRDefault="00A756A7" w:rsidP="0082096D">
      <w:pPr>
        <w:spacing w:line="480" w:lineRule="auto"/>
        <w:rPr>
          <w:rFonts w:cstheme="minorHAnsi"/>
          <w:b/>
          <w:bCs/>
        </w:rPr>
      </w:pPr>
      <w:r w:rsidRPr="0082096D">
        <w:rPr>
          <w:rFonts w:cstheme="minorHAnsi"/>
          <w:b/>
          <w:bCs/>
        </w:rPr>
        <w:t>Disproportionate carbon footprint of isoflurane in super-refractory status epilepticus</w:t>
      </w:r>
    </w:p>
    <w:p w:rsidR="00FB5288" w:rsidRPr="0082096D" w:rsidRDefault="00FB5288" w:rsidP="0082096D">
      <w:pPr>
        <w:spacing w:line="480" w:lineRule="auto"/>
        <w:rPr>
          <w:rFonts w:cstheme="minorHAnsi"/>
          <w:lang w:val="fr-FR"/>
        </w:rPr>
      </w:pPr>
      <w:r w:rsidRPr="0082096D">
        <w:rPr>
          <w:rFonts w:cstheme="minorHAnsi"/>
          <w:vertAlign w:val="superscript"/>
          <w:lang w:val="fr-FR"/>
        </w:rPr>
        <w:t>1</w:t>
      </w:r>
      <w:r w:rsidRPr="0082096D">
        <w:rPr>
          <w:rFonts w:cstheme="minorHAnsi"/>
          <w:lang w:val="fr-FR"/>
        </w:rPr>
        <w:t xml:space="preserve">Gaspard de Saint Anthost (M.D.), </w:t>
      </w:r>
      <w:r w:rsidRPr="0082096D">
        <w:rPr>
          <w:rFonts w:cstheme="minorHAnsi"/>
          <w:vertAlign w:val="superscript"/>
          <w:lang w:val="fr-FR"/>
        </w:rPr>
        <w:t>1</w:t>
      </w:r>
      <w:r w:rsidRPr="0082096D">
        <w:rPr>
          <w:rFonts w:cstheme="minorHAnsi"/>
          <w:lang w:val="fr-FR"/>
        </w:rPr>
        <w:t xml:space="preserve">Ambre Preteux, </w:t>
      </w:r>
      <w:r w:rsidRPr="0082096D">
        <w:rPr>
          <w:rFonts w:cstheme="minorHAnsi"/>
          <w:vertAlign w:val="superscript"/>
          <w:lang w:val="fr-FR"/>
        </w:rPr>
        <w:t>2</w:t>
      </w:r>
      <w:r w:rsidRPr="0082096D">
        <w:rPr>
          <w:rFonts w:cstheme="minorHAnsi"/>
          <w:lang w:val="fr-FR"/>
        </w:rPr>
        <w:t xml:space="preserve">Davuth Tan, </w:t>
      </w:r>
      <w:r w:rsidR="0082096D" w:rsidRPr="0082096D">
        <w:rPr>
          <w:rFonts w:cstheme="minorHAnsi"/>
          <w:vertAlign w:val="superscript"/>
          <w:lang w:val="fr-FR"/>
        </w:rPr>
        <w:t>1</w:t>
      </w:r>
      <w:r w:rsidR="0082096D">
        <w:rPr>
          <w:rFonts w:cstheme="minorHAnsi"/>
          <w:lang w:val="fr-FR"/>
        </w:rPr>
        <w:t>Adam C</w:t>
      </w:r>
      <w:r w:rsidR="00BD4132">
        <w:rPr>
          <w:rFonts w:cstheme="minorHAnsi"/>
          <w:lang w:val="fr-FR"/>
        </w:rPr>
        <w:t>e</w:t>
      </w:r>
      <w:r w:rsidR="0082096D">
        <w:rPr>
          <w:rFonts w:cstheme="minorHAnsi"/>
          <w:lang w:val="fr-FR"/>
        </w:rPr>
        <w:t xml:space="preserve">lier (M.D.), </w:t>
      </w:r>
      <w:r w:rsidRPr="0082096D">
        <w:rPr>
          <w:rFonts w:cstheme="minorHAnsi"/>
          <w:vertAlign w:val="superscript"/>
          <w:lang w:val="fr-FR"/>
        </w:rPr>
        <w:t>1</w:t>
      </w:r>
      <w:r w:rsidRPr="0082096D">
        <w:rPr>
          <w:rFonts w:cstheme="minorHAnsi"/>
          <w:lang w:val="fr-FR"/>
        </w:rPr>
        <w:t xml:space="preserve">Loïc Le Guennec (M.D., Ph.D.), </w:t>
      </w:r>
      <w:r w:rsidRPr="0082096D">
        <w:rPr>
          <w:rFonts w:cstheme="minorHAnsi"/>
          <w:vertAlign w:val="superscript"/>
          <w:lang w:val="fr-FR"/>
        </w:rPr>
        <w:t>1</w:t>
      </w:r>
      <w:r w:rsidRPr="0082096D">
        <w:rPr>
          <w:rFonts w:cstheme="minorHAnsi"/>
          <w:lang w:val="fr-FR"/>
        </w:rPr>
        <w:t>Clémence Marois (M.D.</w:t>
      </w:r>
      <w:r w:rsidR="003C03B7" w:rsidRPr="0082096D">
        <w:rPr>
          <w:rFonts w:cstheme="minorHAnsi"/>
          <w:lang w:val="fr-FR"/>
        </w:rPr>
        <w:t>)</w:t>
      </w:r>
    </w:p>
    <w:p w:rsidR="00C0235A" w:rsidRPr="0082096D" w:rsidRDefault="00C0235A" w:rsidP="0082096D">
      <w:pPr>
        <w:spacing w:line="480" w:lineRule="auto"/>
        <w:rPr>
          <w:b/>
          <w:bCs/>
          <w:lang w:val="fr-FR"/>
        </w:rPr>
      </w:pPr>
    </w:p>
    <w:p w:rsidR="00C0235A" w:rsidRPr="0082096D" w:rsidRDefault="00C0235A" w:rsidP="0082096D">
      <w:pPr>
        <w:spacing w:line="480" w:lineRule="auto"/>
        <w:rPr>
          <w:b/>
          <w:bCs/>
        </w:rPr>
      </w:pPr>
      <w:r w:rsidRPr="0082096D">
        <w:rPr>
          <w:b/>
          <w:bCs/>
        </w:rPr>
        <w:t xml:space="preserve">Methodology for Carbon Footprint calculation </w:t>
      </w:r>
    </w:p>
    <w:p w:rsidR="00CC0CE6" w:rsidRPr="00801BE9" w:rsidRDefault="00CC0CE6" w:rsidP="00801BE9">
      <w:pPr>
        <w:spacing w:line="480" w:lineRule="auto"/>
        <w:jc w:val="both"/>
        <w:rPr>
          <w:rFonts w:cstheme="minorHAnsi"/>
        </w:rPr>
      </w:pPr>
      <w:r w:rsidRPr="0082096D">
        <w:rPr>
          <w:rFonts w:cstheme="minorHAnsi"/>
        </w:rPr>
        <w:t>We performed a comparative life cycle analysis of the ecological impact of IV sedatives and one volatile anesthetic agent used for seizure control in SRSE. The carbon emissions, expressed in kilograms of carbon dioxide equivalents (kgCO2eq), were estimated for propofol 1% and 2%, midazolam, thiopental, esketamine, ketamine and isoflurane using a comparative process-based Life Cycle Analysis (LCA) methodology following the ISO 14040/44 standards. The functional unit was defined as the administration of an anesthetic agent (sedative or volatile anesthetic) to an average patient admitted to a neurological ICU over a 24-hour treatment period. The reference flow includes the anesthetic agents as well as all medical devices and materials required for a standard preparation protocol. The system boundaries include the administration of the anesthetics and exclude all fixed assets in the ICU as well as the impacts related to the operation of the unit (heating, lighting, etc.) We employed the “Carbone” tool developed by Assistance Publique des Hôpitaux de Paris (AP-HP)) in 2023</w:t>
      </w:r>
      <w:r w:rsidR="004060A5" w:rsidRPr="0082096D">
        <w:rPr>
          <w:rFonts w:cstheme="minorHAnsi"/>
        </w:rPr>
        <w:t>.</w:t>
      </w:r>
      <w:r w:rsidR="00801BE9">
        <w:rPr>
          <w:rFonts w:cstheme="minorHAnsi"/>
        </w:rPr>
        <w:t xml:space="preserve"> </w:t>
      </w:r>
      <w:r w:rsidRPr="0082096D">
        <w:rPr>
          <w:rFonts w:cstheme="minorHAnsi"/>
        </w:rPr>
        <w:t xml:space="preserve">For each therapeutic agent, carbon footprint calculation, for each therapeutic agent, encompassed, active pharmaceutical ingredient production, excipients and formulation, packaging materials (vials, ampoules), medical devices for preparation (syringes, infusion sets, preparation needles, Y-connectors), dilution solutions (sodium chloride 0,9%, 50 mL bags), transport and conditioning, waste disposal and end-of-life management. For each IV anesthetic, the carbon footprint of one complete syringe preparation was calculated, including all medical devices </w:t>
      </w:r>
      <w:r w:rsidRPr="0082096D">
        <w:rPr>
          <w:rFonts w:cstheme="minorHAnsi"/>
        </w:rPr>
        <w:lastRenderedPageBreak/>
        <w:t>and materials required according to standard preparation protocols. This unit carbon footprint (kgCO2e per syringe) was then multiplied by the number of syringes required per hour, which varies according to the prescribed dose (mg/kg/h) and patient weight (kg).</w:t>
      </w:r>
      <w:r w:rsidR="00801BE9">
        <w:rPr>
          <w:rFonts w:cstheme="minorHAnsi"/>
        </w:rPr>
        <w:t xml:space="preserve"> </w:t>
      </w:r>
      <w:r w:rsidRPr="0082096D">
        <w:rPr>
          <w:rFonts w:cstheme="minorHAnsi"/>
        </w:rPr>
        <w:t>The calculation formula was:</w:t>
      </w:r>
      <w:r w:rsidRPr="0082096D">
        <w:rPr>
          <w:rFonts w:cstheme="minorHAnsi"/>
          <w:b/>
          <w:bCs/>
        </w:rPr>
        <w:t xml:space="preserve"> </w:t>
      </w:r>
      <w:r w:rsidRPr="0082096D">
        <w:rPr>
          <w:rStyle w:val="lev"/>
          <w:rFonts w:cstheme="minorHAnsi"/>
        </w:rPr>
        <w:t xml:space="preserve">Carbon footprint per hour (KgCO2e/h) = [(Number of syringes/h × Carbon footprint per syringe) + (Number of infusion sets/h × Carbon footprint per infusion set)]. </w:t>
      </w:r>
      <w:r w:rsidRPr="0082096D">
        <w:rPr>
          <w:rFonts w:cstheme="minorHAnsi"/>
        </w:rPr>
        <w:t>Where: Number of syringes/h = (Dose in mg/kg/h × Patient weight in kg) / Drug content per syringe (mg). Infusion sets were calculated based on weekly replacement protocols divided by treatment duration. Reference dosing ranges from published guidelines were used to model carbon footprint variations: propofol (3-4 mg/kg/h); midazolam (0,2-0,5 mg/kg/h); thiopental (2-5 mg/kg/h); ketamine (0,5-5 mg/kg/h); esketamine (0,25-2,5 mg/kg/h). For isoflurane, the carbon footprint included the AnaConDa® (Sedana Medical) reflector device, specific infusion sets, and the liquid anesthetic agent. Emissions were calculated for dosing ranges of 2-14 mL/h to achieve target end-tidal concentrations between 0,5% and 1.5%.</w:t>
      </w:r>
      <w:r w:rsidR="00FB5288" w:rsidRPr="0082096D">
        <w:rPr>
          <w:rFonts w:cstheme="minorHAnsi"/>
        </w:rPr>
        <w:t xml:space="preserve"> </w:t>
      </w:r>
      <w:r w:rsidRPr="0082096D">
        <w:rPr>
          <w:rFonts w:cstheme="minorHAnsi"/>
        </w:rPr>
        <w:t xml:space="preserve">Carbon footprints were calculated for 24-hour treatment periods at minimum, average, and maximum recommended doses for a reference patient weighing 70 kg. Results are presented as both hourly emissions (kgCO2eq per hour) and total 24-hour emissions (kgCO2eq per day), with their confidence uncertainty intervals. The uncertainties were calculated for each carbon footprint, and the total uncertainty for each scenario was estimated using the uncertainty propagation formula. </w:t>
      </w:r>
    </w:p>
    <w:p w:rsidR="00C0235A" w:rsidRDefault="00C0235A">
      <w:pPr>
        <w:sectPr w:rsidR="00C0235A" w:rsidSect="0082096D">
          <w:footerReference w:type="even" r:id="rId7"/>
          <w:footerReference w:type="default" r:id="rId8"/>
          <w:pgSz w:w="11906" w:h="16838"/>
          <w:pgMar w:top="1417" w:right="1417" w:bottom="1417" w:left="1417" w:header="708" w:footer="708" w:gutter="0"/>
          <w:lnNumType w:countBy="1" w:restart="continuous"/>
          <w:cols w:space="708"/>
          <w:docGrid w:linePitch="360"/>
        </w:sectPr>
      </w:pPr>
    </w:p>
    <w:p w:rsidR="00C0235A" w:rsidRDefault="00C0235A"/>
    <w:p w:rsidR="00C0235A" w:rsidRDefault="00C0235A"/>
    <w:p w:rsidR="00C0235A" w:rsidRDefault="00C0235A">
      <w:pPr>
        <w:rPr>
          <w:b/>
          <w:bCs/>
        </w:rPr>
      </w:pPr>
      <w:r w:rsidRPr="00C0235A">
        <w:rPr>
          <w:b/>
          <w:bCs/>
        </w:rPr>
        <w:t>Carbon Footprint</w:t>
      </w:r>
      <w:r w:rsidR="002A54EC">
        <w:rPr>
          <w:b/>
          <w:bCs/>
        </w:rPr>
        <w:t xml:space="preserve"> and </w:t>
      </w:r>
      <w:r w:rsidR="005A1173">
        <w:rPr>
          <w:b/>
          <w:bCs/>
        </w:rPr>
        <w:t>C</w:t>
      </w:r>
      <w:r w:rsidR="002A54EC">
        <w:rPr>
          <w:b/>
          <w:bCs/>
        </w:rPr>
        <w:t>osts</w:t>
      </w:r>
      <w:r w:rsidRPr="00C0235A">
        <w:rPr>
          <w:b/>
          <w:bCs/>
        </w:rPr>
        <w:t xml:space="preserve"> </w:t>
      </w:r>
      <w:r w:rsidR="005A1173">
        <w:rPr>
          <w:b/>
          <w:bCs/>
        </w:rPr>
        <w:t>R</w:t>
      </w:r>
      <w:r w:rsidRPr="00C0235A">
        <w:rPr>
          <w:b/>
          <w:bCs/>
        </w:rPr>
        <w:t xml:space="preserve">esults </w:t>
      </w:r>
    </w:p>
    <w:p w:rsidR="00CC0CE6" w:rsidRPr="00CC0CE6" w:rsidRDefault="00CC0CE6" w:rsidP="00CC0CE6"/>
    <w:p w:rsidR="00CC0CE6" w:rsidRPr="00CC0CE6" w:rsidRDefault="00CC0CE6" w:rsidP="00CC0CE6"/>
    <w:p w:rsidR="00D37278" w:rsidRPr="00CC0CE6" w:rsidRDefault="00CC0CE6" w:rsidP="00CC0CE6">
      <w:pPr>
        <w:tabs>
          <w:tab w:val="left" w:pos="1584"/>
        </w:tabs>
        <w:rPr>
          <w:i/>
          <w:iCs/>
          <w:sz w:val="20"/>
          <w:szCs w:val="20"/>
        </w:rPr>
      </w:pPr>
      <w:r w:rsidRPr="00CC0CE6">
        <w:rPr>
          <w:i/>
          <w:iCs/>
          <w:sz w:val="20"/>
          <w:szCs w:val="20"/>
          <w:u w:val="single"/>
        </w:rPr>
        <w:t>Legend</w:t>
      </w:r>
      <w:r w:rsidRPr="00CC0CE6">
        <w:rPr>
          <w:i/>
          <w:iCs/>
          <w:sz w:val="20"/>
          <w:szCs w:val="20"/>
        </w:rPr>
        <w:t>: MD for medical device; GHG for Green</w:t>
      </w:r>
      <w:r>
        <w:rPr>
          <w:i/>
          <w:iCs/>
          <w:sz w:val="20"/>
          <w:szCs w:val="20"/>
        </w:rPr>
        <w:t>h</w:t>
      </w:r>
      <w:r w:rsidRPr="00CC0CE6">
        <w:rPr>
          <w:i/>
          <w:iCs/>
          <w:sz w:val="20"/>
          <w:szCs w:val="20"/>
        </w:rPr>
        <w:t>ouse G</w:t>
      </w:r>
      <w:r>
        <w:rPr>
          <w:i/>
          <w:iCs/>
          <w:sz w:val="20"/>
          <w:szCs w:val="20"/>
        </w:rPr>
        <w:t>as</w:t>
      </w:r>
      <w:r w:rsidR="00C155DF">
        <w:rPr>
          <w:i/>
          <w:iCs/>
          <w:sz w:val="20"/>
          <w:szCs w:val="20"/>
        </w:rPr>
        <w:t>. Results are expressed in kgCO2eq for carbon emissions</w:t>
      </w:r>
      <w:r w:rsidR="006D0C80">
        <w:rPr>
          <w:i/>
          <w:iCs/>
          <w:sz w:val="20"/>
          <w:szCs w:val="20"/>
        </w:rPr>
        <w:t xml:space="preserve"> with their incertitude confidence intervals</w:t>
      </w:r>
      <w:r w:rsidR="00C155DF">
        <w:rPr>
          <w:i/>
          <w:iCs/>
          <w:sz w:val="20"/>
          <w:szCs w:val="20"/>
        </w:rPr>
        <w:t xml:space="preserve">. Costs are expressed in euros (€). </w:t>
      </w:r>
    </w:p>
    <w:tbl>
      <w:tblPr>
        <w:tblStyle w:val="TableauGrille4-Accentuation1"/>
        <w:tblpPr w:leftFromText="141" w:rightFromText="141" w:vertAnchor="page" w:horzAnchor="margin" w:tblpX="-431" w:tblpY="2116"/>
        <w:tblW w:w="15974" w:type="dxa"/>
        <w:tblLayout w:type="fixed"/>
        <w:tblLook w:val="04A0" w:firstRow="1" w:lastRow="0" w:firstColumn="1" w:lastColumn="0" w:noHBand="0" w:noVBand="1"/>
      </w:tblPr>
      <w:tblGrid>
        <w:gridCol w:w="1494"/>
        <w:gridCol w:w="846"/>
        <w:gridCol w:w="37"/>
        <w:gridCol w:w="737"/>
        <w:gridCol w:w="850"/>
        <w:gridCol w:w="993"/>
        <w:gridCol w:w="1134"/>
        <w:gridCol w:w="1275"/>
        <w:gridCol w:w="993"/>
        <w:gridCol w:w="708"/>
        <w:gridCol w:w="851"/>
        <w:gridCol w:w="850"/>
        <w:gridCol w:w="1134"/>
        <w:gridCol w:w="851"/>
        <w:gridCol w:w="850"/>
        <w:gridCol w:w="1276"/>
        <w:gridCol w:w="1095"/>
      </w:tblGrid>
      <w:tr w:rsidR="00D37278" w:rsidRPr="002A54EC" w:rsidTr="006D0C80">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494" w:type="dxa"/>
            <w:vAlign w:val="center"/>
          </w:tcPr>
          <w:p w:rsidR="00D37278" w:rsidRPr="002A54EC" w:rsidRDefault="00D37278" w:rsidP="006D0C80">
            <w:pPr>
              <w:rPr>
                <w:rFonts w:ascii="Calibri" w:hAnsi="Calibri" w:cs="Calibri"/>
                <w:b w:val="0"/>
                <w:bCs w:val="0"/>
                <w:color w:val="FFFFFF"/>
                <w:sz w:val="16"/>
                <w:szCs w:val="16"/>
                <w:lang w:val="fr-FR"/>
              </w:rPr>
            </w:pPr>
            <w:r w:rsidRPr="002A54EC">
              <w:rPr>
                <w:rFonts w:ascii="Calibri" w:hAnsi="Calibri" w:cs="Calibri"/>
                <w:color w:val="FFFFFF"/>
                <w:sz w:val="16"/>
                <w:szCs w:val="16"/>
              </w:rPr>
              <w:t>TREATMENT</w:t>
            </w:r>
          </w:p>
        </w:tc>
        <w:tc>
          <w:tcPr>
            <w:tcW w:w="846"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DOSES</w:t>
            </w:r>
          </w:p>
        </w:tc>
        <w:tc>
          <w:tcPr>
            <w:tcW w:w="774" w:type="dxa"/>
            <w:gridSpan w:val="2"/>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Dose min h</w:t>
            </w:r>
          </w:p>
        </w:tc>
        <w:tc>
          <w:tcPr>
            <w:tcW w:w="850"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Dose mean h</w:t>
            </w:r>
          </w:p>
        </w:tc>
        <w:tc>
          <w:tcPr>
            <w:tcW w:w="993"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Dose max h</w:t>
            </w:r>
          </w:p>
        </w:tc>
        <w:tc>
          <w:tcPr>
            <w:tcW w:w="1134"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 xml:space="preserve">Dose </w:t>
            </w:r>
          </w:p>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min 24h</w:t>
            </w:r>
          </w:p>
        </w:tc>
        <w:tc>
          <w:tcPr>
            <w:tcW w:w="1275"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Dose mean 24h</w:t>
            </w:r>
          </w:p>
        </w:tc>
        <w:tc>
          <w:tcPr>
            <w:tcW w:w="993"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 xml:space="preserve">Dose </w:t>
            </w:r>
          </w:p>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max 24h</w:t>
            </w:r>
          </w:p>
        </w:tc>
        <w:tc>
          <w:tcPr>
            <w:tcW w:w="708"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Incertitude</w:t>
            </w:r>
          </w:p>
        </w:tc>
        <w:tc>
          <w:tcPr>
            <w:tcW w:w="851"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w:t>
            </w:r>
          </w:p>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Medicine</w:t>
            </w:r>
          </w:p>
        </w:tc>
        <w:tc>
          <w:tcPr>
            <w:tcW w:w="850"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%MD administration</w:t>
            </w:r>
          </w:p>
        </w:tc>
        <w:tc>
          <w:tcPr>
            <w:tcW w:w="1134"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 GHG - atmospheric release</w:t>
            </w:r>
          </w:p>
        </w:tc>
        <w:tc>
          <w:tcPr>
            <w:tcW w:w="851"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Medicine</w:t>
            </w:r>
          </w:p>
        </w:tc>
        <w:tc>
          <w:tcPr>
            <w:tcW w:w="850"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DM for administration</w:t>
            </w:r>
          </w:p>
        </w:tc>
        <w:tc>
          <w:tcPr>
            <w:tcW w:w="1276" w:type="dxa"/>
            <w:noWrap/>
            <w:vAlign w:val="center"/>
            <w:hideMark/>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sidRPr="002A54EC">
              <w:rPr>
                <w:rFonts w:eastAsia="Times New Roman" w:cstheme="minorHAnsi"/>
                <w:color w:val="FFFFFF"/>
                <w:kern w:val="0"/>
                <w:sz w:val="16"/>
                <w:szCs w:val="16"/>
                <w:lang w:eastAsia="fr-FR"/>
                <w14:ligatures w14:val="none"/>
              </w:rPr>
              <w:t>Atmospheric Gas Emission</w:t>
            </w:r>
          </w:p>
        </w:tc>
        <w:tc>
          <w:tcPr>
            <w:tcW w:w="1095" w:type="dxa"/>
            <w:vAlign w:val="center"/>
          </w:tcPr>
          <w:p w:rsidR="00D37278" w:rsidRPr="002A54EC" w:rsidRDefault="00D37278" w:rsidP="006D0C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kern w:val="0"/>
                <w:sz w:val="16"/>
                <w:szCs w:val="16"/>
                <w:lang w:eastAsia="fr-FR"/>
                <w14:ligatures w14:val="none"/>
              </w:rPr>
            </w:pPr>
            <w:r>
              <w:rPr>
                <w:rFonts w:eastAsia="Times New Roman" w:cstheme="minorHAnsi"/>
                <w:color w:val="FFFFFF"/>
                <w:kern w:val="0"/>
                <w:sz w:val="16"/>
                <w:szCs w:val="16"/>
                <w:lang w:eastAsia="fr-FR"/>
                <w14:ligatures w14:val="none"/>
              </w:rPr>
              <w:t>Costs over 24h, for mean doses</w:t>
            </w:r>
          </w:p>
        </w:tc>
      </w:tr>
      <w:tr w:rsidR="00D37278" w:rsidRPr="002A54EC" w:rsidTr="006D0C80">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494" w:type="dxa"/>
            <w:vAlign w:val="center"/>
          </w:tcPr>
          <w:p w:rsidR="00D37278" w:rsidRPr="002A54EC" w:rsidRDefault="00D37278" w:rsidP="006D0C80">
            <w:pPr>
              <w:rPr>
                <w:rFonts w:ascii="Calibri" w:hAnsi="Calibri" w:cs="Calibri"/>
                <w:color w:val="000000"/>
                <w:sz w:val="16"/>
                <w:szCs w:val="16"/>
              </w:rPr>
            </w:pPr>
            <w:r w:rsidRPr="002A54EC">
              <w:rPr>
                <w:rFonts w:ascii="Calibri" w:hAnsi="Calibri" w:cs="Calibri"/>
                <w:color w:val="000000"/>
                <w:sz w:val="16"/>
                <w:szCs w:val="16"/>
              </w:rPr>
              <w:t>THIOPENTAL PAMPHARMA 500 MG (powder)</w:t>
            </w:r>
          </w:p>
        </w:tc>
        <w:tc>
          <w:tcPr>
            <w:tcW w:w="883" w:type="dxa"/>
            <w:gridSpan w:val="2"/>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2-5 mg/kg/h</w:t>
            </w:r>
          </w:p>
        </w:tc>
        <w:tc>
          <w:tcPr>
            <w:tcW w:w="737"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lang w:val="fr-FR"/>
              </w:rPr>
            </w:pPr>
            <w:r w:rsidRPr="00D37278">
              <w:rPr>
                <w:sz w:val="16"/>
                <w:szCs w:val="16"/>
              </w:rPr>
              <w:t xml:space="preserve">0,39 </w:t>
            </w:r>
            <w:r w:rsidRPr="00D37278">
              <w:rPr>
                <w:rStyle w:val="ic"/>
                <w:sz w:val="16"/>
                <w:szCs w:val="16"/>
              </w:rPr>
              <w:t>[0,21 – 0,57]</w:t>
            </w:r>
          </w:p>
        </w:tc>
        <w:tc>
          <w:tcPr>
            <w:tcW w:w="850"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rStyle w:val="lev"/>
                <w:b w:val="0"/>
                <w:bCs w:val="0"/>
                <w:sz w:val="16"/>
                <w:szCs w:val="16"/>
              </w:rPr>
              <w:t xml:space="preserve">0,68 </w:t>
            </w:r>
            <w:r w:rsidRPr="00D37278">
              <w:rPr>
                <w:rStyle w:val="ic"/>
                <w:sz w:val="16"/>
                <w:szCs w:val="16"/>
              </w:rPr>
              <w:t>[0,50 – 0,86]</w:t>
            </w:r>
          </w:p>
        </w:tc>
        <w:tc>
          <w:tcPr>
            <w:tcW w:w="993"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0,97 </w:t>
            </w:r>
            <w:r w:rsidRPr="00D37278">
              <w:rPr>
                <w:rStyle w:val="ic"/>
                <w:sz w:val="16"/>
                <w:szCs w:val="16"/>
              </w:rPr>
              <w:t>[0,79 – 1,15]</w:t>
            </w:r>
          </w:p>
        </w:tc>
        <w:tc>
          <w:tcPr>
            <w:tcW w:w="1134"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9,28 </w:t>
            </w:r>
            <w:r w:rsidRPr="00D37278">
              <w:rPr>
                <w:rStyle w:val="ic"/>
                <w:sz w:val="16"/>
                <w:szCs w:val="16"/>
              </w:rPr>
              <w:t>[4,96 – 13,60]</w:t>
            </w:r>
          </w:p>
        </w:tc>
        <w:tc>
          <w:tcPr>
            <w:tcW w:w="1275"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rStyle w:val="lev"/>
                <w:b w:val="0"/>
                <w:bCs w:val="0"/>
                <w:sz w:val="16"/>
                <w:szCs w:val="16"/>
              </w:rPr>
              <w:t xml:space="preserve">16,23 </w:t>
            </w:r>
            <w:r w:rsidRPr="00D37278">
              <w:rPr>
                <w:rStyle w:val="ic"/>
                <w:sz w:val="16"/>
                <w:szCs w:val="16"/>
              </w:rPr>
              <w:t>[11,91 – 20,55]</w:t>
            </w:r>
          </w:p>
        </w:tc>
        <w:tc>
          <w:tcPr>
            <w:tcW w:w="993"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23,19 </w:t>
            </w:r>
            <w:r w:rsidRPr="00D37278">
              <w:rPr>
                <w:rStyle w:val="ic"/>
                <w:sz w:val="16"/>
                <w:szCs w:val="16"/>
              </w:rPr>
              <w:t>[18,87 – 27,51</w:t>
            </w:r>
          </w:p>
        </w:tc>
        <w:tc>
          <w:tcPr>
            <w:tcW w:w="708"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55%</w:t>
            </w:r>
          </w:p>
        </w:tc>
        <w:tc>
          <w:tcPr>
            <w:tcW w:w="851"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75%</w:t>
            </w:r>
          </w:p>
        </w:tc>
        <w:tc>
          <w:tcPr>
            <w:tcW w:w="850"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25%</w:t>
            </w:r>
          </w:p>
        </w:tc>
        <w:tc>
          <w:tcPr>
            <w:tcW w:w="1134"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w:t>
            </w:r>
          </w:p>
        </w:tc>
        <w:tc>
          <w:tcPr>
            <w:tcW w:w="851"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0,50</w:t>
            </w:r>
          </w:p>
        </w:tc>
        <w:tc>
          <w:tcPr>
            <w:tcW w:w="850"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0,17</w:t>
            </w:r>
          </w:p>
        </w:tc>
        <w:tc>
          <w:tcPr>
            <w:tcW w:w="1276"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0,00</w:t>
            </w:r>
          </w:p>
        </w:tc>
        <w:tc>
          <w:tcPr>
            <w:tcW w:w="1095" w:type="dxa"/>
            <w:vAlign w:val="center"/>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val="fr-FR"/>
              </w:rPr>
            </w:pPr>
            <w:r w:rsidRPr="002A54EC">
              <w:rPr>
                <w:rFonts w:ascii="Calibri" w:hAnsi="Calibri" w:cs="Calibri"/>
                <w:color w:val="000000"/>
                <w:sz w:val="16"/>
                <w:szCs w:val="16"/>
              </w:rPr>
              <w:t xml:space="preserve">132,64 € </w:t>
            </w:r>
          </w:p>
        </w:tc>
      </w:tr>
      <w:tr w:rsidR="00D37278" w:rsidRPr="002A54EC" w:rsidTr="006D0C80">
        <w:trPr>
          <w:trHeight w:val="616"/>
        </w:trPr>
        <w:tc>
          <w:tcPr>
            <w:cnfStyle w:val="001000000000" w:firstRow="0" w:lastRow="0" w:firstColumn="1" w:lastColumn="0" w:oddVBand="0" w:evenVBand="0" w:oddHBand="0" w:evenHBand="0" w:firstRowFirstColumn="0" w:firstRowLastColumn="0" w:lastRowFirstColumn="0" w:lastRowLastColumn="0"/>
            <w:tcW w:w="1494" w:type="dxa"/>
            <w:vAlign w:val="center"/>
          </w:tcPr>
          <w:p w:rsidR="00D37278" w:rsidRPr="002A54EC" w:rsidRDefault="00D37278" w:rsidP="006D0C80">
            <w:pPr>
              <w:rPr>
                <w:rFonts w:ascii="Calibri" w:hAnsi="Calibri" w:cs="Calibri"/>
                <w:color w:val="000000"/>
                <w:sz w:val="16"/>
                <w:szCs w:val="16"/>
              </w:rPr>
            </w:pPr>
            <w:r w:rsidRPr="002A54EC">
              <w:rPr>
                <w:rFonts w:ascii="Calibri" w:hAnsi="Calibri" w:cs="Calibri"/>
                <w:color w:val="000000"/>
                <w:sz w:val="16"/>
                <w:szCs w:val="16"/>
              </w:rPr>
              <w:t>ISOFLURANE 100% (1 ml/ml) liquid for inhalation vapor</w:t>
            </w:r>
          </w:p>
        </w:tc>
        <w:tc>
          <w:tcPr>
            <w:tcW w:w="883" w:type="dxa"/>
            <w:gridSpan w:val="2"/>
            <w:noWrap/>
            <w:vAlign w:val="center"/>
            <w:hideMark/>
          </w:tcPr>
          <w:p w:rsidR="006D0C80"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 xml:space="preserve">2-14 </w:t>
            </w:r>
          </w:p>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 xml:space="preserve">ml/h </w:t>
            </w:r>
          </w:p>
        </w:tc>
        <w:tc>
          <w:tcPr>
            <w:tcW w:w="737"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lang w:val="fr-FR"/>
              </w:rPr>
            </w:pPr>
            <w:r w:rsidRPr="00D37278">
              <w:rPr>
                <w:sz w:val="16"/>
                <w:szCs w:val="16"/>
              </w:rPr>
              <w:t xml:space="preserve">1,77 </w:t>
            </w:r>
            <w:r w:rsidRPr="00D37278">
              <w:rPr>
                <w:rStyle w:val="ic"/>
                <w:sz w:val="16"/>
                <w:szCs w:val="16"/>
              </w:rPr>
              <w:t>[0,26 – 3,28]</w:t>
            </w:r>
          </w:p>
        </w:tc>
        <w:tc>
          <w:tcPr>
            <w:tcW w:w="850"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rStyle w:val="lev"/>
                <w:b w:val="0"/>
                <w:bCs w:val="0"/>
                <w:sz w:val="16"/>
                <w:szCs w:val="16"/>
              </w:rPr>
              <w:t xml:space="preserve">6,68 </w:t>
            </w:r>
            <w:r w:rsidRPr="00D37278">
              <w:rPr>
                <w:rStyle w:val="ic"/>
                <w:sz w:val="16"/>
                <w:szCs w:val="16"/>
              </w:rPr>
              <w:t>[5,17 – 8,19]</w:t>
            </w:r>
          </w:p>
        </w:tc>
        <w:tc>
          <w:tcPr>
            <w:tcW w:w="993"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sz w:val="16"/>
                <w:szCs w:val="16"/>
              </w:rPr>
              <w:t xml:space="preserve">11,59 </w:t>
            </w:r>
            <w:r w:rsidRPr="00D37278">
              <w:rPr>
                <w:rStyle w:val="ic"/>
                <w:sz w:val="16"/>
                <w:szCs w:val="16"/>
              </w:rPr>
              <w:t>[10,08 – 13,10]</w:t>
            </w:r>
          </w:p>
        </w:tc>
        <w:tc>
          <w:tcPr>
            <w:tcW w:w="1134"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sz w:val="16"/>
                <w:szCs w:val="16"/>
              </w:rPr>
              <w:t xml:space="preserve">57,03 </w:t>
            </w:r>
            <w:r w:rsidRPr="00D37278">
              <w:rPr>
                <w:rStyle w:val="ic"/>
                <w:sz w:val="16"/>
                <w:szCs w:val="16"/>
              </w:rPr>
              <w:t>[20,79 – 93,27]</w:t>
            </w:r>
          </w:p>
        </w:tc>
        <w:tc>
          <w:tcPr>
            <w:tcW w:w="1275"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rStyle w:val="lev"/>
                <w:b w:val="0"/>
                <w:bCs w:val="0"/>
                <w:sz w:val="16"/>
                <w:szCs w:val="16"/>
              </w:rPr>
              <w:t xml:space="preserve">218,61 </w:t>
            </w:r>
            <w:r w:rsidRPr="00D37278">
              <w:rPr>
                <w:rStyle w:val="ic"/>
                <w:sz w:val="16"/>
                <w:szCs w:val="16"/>
              </w:rPr>
              <w:t>[182,37 – 254,85]</w:t>
            </w:r>
          </w:p>
        </w:tc>
        <w:tc>
          <w:tcPr>
            <w:tcW w:w="993"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sz w:val="16"/>
                <w:szCs w:val="16"/>
              </w:rPr>
              <w:t xml:space="preserve">380,19 </w:t>
            </w:r>
            <w:r w:rsidRPr="00D37278">
              <w:rPr>
                <w:rStyle w:val="ic"/>
                <w:sz w:val="16"/>
                <w:szCs w:val="16"/>
              </w:rPr>
              <w:t>[343,95 – 416,43]</w:t>
            </w:r>
          </w:p>
        </w:tc>
        <w:tc>
          <w:tcPr>
            <w:tcW w:w="708"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45%</w:t>
            </w:r>
          </w:p>
        </w:tc>
        <w:tc>
          <w:tcPr>
            <w:tcW w:w="851"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24%</w:t>
            </w:r>
          </w:p>
        </w:tc>
        <w:tc>
          <w:tcPr>
            <w:tcW w:w="850"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6%</w:t>
            </w:r>
          </w:p>
        </w:tc>
        <w:tc>
          <w:tcPr>
            <w:tcW w:w="1134"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71%</w:t>
            </w:r>
          </w:p>
        </w:tc>
        <w:tc>
          <w:tcPr>
            <w:tcW w:w="851"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1,58</w:t>
            </w:r>
          </w:p>
        </w:tc>
        <w:tc>
          <w:tcPr>
            <w:tcW w:w="850"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0,38</w:t>
            </w:r>
          </w:p>
        </w:tc>
        <w:tc>
          <w:tcPr>
            <w:tcW w:w="1276"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4,72</w:t>
            </w:r>
          </w:p>
        </w:tc>
        <w:tc>
          <w:tcPr>
            <w:tcW w:w="1095" w:type="dxa"/>
            <w:vAlign w:val="center"/>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A54EC">
              <w:rPr>
                <w:rFonts w:ascii="Calibri" w:hAnsi="Calibri" w:cs="Calibri"/>
                <w:color w:val="000000"/>
                <w:sz w:val="16"/>
                <w:szCs w:val="16"/>
              </w:rPr>
              <w:t xml:space="preserve">2 269,77 € </w:t>
            </w:r>
          </w:p>
        </w:tc>
      </w:tr>
      <w:tr w:rsidR="00D37278" w:rsidRPr="002A54EC" w:rsidTr="006D0C80">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494" w:type="dxa"/>
            <w:vAlign w:val="center"/>
          </w:tcPr>
          <w:p w:rsidR="00D37278" w:rsidRPr="002A54EC" w:rsidRDefault="00D37278" w:rsidP="006D0C80">
            <w:pPr>
              <w:rPr>
                <w:rFonts w:ascii="Calibri" w:hAnsi="Calibri" w:cs="Calibri"/>
                <w:color w:val="000000"/>
                <w:sz w:val="16"/>
                <w:szCs w:val="16"/>
              </w:rPr>
            </w:pPr>
            <w:r w:rsidRPr="002A54EC">
              <w:rPr>
                <w:rFonts w:ascii="Calibri" w:hAnsi="Calibri" w:cs="Calibri"/>
                <w:color w:val="000000"/>
                <w:sz w:val="16"/>
                <w:szCs w:val="16"/>
              </w:rPr>
              <w:t>ESKETAMINE IDD 250 mg/10ml (25 mg/ml)</w:t>
            </w:r>
          </w:p>
        </w:tc>
        <w:tc>
          <w:tcPr>
            <w:tcW w:w="883" w:type="dxa"/>
            <w:gridSpan w:val="2"/>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0,25-2,5 mg/kg/h</w:t>
            </w:r>
          </w:p>
        </w:tc>
        <w:tc>
          <w:tcPr>
            <w:tcW w:w="737"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lang w:val="fr-FR"/>
              </w:rPr>
            </w:pPr>
            <w:r w:rsidRPr="00D37278">
              <w:rPr>
                <w:sz w:val="16"/>
                <w:szCs w:val="16"/>
              </w:rPr>
              <w:t xml:space="preserve">0,04 </w:t>
            </w:r>
            <w:r w:rsidRPr="00D37278">
              <w:rPr>
                <w:rStyle w:val="ic"/>
                <w:sz w:val="16"/>
                <w:szCs w:val="16"/>
              </w:rPr>
              <w:t>[0,00 – 0,10]</w:t>
            </w:r>
          </w:p>
        </w:tc>
        <w:tc>
          <w:tcPr>
            <w:tcW w:w="850"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rStyle w:val="lev"/>
                <w:b w:val="0"/>
                <w:bCs w:val="0"/>
                <w:sz w:val="16"/>
                <w:szCs w:val="16"/>
              </w:rPr>
              <w:t xml:space="preserve">0,21 </w:t>
            </w:r>
            <w:r w:rsidRPr="00D37278">
              <w:rPr>
                <w:rStyle w:val="ic"/>
                <w:sz w:val="16"/>
                <w:szCs w:val="16"/>
              </w:rPr>
              <w:t>[0,15 – 0,27]</w:t>
            </w:r>
          </w:p>
        </w:tc>
        <w:tc>
          <w:tcPr>
            <w:tcW w:w="993"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0,38 </w:t>
            </w:r>
            <w:r w:rsidRPr="00D37278">
              <w:rPr>
                <w:rStyle w:val="ic"/>
                <w:sz w:val="16"/>
                <w:szCs w:val="16"/>
              </w:rPr>
              <w:t>[0,32 – 0,44]</w:t>
            </w:r>
          </w:p>
        </w:tc>
        <w:tc>
          <w:tcPr>
            <w:tcW w:w="1134"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0,92 </w:t>
            </w:r>
            <w:r w:rsidRPr="00D37278">
              <w:rPr>
                <w:rStyle w:val="ic"/>
                <w:sz w:val="16"/>
                <w:szCs w:val="16"/>
              </w:rPr>
              <w:t>[0,00 – 2,36]</w:t>
            </w:r>
          </w:p>
        </w:tc>
        <w:tc>
          <w:tcPr>
            <w:tcW w:w="1275"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rStyle w:val="lev"/>
                <w:b w:val="0"/>
                <w:bCs w:val="0"/>
                <w:sz w:val="16"/>
                <w:szCs w:val="16"/>
              </w:rPr>
              <w:t xml:space="preserve">5,03 </w:t>
            </w:r>
            <w:r w:rsidRPr="00D37278">
              <w:rPr>
                <w:rStyle w:val="ic"/>
                <w:sz w:val="16"/>
                <w:szCs w:val="16"/>
              </w:rPr>
              <w:t>[3,59 – 6,47]</w:t>
            </w:r>
          </w:p>
        </w:tc>
        <w:tc>
          <w:tcPr>
            <w:tcW w:w="993"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9,14 </w:t>
            </w:r>
            <w:r w:rsidRPr="00D37278">
              <w:rPr>
                <w:rStyle w:val="ic"/>
                <w:sz w:val="16"/>
                <w:szCs w:val="16"/>
              </w:rPr>
              <w:t>[7,70 – 10,58]</w:t>
            </w:r>
          </w:p>
        </w:tc>
        <w:tc>
          <w:tcPr>
            <w:tcW w:w="708"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59%</w:t>
            </w:r>
          </w:p>
        </w:tc>
        <w:tc>
          <w:tcPr>
            <w:tcW w:w="851"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74%</w:t>
            </w:r>
          </w:p>
        </w:tc>
        <w:tc>
          <w:tcPr>
            <w:tcW w:w="850"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26%</w:t>
            </w:r>
          </w:p>
        </w:tc>
        <w:tc>
          <w:tcPr>
            <w:tcW w:w="1134"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w:t>
            </w:r>
          </w:p>
        </w:tc>
        <w:tc>
          <w:tcPr>
            <w:tcW w:w="851"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0,16</w:t>
            </w:r>
          </w:p>
        </w:tc>
        <w:tc>
          <w:tcPr>
            <w:tcW w:w="850"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0,05</w:t>
            </w:r>
          </w:p>
        </w:tc>
        <w:tc>
          <w:tcPr>
            <w:tcW w:w="1276"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0,00</w:t>
            </w:r>
          </w:p>
        </w:tc>
        <w:tc>
          <w:tcPr>
            <w:tcW w:w="1095" w:type="dxa"/>
            <w:vAlign w:val="center"/>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2A54EC">
              <w:rPr>
                <w:rFonts w:ascii="Calibri" w:hAnsi="Calibri" w:cs="Calibri"/>
                <w:color w:val="000000"/>
                <w:sz w:val="16"/>
                <w:szCs w:val="16"/>
              </w:rPr>
              <w:t xml:space="preserve">59,09 € </w:t>
            </w:r>
          </w:p>
        </w:tc>
      </w:tr>
      <w:tr w:rsidR="00D37278" w:rsidRPr="002A54EC" w:rsidTr="006D0C80">
        <w:trPr>
          <w:trHeight w:val="616"/>
        </w:trPr>
        <w:tc>
          <w:tcPr>
            <w:cnfStyle w:val="001000000000" w:firstRow="0" w:lastRow="0" w:firstColumn="1" w:lastColumn="0" w:oddVBand="0" w:evenVBand="0" w:oddHBand="0" w:evenHBand="0" w:firstRowFirstColumn="0" w:firstRowLastColumn="0" w:lastRowFirstColumn="0" w:lastRowLastColumn="0"/>
            <w:tcW w:w="1494" w:type="dxa"/>
            <w:vAlign w:val="center"/>
          </w:tcPr>
          <w:p w:rsidR="00D37278" w:rsidRPr="002A54EC" w:rsidRDefault="00D37278" w:rsidP="006D0C80">
            <w:pPr>
              <w:rPr>
                <w:rFonts w:ascii="Calibri" w:hAnsi="Calibri" w:cs="Calibri"/>
                <w:color w:val="000000"/>
                <w:sz w:val="16"/>
                <w:szCs w:val="16"/>
              </w:rPr>
            </w:pPr>
            <w:r w:rsidRPr="002A54EC">
              <w:rPr>
                <w:rFonts w:ascii="Calibri" w:hAnsi="Calibri" w:cs="Calibri"/>
                <w:color w:val="000000"/>
                <w:sz w:val="16"/>
                <w:szCs w:val="16"/>
              </w:rPr>
              <w:t>KETAMINE 250mg/5ml (50 mg/ml)</w:t>
            </w:r>
          </w:p>
        </w:tc>
        <w:tc>
          <w:tcPr>
            <w:tcW w:w="883" w:type="dxa"/>
            <w:gridSpan w:val="2"/>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0,5-5 mg/kg/h</w:t>
            </w:r>
          </w:p>
        </w:tc>
        <w:tc>
          <w:tcPr>
            <w:tcW w:w="737"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lang w:val="fr-FR"/>
              </w:rPr>
            </w:pPr>
            <w:r w:rsidRPr="00D37278">
              <w:rPr>
                <w:sz w:val="16"/>
                <w:szCs w:val="16"/>
              </w:rPr>
              <w:t xml:space="preserve">0,05 </w:t>
            </w:r>
            <w:r w:rsidRPr="00D37278">
              <w:rPr>
                <w:rStyle w:val="ic"/>
                <w:sz w:val="16"/>
                <w:szCs w:val="16"/>
              </w:rPr>
              <w:t>[0,00 – 0,12]</w:t>
            </w:r>
          </w:p>
        </w:tc>
        <w:tc>
          <w:tcPr>
            <w:tcW w:w="850"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rStyle w:val="lev"/>
                <w:b w:val="0"/>
                <w:bCs w:val="0"/>
                <w:sz w:val="16"/>
                <w:szCs w:val="16"/>
              </w:rPr>
              <w:t xml:space="preserve">0,25 </w:t>
            </w:r>
            <w:r w:rsidRPr="00D37278">
              <w:rPr>
                <w:rStyle w:val="ic"/>
                <w:sz w:val="16"/>
                <w:szCs w:val="16"/>
              </w:rPr>
              <w:t>[0,18 – 0,32]</w:t>
            </w:r>
          </w:p>
        </w:tc>
        <w:tc>
          <w:tcPr>
            <w:tcW w:w="993"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sz w:val="16"/>
                <w:szCs w:val="16"/>
              </w:rPr>
              <w:t xml:space="preserve">0,45 </w:t>
            </w:r>
            <w:r w:rsidRPr="00D37278">
              <w:rPr>
                <w:rStyle w:val="ic"/>
                <w:sz w:val="16"/>
                <w:szCs w:val="16"/>
              </w:rPr>
              <w:t>[0,38 – 0,52]</w:t>
            </w:r>
          </w:p>
        </w:tc>
        <w:tc>
          <w:tcPr>
            <w:tcW w:w="1134"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sz w:val="16"/>
                <w:szCs w:val="16"/>
              </w:rPr>
              <w:t xml:space="preserve">1,08 </w:t>
            </w:r>
            <w:r w:rsidRPr="00D37278">
              <w:rPr>
                <w:rStyle w:val="ic"/>
                <w:sz w:val="16"/>
                <w:szCs w:val="16"/>
              </w:rPr>
              <w:t>[0,00 – 2,76]</w:t>
            </w:r>
          </w:p>
        </w:tc>
        <w:tc>
          <w:tcPr>
            <w:tcW w:w="1275"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rStyle w:val="lev"/>
                <w:b w:val="0"/>
                <w:bCs w:val="0"/>
                <w:sz w:val="16"/>
                <w:szCs w:val="16"/>
              </w:rPr>
              <w:t xml:space="preserve">5,91 </w:t>
            </w:r>
            <w:r w:rsidRPr="00D37278">
              <w:rPr>
                <w:rStyle w:val="ic"/>
                <w:sz w:val="16"/>
                <w:szCs w:val="16"/>
              </w:rPr>
              <w:t>[4,23 – 7,59]</w:t>
            </w:r>
          </w:p>
        </w:tc>
        <w:tc>
          <w:tcPr>
            <w:tcW w:w="993"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sz w:val="16"/>
                <w:szCs w:val="16"/>
              </w:rPr>
              <w:t xml:space="preserve">10,74 </w:t>
            </w:r>
            <w:r w:rsidRPr="00D37278">
              <w:rPr>
                <w:rStyle w:val="ic"/>
                <w:sz w:val="16"/>
                <w:szCs w:val="16"/>
              </w:rPr>
              <w:t>[9,06 – 12,42]</w:t>
            </w:r>
          </w:p>
        </w:tc>
        <w:tc>
          <w:tcPr>
            <w:tcW w:w="708"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63%</w:t>
            </w:r>
          </w:p>
        </w:tc>
        <w:tc>
          <w:tcPr>
            <w:tcW w:w="851"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78%</w:t>
            </w:r>
          </w:p>
        </w:tc>
        <w:tc>
          <w:tcPr>
            <w:tcW w:w="850"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22%</w:t>
            </w:r>
          </w:p>
        </w:tc>
        <w:tc>
          <w:tcPr>
            <w:tcW w:w="1134"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w:t>
            </w:r>
          </w:p>
        </w:tc>
        <w:tc>
          <w:tcPr>
            <w:tcW w:w="851"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0,19</w:t>
            </w:r>
          </w:p>
        </w:tc>
        <w:tc>
          <w:tcPr>
            <w:tcW w:w="850"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0,06</w:t>
            </w:r>
          </w:p>
        </w:tc>
        <w:tc>
          <w:tcPr>
            <w:tcW w:w="1276"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0,00</w:t>
            </w:r>
          </w:p>
        </w:tc>
        <w:tc>
          <w:tcPr>
            <w:tcW w:w="1095" w:type="dxa"/>
            <w:vAlign w:val="center"/>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1</w:t>
            </w:r>
            <w:r w:rsidRPr="002A54EC">
              <w:rPr>
                <w:rFonts w:ascii="Calibri" w:hAnsi="Calibri" w:cs="Calibri"/>
                <w:color w:val="000000"/>
                <w:sz w:val="16"/>
                <w:szCs w:val="16"/>
              </w:rPr>
              <w:t xml:space="preserve">18,13 € </w:t>
            </w:r>
          </w:p>
        </w:tc>
      </w:tr>
      <w:tr w:rsidR="00D37278" w:rsidRPr="002A54EC" w:rsidTr="006D0C80">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494" w:type="dxa"/>
            <w:vAlign w:val="center"/>
          </w:tcPr>
          <w:p w:rsidR="00D37278" w:rsidRPr="002A54EC" w:rsidRDefault="00D37278" w:rsidP="006D0C80">
            <w:pPr>
              <w:rPr>
                <w:rFonts w:ascii="Calibri" w:hAnsi="Calibri" w:cs="Calibri"/>
                <w:color w:val="000000"/>
                <w:sz w:val="16"/>
                <w:szCs w:val="16"/>
              </w:rPr>
            </w:pPr>
            <w:r w:rsidRPr="002A54EC">
              <w:rPr>
                <w:rFonts w:ascii="Calibri" w:hAnsi="Calibri" w:cs="Calibri"/>
                <w:color w:val="000000"/>
                <w:sz w:val="16"/>
                <w:szCs w:val="16"/>
              </w:rPr>
              <w:t>MIDAZOLAM VIATRIS (50 mg/10 ml)</w:t>
            </w:r>
          </w:p>
        </w:tc>
        <w:tc>
          <w:tcPr>
            <w:tcW w:w="883" w:type="dxa"/>
            <w:gridSpan w:val="2"/>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0,2-0,5 mg/kg/h</w:t>
            </w:r>
          </w:p>
        </w:tc>
        <w:tc>
          <w:tcPr>
            <w:tcW w:w="737"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lang w:val="fr-FR"/>
              </w:rPr>
            </w:pPr>
            <w:r w:rsidRPr="00D37278">
              <w:rPr>
                <w:sz w:val="16"/>
                <w:szCs w:val="16"/>
              </w:rPr>
              <w:t xml:space="preserve">0,03 </w:t>
            </w:r>
            <w:r w:rsidRPr="00D37278">
              <w:rPr>
                <w:rStyle w:val="ic"/>
                <w:sz w:val="16"/>
                <w:szCs w:val="16"/>
              </w:rPr>
              <w:t>[0,026 –</w:t>
            </w:r>
            <w:r w:rsidR="006D0C80">
              <w:rPr>
                <w:rStyle w:val="ic"/>
                <w:sz w:val="16"/>
                <w:szCs w:val="16"/>
              </w:rPr>
              <w:t xml:space="preserve"> </w:t>
            </w:r>
            <w:r w:rsidRPr="00D37278">
              <w:rPr>
                <w:rStyle w:val="ic"/>
                <w:sz w:val="16"/>
                <w:szCs w:val="16"/>
              </w:rPr>
              <w:t>0,034]</w:t>
            </w:r>
          </w:p>
        </w:tc>
        <w:tc>
          <w:tcPr>
            <w:tcW w:w="850"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rStyle w:val="lev"/>
                <w:b w:val="0"/>
                <w:bCs w:val="0"/>
                <w:sz w:val="16"/>
                <w:szCs w:val="16"/>
              </w:rPr>
              <w:t xml:space="preserve">0,05 </w:t>
            </w:r>
            <w:r w:rsidRPr="00D37278">
              <w:rPr>
                <w:rStyle w:val="ic"/>
                <w:sz w:val="16"/>
                <w:szCs w:val="16"/>
              </w:rPr>
              <w:t>[0,046 – 0,054]</w:t>
            </w:r>
          </w:p>
        </w:tc>
        <w:tc>
          <w:tcPr>
            <w:tcW w:w="993"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0,07 </w:t>
            </w:r>
            <w:r w:rsidRPr="00D37278">
              <w:rPr>
                <w:rStyle w:val="ic"/>
                <w:sz w:val="16"/>
                <w:szCs w:val="16"/>
              </w:rPr>
              <w:t>[0,066 – 0,074]</w:t>
            </w:r>
          </w:p>
        </w:tc>
        <w:tc>
          <w:tcPr>
            <w:tcW w:w="1134"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0,68 </w:t>
            </w:r>
            <w:r w:rsidRPr="00D37278">
              <w:rPr>
                <w:rStyle w:val="ic"/>
                <w:sz w:val="16"/>
                <w:szCs w:val="16"/>
              </w:rPr>
              <w:t>[0,58 – 0,78]</w:t>
            </w:r>
          </w:p>
        </w:tc>
        <w:tc>
          <w:tcPr>
            <w:tcW w:w="1275"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rStyle w:val="lev"/>
                <w:b w:val="0"/>
                <w:bCs w:val="0"/>
                <w:sz w:val="16"/>
                <w:szCs w:val="16"/>
              </w:rPr>
              <w:t xml:space="preserve">1,17 </w:t>
            </w:r>
            <w:r w:rsidRPr="00D37278">
              <w:rPr>
                <w:rStyle w:val="ic"/>
                <w:sz w:val="16"/>
                <w:szCs w:val="16"/>
              </w:rPr>
              <w:t>[1,07 – 1,27]</w:t>
            </w:r>
          </w:p>
        </w:tc>
        <w:tc>
          <w:tcPr>
            <w:tcW w:w="993"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1,67 </w:t>
            </w:r>
            <w:r w:rsidRPr="00D37278">
              <w:rPr>
                <w:rStyle w:val="ic"/>
                <w:sz w:val="16"/>
                <w:szCs w:val="16"/>
              </w:rPr>
              <w:t>[1,57 – 1,77]</w:t>
            </w:r>
          </w:p>
        </w:tc>
        <w:tc>
          <w:tcPr>
            <w:tcW w:w="708"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17%</w:t>
            </w:r>
          </w:p>
        </w:tc>
        <w:tc>
          <w:tcPr>
            <w:tcW w:w="851"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53%</w:t>
            </w:r>
          </w:p>
        </w:tc>
        <w:tc>
          <w:tcPr>
            <w:tcW w:w="850"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47%</w:t>
            </w:r>
          </w:p>
        </w:tc>
        <w:tc>
          <w:tcPr>
            <w:tcW w:w="1134"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w:t>
            </w:r>
          </w:p>
        </w:tc>
        <w:tc>
          <w:tcPr>
            <w:tcW w:w="851"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0,03</w:t>
            </w:r>
          </w:p>
        </w:tc>
        <w:tc>
          <w:tcPr>
            <w:tcW w:w="850"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0,02</w:t>
            </w:r>
          </w:p>
        </w:tc>
        <w:tc>
          <w:tcPr>
            <w:tcW w:w="1276"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0,00</w:t>
            </w:r>
          </w:p>
        </w:tc>
        <w:tc>
          <w:tcPr>
            <w:tcW w:w="1095" w:type="dxa"/>
            <w:vAlign w:val="center"/>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2A54EC">
              <w:rPr>
                <w:rFonts w:ascii="Calibri" w:hAnsi="Calibri" w:cs="Calibri"/>
                <w:color w:val="000000"/>
                <w:sz w:val="16"/>
                <w:szCs w:val="16"/>
              </w:rPr>
              <w:t xml:space="preserve">15,07 € </w:t>
            </w:r>
          </w:p>
        </w:tc>
      </w:tr>
      <w:tr w:rsidR="00D37278" w:rsidRPr="002A54EC" w:rsidTr="006D0C80">
        <w:trPr>
          <w:trHeight w:val="616"/>
        </w:trPr>
        <w:tc>
          <w:tcPr>
            <w:cnfStyle w:val="001000000000" w:firstRow="0" w:lastRow="0" w:firstColumn="1" w:lastColumn="0" w:oddVBand="0" w:evenVBand="0" w:oddHBand="0" w:evenHBand="0" w:firstRowFirstColumn="0" w:firstRowLastColumn="0" w:lastRowFirstColumn="0" w:lastRowLastColumn="0"/>
            <w:tcW w:w="1494" w:type="dxa"/>
            <w:vAlign w:val="center"/>
          </w:tcPr>
          <w:p w:rsidR="00D37278" w:rsidRPr="002A54EC" w:rsidRDefault="00D37278" w:rsidP="006D0C80">
            <w:pPr>
              <w:rPr>
                <w:rFonts w:ascii="Calibri" w:hAnsi="Calibri" w:cs="Calibri"/>
                <w:color w:val="000000"/>
                <w:sz w:val="16"/>
                <w:szCs w:val="16"/>
              </w:rPr>
            </w:pPr>
            <w:r w:rsidRPr="002A54EC">
              <w:rPr>
                <w:rFonts w:ascii="Calibri" w:hAnsi="Calibri" w:cs="Calibri"/>
                <w:color w:val="000000"/>
                <w:sz w:val="16"/>
                <w:szCs w:val="16"/>
              </w:rPr>
              <w:t>PROPOFOL LIPURO 10 mg/ml 1%</w:t>
            </w:r>
          </w:p>
        </w:tc>
        <w:tc>
          <w:tcPr>
            <w:tcW w:w="883" w:type="dxa"/>
            <w:gridSpan w:val="2"/>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3-4 mg/kg/h</w:t>
            </w:r>
          </w:p>
        </w:tc>
        <w:tc>
          <w:tcPr>
            <w:tcW w:w="737"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lang w:val="fr-FR"/>
              </w:rPr>
            </w:pPr>
            <w:r w:rsidRPr="00D37278">
              <w:rPr>
                <w:sz w:val="16"/>
                <w:szCs w:val="16"/>
              </w:rPr>
              <w:t xml:space="preserve">0,28 </w:t>
            </w:r>
            <w:r w:rsidRPr="00D37278">
              <w:rPr>
                <w:rStyle w:val="ic"/>
                <w:sz w:val="16"/>
                <w:szCs w:val="16"/>
              </w:rPr>
              <w:t>[0,25 – 0,31]</w:t>
            </w:r>
          </w:p>
        </w:tc>
        <w:tc>
          <w:tcPr>
            <w:tcW w:w="850"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rStyle w:val="lev"/>
                <w:b w:val="0"/>
                <w:bCs w:val="0"/>
                <w:sz w:val="16"/>
                <w:szCs w:val="16"/>
              </w:rPr>
              <w:t xml:space="preserve">0,32 </w:t>
            </w:r>
            <w:r w:rsidRPr="00D37278">
              <w:rPr>
                <w:rStyle w:val="ic"/>
                <w:sz w:val="16"/>
                <w:szCs w:val="16"/>
              </w:rPr>
              <w:t>[0,29 – 0,35]</w:t>
            </w:r>
          </w:p>
        </w:tc>
        <w:tc>
          <w:tcPr>
            <w:tcW w:w="993"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sz w:val="16"/>
                <w:szCs w:val="16"/>
              </w:rPr>
              <w:t xml:space="preserve">0,37 </w:t>
            </w:r>
            <w:r w:rsidRPr="00D37278">
              <w:rPr>
                <w:rStyle w:val="ic"/>
                <w:sz w:val="16"/>
                <w:szCs w:val="16"/>
              </w:rPr>
              <w:t>[0,34 – 0,40]</w:t>
            </w:r>
          </w:p>
        </w:tc>
        <w:tc>
          <w:tcPr>
            <w:tcW w:w="1134"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sz w:val="16"/>
                <w:szCs w:val="16"/>
              </w:rPr>
              <w:t xml:space="preserve">6,66 </w:t>
            </w:r>
            <w:r w:rsidRPr="00D37278">
              <w:rPr>
                <w:rStyle w:val="ic"/>
                <w:sz w:val="16"/>
                <w:szCs w:val="16"/>
              </w:rPr>
              <w:t>[5,94 – 7,38]</w:t>
            </w:r>
          </w:p>
        </w:tc>
        <w:tc>
          <w:tcPr>
            <w:tcW w:w="1275"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rStyle w:val="lev"/>
                <w:b w:val="0"/>
                <w:bCs w:val="0"/>
                <w:sz w:val="16"/>
                <w:szCs w:val="16"/>
              </w:rPr>
              <w:t xml:space="preserve">7,77 </w:t>
            </w:r>
            <w:r w:rsidRPr="00D37278">
              <w:rPr>
                <w:rStyle w:val="ic"/>
                <w:sz w:val="16"/>
                <w:szCs w:val="16"/>
              </w:rPr>
              <w:t>[7,05 – 8,49]</w:t>
            </w:r>
          </w:p>
        </w:tc>
        <w:tc>
          <w:tcPr>
            <w:tcW w:w="993" w:type="dxa"/>
            <w:noWrap/>
            <w:vAlign w:val="center"/>
            <w:hideMark/>
          </w:tcPr>
          <w:p w:rsidR="00D37278" w:rsidRPr="00D37278" w:rsidRDefault="00D37278" w:rsidP="006D0C80">
            <w:pPr>
              <w:cnfStyle w:val="000000000000" w:firstRow="0" w:lastRow="0" w:firstColumn="0" w:lastColumn="0" w:oddVBand="0" w:evenVBand="0" w:oddHBand="0" w:evenHBand="0" w:firstRowFirstColumn="0" w:firstRowLastColumn="0" w:lastRowFirstColumn="0" w:lastRowLastColumn="0"/>
              <w:rPr>
                <w:sz w:val="16"/>
                <w:szCs w:val="16"/>
              </w:rPr>
            </w:pPr>
            <w:r w:rsidRPr="00D37278">
              <w:rPr>
                <w:sz w:val="16"/>
                <w:szCs w:val="16"/>
              </w:rPr>
              <w:t xml:space="preserve">8,88 </w:t>
            </w:r>
            <w:r w:rsidRPr="00D37278">
              <w:rPr>
                <w:rStyle w:val="ic"/>
                <w:sz w:val="16"/>
                <w:szCs w:val="16"/>
              </w:rPr>
              <w:t>[8,16 – 9,60]</w:t>
            </w:r>
          </w:p>
        </w:tc>
        <w:tc>
          <w:tcPr>
            <w:tcW w:w="708"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21%</w:t>
            </w:r>
          </w:p>
        </w:tc>
        <w:tc>
          <w:tcPr>
            <w:tcW w:w="851"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65%</w:t>
            </w:r>
          </w:p>
        </w:tc>
        <w:tc>
          <w:tcPr>
            <w:tcW w:w="850"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35%</w:t>
            </w:r>
          </w:p>
        </w:tc>
        <w:tc>
          <w:tcPr>
            <w:tcW w:w="1134"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w:t>
            </w:r>
          </w:p>
        </w:tc>
        <w:tc>
          <w:tcPr>
            <w:tcW w:w="851"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0,21</w:t>
            </w:r>
          </w:p>
        </w:tc>
        <w:tc>
          <w:tcPr>
            <w:tcW w:w="850"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0,11</w:t>
            </w:r>
          </w:p>
        </w:tc>
        <w:tc>
          <w:tcPr>
            <w:tcW w:w="1276" w:type="dxa"/>
            <w:noWrap/>
            <w:vAlign w:val="center"/>
            <w:hideMark/>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0,00</w:t>
            </w:r>
          </w:p>
        </w:tc>
        <w:tc>
          <w:tcPr>
            <w:tcW w:w="1095" w:type="dxa"/>
            <w:vAlign w:val="center"/>
          </w:tcPr>
          <w:p w:rsidR="00D37278" w:rsidRPr="002A54EC" w:rsidRDefault="00D37278" w:rsidP="006D0C8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2A54EC">
              <w:rPr>
                <w:rFonts w:ascii="Calibri" w:hAnsi="Calibri" w:cs="Calibri"/>
                <w:color w:val="000000"/>
                <w:sz w:val="16"/>
                <w:szCs w:val="16"/>
              </w:rPr>
              <w:t xml:space="preserve">24,97 € </w:t>
            </w:r>
          </w:p>
        </w:tc>
      </w:tr>
      <w:tr w:rsidR="00D37278" w:rsidRPr="002A54EC" w:rsidTr="006D0C80">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494" w:type="dxa"/>
            <w:vAlign w:val="center"/>
          </w:tcPr>
          <w:p w:rsidR="00D37278" w:rsidRPr="002A54EC" w:rsidRDefault="00D37278" w:rsidP="006D0C80">
            <w:pPr>
              <w:rPr>
                <w:rFonts w:ascii="Calibri" w:hAnsi="Calibri" w:cs="Calibri"/>
                <w:color w:val="000000"/>
                <w:sz w:val="16"/>
                <w:szCs w:val="16"/>
              </w:rPr>
            </w:pPr>
            <w:r w:rsidRPr="002A54EC">
              <w:rPr>
                <w:rFonts w:ascii="Calibri" w:hAnsi="Calibri" w:cs="Calibri"/>
                <w:color w:val="000000"/>
                <w:sz w:val="16"/>
                <w:szCs w:val="16"/>
              </w:rPr>
              <w:t>PROPOFOL KABI 20mg/ml injectable emulsion in pre-filled syringe</w:t>
            </w:r>
          </w:p>
        </w:tc>
        <w:tc>
          <w:tcPr>
            <w:tcW w:w="883" w:type="dxa"/>
            <w:gridSpan w:val="2"/>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3-4 mg/kg/h</w:t>
            </w:r>
          </w:p>
        </w:tc>
        <w:tc>
          <w:tcPr>
            <w:tcW w:w="737"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lang w:val="fr-FR"/>
              </w:rPr>
            </w:pPr>
            <w:r w:rsidRPr="00D37278">
              <w:rPr>
                <w:sz w:val="16"/>
                <w:szCs w:val="16"/>
              </w:rPr>
              <w:t xml:space="preserve">0,09 </w:t>
            </w:r>
            <w:r w:rsidRPr="00D37278">
              <w:rPr>
                <w:rStyle w:val="ic"/>
                <w:sz w:val="16"/>
                <w:szCs w:val="16"/>
              </w:rPr>
              <w:t>[0,07 – 0,11]</w:t>
            </w:r>
          </w:p>
        </w:tc>
        <w:tc>
          <w:tcPr>
            <w:tcW w:w="850"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rStyle w:val="lev"/>
                <w:b w:val="0"/>
                <w:bCs w:val="0"/>
                <w:sz w:val="16"/>
                <w:szCs w:val="16"/>
              </w:rPr>
              <w:t xml:space="preserve">0,11 </w:t>
            </w:r>
            <w:r w:rsidRPr="00D37278">
              <w:rPr>
                <w:rStyle w:val="ic"/>
                <w:sz w:val="16"/>
                <w:szCs w:val="16"/>
              </w:rPr>
              <w:t>[0,09 – 0,13]</w:t>
            </w:r>
          </w:p>
        </w:tc>
        <w:tc>
          <w:tcPr>
            <w:tcW w:w="993"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0,13 </w:t>
            </w:r>
            <w:r w:rsidRPr="00D37278">
              <w:rPr>
                <w:rStyle w:val="ic"/>
                <w:sz w:val="16"/>
                <w:szCs w:val="16"/>
              </w:rPr>
              <w:t>[0,11 – 0,15]</w:t>
            </w:r>
          </w:p>
        </w:tc>
        <w:tc>
          <w:tcPr>
            <w:tcW w:w="1134"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2,28 </w:t>
            </w:r>
            <w:r w:rsidRPr="00D37278">
              <w:rPr>
                <w:rStyle w:val="ic"/>
                <w:sz w:val="16"/>
                <w:szCs w:val="16"/>
              </w:rPr>
              <w:t>[1,80 – 2,76]</w:t>
            </w:r>
          </w:p>
        </w:tc>
        <w:tc>
          <w:tcPr>
            <w:tcW w:w="1275"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rStyle w:val="lev"/>
                <w:b w:val="0"/>
                <w:bCs w:val="0"/>
                <w:sz w:val="16"/>
                <w:szCs w:val="16"/>
              </w:rPr>
              <w:t xml:space="preserve">2,66 </w:t>
            </w:r>
            <w:r w:rsidRPr="00D37278">
              <w:rPr>
                <w:rStyle w:val="ic"/>
                <w:sz w:val="16"/>
                <w:szCs w:val="16"/>
              </w:rPr>
              <w:t>[2,18 – 3,14]</w:t>
            </w:r>
          </w:p>
        </w:tc>
        <w:tc>
          <w:tcPr>
            <w:tcW w:w="993" w:type="dxa"/>
            <w:noWrap/>
            <w:vAlign w:val="center"/>
            <w:hideMark/>
          </w:tcPr>
          <w:p w:rsidR="00D37278" w:rsidRPr="00D37278" w:rsidRDefault="00D37278" w:rsidP="006D0C80">
            <w:pPr>
              <w:cnfStyle w:val="000000100000" w:firstRow="0" w:lastRow="0" w:firstColumn="0" w:lastColumn="0" w:oddVBand="0" w:evenVBand="0" w:oddHBand="1" w:evenHBand="0" w:firstRowFirstColumn="0" w:firstRowLastColumn="0" w:lastRowFirstColumn="0" w:lastRowLastColumn="0"/>
              <w:rPr>
                <w:sz w:val="16"/>
                <w:szCs w:val="16"/>
              </w:rPr>
            </w:pPr>
            <w:r w:rsidRPr="00D37278">
              <w:rPr>
                <w:sz w:val="16"/>
                <w:szCs w:val="16"/>
              </w:rPr>
              <w:t xml:space="preserve">3,03 </w:t>
            </w:r>
            <w:r w:rsidRPr="00D37278">
              <w:rPr>
                <w:rStyle w:val="ic"/>
                <w:sz w:val="16"/>
                <w:szCs w:val="16"/>
              </w:rPr>
              <w:t>[2,55 – 3,51]</w:t>
            </w:r>
          </w:p>
        </w:tc>
        <w:tc>
          <w:tcPr>
            <w:tcW w:w="708"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53%</w:t>
            </w:r>
          </w:p>
        </w:tc>
        <w:tc>
          <w:tcPr>
            <w:tcW w:w="851"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99%</w:t>
            </w:r>
          </w:p>
        </w:tc>
        <w:tc>
          <w:tcPr>
            <w:tcW w:w="850"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1%</w:t>
            </w:r>
          </w:p>
        </w:tc>
        <w:tc>
          <w:tcPr>
            <w:tcW w:w="1134"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w:t>
            </w:r>
          </w:p>
        </w:tc>
        <w:tc>
          <w:tcPr>
            <w:tcW w:w="851"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0,11</w:t>
            </w:r>
          </w:p>
        </w:tc>
        <w:tc>
          <w:tcPr>
            <w:tcW w:w="850"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0,00</w:t>
            </w:r>
          </w:p>
        </w:tc>
        <w:tc>
          <w:tcPr>
            <w:tcW w:w="1276" w:type="dxa"/>
            <w:noWrap/>
            <w:vAlign w:val="center"/>
            <w:hideMark/>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fr-FR"/>
                <w14:ligatures w14:val="none"/>
              </w:rPr>
            </w:pPr>
            <w:r w:rsidRPr="002A54EC">
              <w:rPr>
                <w:rFonts w:eastAsia="Times New Roman" w:cstheme="minorHAnsi"/>
                <w:color w:val="000000"/>
                <w:kern w:val="0"/>
                <w:sz w:val="16"/>
                <w:szCs w:val="16"/>
                <w:lang w:eastAsia="fr-FR"/>
                <w14:ligatures w14:val="none"/>
              </w:rPr>
              <w:t>0,00</w:t>
            </w:r>
          </w:p>
        </w:tc>
        <w:tc>
          <w:tcPr>
            <w:tcW w:w="1095" w:type="dxa"/>
            <w:vAlign w:val="center"/>
          </w:tcPr>
          <w:p w:rsidR="00D37278" w:rsidRPr="002A54EC" w:rsidRDefault="00D37278" w:rsidP="006D0C8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2A54EC">
              <w:rPr>
                <w:rFonts w:ascii="Calibri" w:hAnsi="Calibri" w:cs="Calibri"/>
                <w:color w:val="000000"/>
                <w:sz w:val="16"/>
                <w:szCs w:val="16"/>
              </w:rPr>
              <w:t xml:space="preserve">70,60 € </w:t>
            </w:r>
          </w:p>
        </w:tc>
      </w:tr>
    </w:tbl>
    <w:p w:rsidR="00CC0CE6" w:rsidRPr="00CC0CE6" w:rsidRDefault="00CC0CE6" w:rsidP="00CC0CE6">
      <w:pPr>
        <w:tabs>
          <w:tab w:val="left" w:pos="1584"/>
        </w:tabs>
        <w:rPr>
          <w:i/>
          <w:iCs/>
          <w:sz w:val="20"/>
          <w:szCs w:val="20"/>
        </w:rPr>
      </w:pPr>
    </w:p>
    <w:p w:rsidR="00CC0CE6" w:rsidRPr="00CC0CE6" w:rsidRDefault="00CC0CE6" w:rsidP="00CC0CE6"/>
    <w:p w:rsidR="00CC0CE6" w:rsidRPr="00CC0CE6" w:rsidRDefault="00CC0CE6" w:rsidP="00CC0CE6"/>
    <w:p w:rsidR="00CC0CE6" w:rsidRPr="00CC0CE6" w:rsidRDefault="00CC0CE6" w:rsidP="00CC0CE6"/>
    <w:p w:rsidR="00CC0CE6" w:rsidRPr="00CC0CE6" w:rsidRDefault="00CC0CE6" w:rsidP="00CC0CE6"/>
    <w:p w:rsidR="00CC0CE6" w:rsidRPr="00CC0CE6" w:rsidRDefault="00CC0CE6" w:rsidP="00CC0CE6"/>
    <w:p w:rsidR="00CC0CE6" w:rsidRPr="00CC0CE6" w:rsidRDefault="00CC0CE6" w:rsidP="00CC0CE6"/>
    <w:p w:rsidR="00CC0CE6" w:rsidRPr="00CC0CE6" w:rsidRDefault="00CC0CE6" w:rsidP="00CC0CE6"/>
    <w:sectPr w:rsidR="00CC0CE6" w:rsidRPr="00CC0CE6" w:rsidSect="00C0235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36E8" w:rsidRDefault="00B036E8" w:rsidP="00D31891">
      <w:r>
        <w:separator/>
      </w:r>
    </w:p>
  </w:endnote>
  <w:endnote w:type="continuationSeparator" w:id="0">
    <w:p w:rsidR="00B036E8" w:rsidRDefault="00B036E8" w:rsidP="00D3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59626237"/>
      <w:docPartObj>
        <w:docPartGallery w:val="Page Numbers (Bottom of Page)"/>
        <w:docPartUnique/>
      </w:docPartObj>
    </w:sdtPr>
    <w:sdtContent>
      <w:p w:rsidR="00D31891" w:rsidRDefault="00D31891" w:rsidP="008545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D31891" w:rsidRDefault="00D31891" w:rsidP="00D3189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49596052"/>
      <w:docPartObj>
        <w:docPartGallery w:val="Page Numbers (Bottom of Page)"/>
        <w:docPartUnique/>
      </w:docPartObj>
    </w:sdtPr>
    <w:sdtContent>
      <w:p w:rsidR="00D31891" w:rsidRDefault="00D31891" w:rsidP="008545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D31891" w:rsidRDefault="00D31891" w:rsidP="00D3189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36E8" w:rsidRDefault="00B036E8" w:rsidP="00D31891">
      <w:r>
        <w:separator/>
      </w:r>
    </w:p>
  </w:footnote>
  <w:footnote w:type="continuationSeparator" w:id="0">
    <w:p w:rsidR="00B036E8" w:rsidRDefault="00B036E8" w:rsidP="00D31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5A"/>
    <w:rsid w:val="00090B45"/>
    <w:rsid w:val="000A06C7"/>
    <w:rsid w:val="002A54EC"/>
    <w:rsid w:val="00344083"/>
    <w:rsid w:val="003C03B7"/>
    <w:rsid w:val="004060A5"/>
    <w:rsid w:val="004105D4"/>
    <w:rsid w:val="005101A4"/>
    <w:rsid w:val="005A1173"/>
    <w:rsid w:val="006226DD"/>
    <w:rsid w:val="00664D26"/>
    <w:rsid w:val="00685A02"/>
    <w:rsid w:val="006D0C80"/>
    <w:rsid w:val="007260AC"/>
    <w:rsid w:val="00801BE9"/>
    <w:rsid w:val="0082096D"/>
    <w:rsid w:val="009346EC"/>
    <w:rsid w:val="00A756A7"/>
    <w:rsid w:val="00AA2ECA"/>
    <w:rsid w:val="00B036E8"/>
    <w:rsid w:val="00BD4132"/>
    <w:rsid w:val="00C0235A"/>
    <w:rsid w:val="00C155DF"/>
    <w:rsid w:val="00CC0CE6"/>
    <w:rsid w:val="00D31891"/>
    <w:rsid w:val="00D37278"/>
    <w:rsid w:val="00D77270"/>
    <w:rsid w:val="00FB52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1E4D"/>
  <w15:chartTrackingRefBased/>
  <w15:docId w15:val="{8F25A302-8E3A-D74D-81B8-DAD728C8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0235A"/>
    <w:rPr>
      <w:color w:val="0000FF"/>
      <w:u w:val="single"/>
    </w:rPr>
  </w:style>
  <w:style w:type="paragraph" w:customStyle="1" w:styleId="font-claude-response-body">
    <w:name w:val="font-claude-response-body"/>
    <w:basedOn w:val="Normal"/>
    <w:rsid w:val="00C0235A"/>
    <w:pPr>
      <w:spacing w:before="100" w:beforeAutospacing="1" w:after="100" w:afterAutospacing="1"/>
    </w:pPr>
    <w:rPr>
      <w:rFonts w:ascii="Times New Roman" w:eastAsia="Times New Roman" w:hAnsi="Times New Roman" w:cs="Times New Roman"/>
      <w:kern w:val="0"/>
      <w:lang w:val="fr-FR" w:eastAsia="fr-FR"/>
      <w14:ligatures w14:val="none"/>
    </w:rPr>
  </w:style>
  <w:style w:type="character" w:styleId="lev">
    <w:name w:val="Strong"/>
    <w:basedOn w:val="Policepardfaut"/>
    <w:uiPriority w:val="22"/>
    <w:qFormat/>
    <w:rsid w:val="00C0235A"/>
    <w:rPr>
      <w:b/>
      <w:bCs/>
    </w:rPr>
  </w:style>
  <w:style w:type="table" w:styleId="TableauGrille1Clair-Accentuation1">
    <w:name w:val="Grid Table 1 Light Accent 1"/>
    <w:basedOn w:val="TableauNormal"/>
    <w:uiPriority w:val="46"/>
    <w:rsid w:val="002A54E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2A54E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ieddepage">
    <w:name w:val="footer"/>
    <w:basedOn w:val="Normal"/>
    <w:link w:val="PieddepageCar"/>
    <w:uiPriority w:val="99"/>
    <w:unhideWhenUsed/>
    <w:rsid w:val="00D31891"/>
    <w:pPr>
      <w:tabs>
        <w:tab w:val="center" w:pos="4536"/>
        <w:tab w:val="right" w:pos="9072"/>
      </w:tabs>
    </w:pPr>
  </w:style>
  <w:style w:type="character" w:customStyle="1" w:styleId="PieddepageCar">
    <w:name w:val="Pied de page Car"/>
    <w:basedOn w:val="Policepardfaut"/>
    <w:link w:val="Pieddepage"/>
    <w:uiPriority w:val="99"/>
    <w:rsid w:val="00D31891"/>
    <w:rPr>
      <w:lang w:val="en-US"/>
    </w:rPr>
  </w:style>
  <w:style w:type="character" w:styleId="Numrodepage">
    <w:name w:val="page number"/>
    <w:basedOn w:val="Policepardfaut"/>
    <w:uiPriority w:val="99"/>
    <w:semiHidden/>
    <w:unhideWhenUsed/>
    <w:rsid w:val="00D31891"/>
  </w:style>
  <w:style w:type="character" w:styleId="Numrodeligne">
    <w:name w:val="line number"/>
    <w:basedOn w:val="Policepardfaut"/>
    <w:uiPriority w:val="99"/>
    <w:semiHidden/>
    <w:unhideWhenUsed/>
    <w:rsid w:val="0082096D"/>
  </w:style>
  <w:style w:type="character" w:customStyle="1" w:styleId="ic">
    <w:name w:val="ic"/>
    <w:basedOn w:val="Policepardfaut"/>
    <w:rsid w:val="00D3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1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440F-BB9E-2B4E-A5D2-24FADA37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855</Words>
  <Characters>4706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Saint Anthost</dc:creator>
  <cp:keywords/>
  <dc:description/>
  <cp:lastModifiedBy>de Saint Anthost</cp:lastModifiedBy>
  <cp:revision>18</cp:revision>
  <dcterms:created xsi:type="dcterms:W3CDTF">2026-03-10T16:20:00Z</dcterms:created>
  <dcterms:modified xsi:type="dcterms:W3CDTF">2026-04-29T16:42:00Z</dcterms:modified>
</cp:coreProperties>
</file>