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97E5C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Supplementary figure legends</w:t>
      </w:r>
    </w:p>
    <w:p w14:paraId="1E315FAC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Fig. S1 Dataset-level quality control and global embedding overview for GSE159115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a Distributions of quality-control metrics, including nFeature_RNA, nCount_RNA, and percent.mt, across major identities or samples before downstream analysis. b Quality-control metric comparison after doublet removal. c Elbow plot of PCA standard deviations. d UMAP of all cells colored by unsupervised clusters. e UMAP of all cells colored by sample. Related to Fig. 1 and Section 3.1</w:t>
      </w:r>
    </w:p>
    <w:p w14:paraId="67301190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Fig. S2 Sensitivity analyses of the Basal ATF4_high-up program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a Quality-control metric comparison between ATF4_high and ATF4_low groups. b Sensitivity analysis under a stricter mitochondrial filter. c Relationship between ATF4 regulon activity and CNV burden. d CNV score comparison in Basal malignant cells with or without vascular-like signal. e Hallmark enrichment in Basal-clean cells under additional contamination control. Related to Fig. 2, Table S4, and Section 3.2</w:t>
      </w:r>
    </w:p>
    <w:p w14:paraId="3A1EB77A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Fig. S3 Expression support for prioritized ligand–receptor axes in sender and receiver compartments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a Dot plot of prioritized ligands across major sender cell types or subtypes. b Dot plot of corresponding receptors in Basal malignant cells stratified by ATF4 status. c Feature plots of representative receptor genes in Basal malignant cells. Related to Fig. 3, Tables S5–S6, and Section 3.3</w:t>
      </w:r>
    </w:p>
    <w:p w14:paraId="477187F4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Fig. S4 Additional virtual perturbation analyses in immune compartments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a–c Macrophage TNF virtual knockout: volcano plot, Hallmark enrichment summary, and axis-aligned gene impact. d–f CD8 T-cell IFNG virtual knockout: volcano plot, Hallmark enrichment summary, and axis-aligned gene impact. Related to Fig. 4 and Section 3.4</w:t>
      </w:r>
    </w:p>
    <w:p w14:paraId="6979842A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Fig. S5 ATF4 score and pathway activities in TCGA-KIRC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lastRenderedPageBreak/>
        <w:t>a–c Scatter plots showing correlations between the ATF4 score and representative Hallmark pathway activities. d Comparison of representative pathway activity between ATF4_high and ATF4_low tumors. Related to Fig. 5 and Section 3.5</w:t>
      </w:r>
    </w:p>
    <w:p w14:paraId="75D02801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Fig. S6 Stage-dependent prognostic interaction after xCell2 adjustment in TCGA-KIRC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a Forest plot or coefficient summary showing stage-stratified ATF4 effects and the ATF4 × stage interaction in the base model. b Sensitivity model results after adjustment for xCell2-inferred cell-type scores. Related to Fig. 5, Table S7, and Section 3.5</w:t>
      </w:r>
    </w:p>
    <w:p w14:paraId="4D9BAC04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Fig. S7 Associations between ATF4 score and tumor microenvironment cell-type scores in advanced-stage TCGA-KIRC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Scatter plots showing relationships between the ATF4 score and selected xCell2-derived cell-type scores in stage III–IV tumors. Related to Fig. 5, Table S7, and Section 3.5</w:t>
      </w:r>
    </w:p>
    <w:p w14:paraId="682306D1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Fig. S8 Immune features and checkpoint profiles by ATF4 status in advanced-stage TCGA-KIRC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Group comparisons of immune checkpoints and related immune features between ATF4_high and ATF4_low tumors in stage III–IV disease. Related to Fig. 5 and Section 3.5</w:t>
      </w:r>
    </w:p>
    <w:p w14:paraId="22C97950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Fig. S9 Spatial marker maps in ccRCC spatial transcriptomic sections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Spatial expression of canonical endothelial markers, including ACKR1, PLVAP, PECAM1, and VWF, and representative receiver-axis genes, including CXCR4, CD74, ITGB1, and SDC4, in GLMF1 and GLMF2. Related to Fig. 6 and Section 3.6</w:t>
      </w:r>
    </w:p>
    <w:p w14:paraId="263FAF6E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Supplementary tables</w:t>
      </w:r>
    </w:p>
    <w:p w14:paraId="7439DFBB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Table S1 Cohort and sample summary for integrated malignant-cell analysis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Summary of the single-cell cohorts, included samples, and cell numbers used for malignant-cell integration and downstream analyses</w:t>
      </w:r>
    </w:p>
    <w:p w14:paraId="6B4901CA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lastRenderedPageBreak/>
        <w:t>Table S2 Analysis settings and key parameters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Key analytical settings and major parameters used across the single-cell, bulk, spatial, and virtual perturbation analyses</w:t>
      </w:r>
    </w:p>
    <w:p w14:paraId="6AD6A222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Table S3 Marker features and annotation summary of malignant states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Representative marker features and annotation basis for the major malignant transcriptional states</w:t>
      </w:r>
    </w:p>
    <w:p w14:paraId="4716E704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Table S4 Differential expression results for Basal ATF4_high versus ATF4_low malignant cells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Full differential expression results comparing Basal ATF4_high and ATF4_low malignant cells</w:t>
      </w:r>
    </w:p>
    <w:p w14:paraId="54A9573F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Table S5 NicheNet ligand activity and matched receiver targets across sender compartments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Ligand activity scores and matched receiver-side target genes identified by NicheNet across sender compartments</w:t>
      </w:r>
    </w:p>
    <w:p w14:paraId="7F850112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Table S6 Prioritized ligand–receptor routes linked to the Basal ATF4 state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Prioritized ligand–receptor routes and related axis components associated with the Basal ATF4 state</w:t>
      </w:r>
    </w:p>
    <w:p w14:paraId="2C87130A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Table S7 Cox model and sensitivity analysis results in TCGA-KIRC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Results of the interaction Cox models and sensitivity analyses in TCGA-KIRC</w:t>
      </w:r>
    </w:p>
    <w:p w14:paraId="54F23814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Table S8 Pairwise relationships among selected Hallmark module scores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Pairwise correlations and related comparisons among selected Hallmark module scores</w:t>
      </w:r>
    </w:p>
    <w:p w14:paraId="6B5E421C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Table S9 Correlation analysis of endothelial-sender and ATF4-related scores in spatial transcriptomic sections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lastRenderedPageBreak/>
        <w:t>Correlation results for endothelial-sender, ATF4-related, and receiver-side scores in spatial transcriptomic sections</w:t>
      </w:r>
    </w:p>
    <w:p w14:paraId="1A1B2D20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Table S10 Sender_high versus Sender_low comparisons in tumor-rich spatial spots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Group comparisons between Sender_high and Sender_low tumor-rich spatial spots</w:t>
      </w:r>
    </w:p>
    <w:p w14:paraId="1F9EEF55" w14:textId="77777777" w:rsidR="00BF0C2C" w:rsidRPr="006558AE" w:rsidRDefault="00BF0C2C" w:rsidP="00BF0C2C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6558AE">
        <w:rPr>
          <w:rFonts w:ascii="Times New Roman" w:hAnsi="Times New Roman" w:cs="Times New Roman"/>
          <w:b/>
          <w:bCs/>
          <w:sz w:val="24"/>
        </w:rPr>
        <w:t>Table S11 Summary of immunotherapy cohorts and cross-cohort evaluation of the 12-gene ATF4 core</w:t>
      </w:r>
      <w:r w:rsidRPr="006558AE">
        <w:rPr>
          <w:rFonts w:ascii="Times New Roman" w:hAnsi="Times New Roman" w:cs="Times New Roman"/>
          <w:b/>
          <w:bCs/>
          <w:sz w:val="24"/>
        </w:rPr>
        <w:br/>
      </w:r>
      <w:r w:rsidRPr="006558AE">
        <w:rPr>
          <w:rFonts w:ascii="Times New Roman" w:hAnsi="Times New Roman" w:cs="Times New Roman"/>
          <w:sz w:val="24"/>
        </w:rPr>
        <w:t>Summary of the immunotherapy cohorts and cross-cohort evaluation results for the 12-gene ATF4-core module</w:t>
      </w:r>
    </w:p>
    <w:p w14:paraId="2F504707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2C"/>
    <w:rsid w:val="000C4033"/>
    <w:rsid w:val="00173ED8"/>
    <w:rsid w:val="004B42CB"/>
    <w:rsid w:val="005F2B46"/>
    <w:rsid w:val="006E1731"/>
    <w:rsid w:val="00866D74"/>
    <w:rsid w:val="00882A73"/>
    <w:rsid w:val="0095305D"/>
    <w:rsid w:val="00B260B7"/>
    <w:rsid w:val="00B85331"/>
    <w:rsid w:val="00BF0C2C"/>
    <w:rsid w:val="00DE7E69"/>
    <w:rsid w:val="00E023F9"/>
    <w:rsid w:val="00E4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44AA4"/>
  <w15:chartTrackingRefBased/>
  <w15:docId w15:val="{F6648543-8D80-4A01-9F46-506B8804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C2C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0C2C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C2C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C2C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C2C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C2C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C2C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C2C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C2C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C2C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C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C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C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C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C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C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C2C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F0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C2C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F0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C2C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BF0C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C2C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BF0C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C2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C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C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2026-06-03T12:39:00Z</dcterms:created>
  <dcterms:modified xsi:type="dcterms:W3CDTF">2026-06-03T12:39:00Z</dcterms:modified>
</cp:coreProperties>
</file>