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8E838" w14:textId="4318C45D" w:rsidR="00E023F9" w:rsidRDefault="006873B1">
      <w:r w:rsidRPr="006873B1">
        <w:rPr>
          <w:b/>
          <w:bCs/>
        </w:rPr>
        <w:t>Supplementary materials.</w:t>
      </w:r>
      <w:r w:rsidRPr="006873B1">
        <w:t> Supplementary Table S1 (“Supplementary_Table_S1_combined_ASD_crude_ORs.xlsx”) provides the complete crude odds-ratio table for all variables derived from the aggregate cross-tabulations, including obstetric, neonatal, rare-event, and descriptive variables not shown in Figures 1 and 2. High-resolution TIFF versions of Figure 1 and Figure 2 are provided as separate submission files (“Figure_1_combined_ASD_crude_OR_forest.tiff” and “Figure_2_medication_exposure_combined_ASD.tiff”).</w:t>
      </w:r>
    </w:p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3B1"/>
    <w:rsid w:val="000C4033"/>
    <w:rsid w:val="00173ED8"/>
    <w:rsid w:val="002F50B1"/>
    <w:rsid w:val="004B42CB"/>
    <w:rsid w:val="005F2B46"/>
    <w:rsid w:val="006873B1"/>
    <w:rsid w:val="006E1731"/>
    <w:rsid w:val="00866D74"/>
    <w:rsid w:val="00882A73"/>
    <w:rsid w:val="00906905"/>
    <w:rsid w:val="0095305D"/>
    <w:rsid w:val="00AF4617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FDAA6"/>
  <w15:chartTrackingRefBased/>
  <w15:docId w15:val="{B3B6A395-DADE-4B4C-9700-DF1C5A63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3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3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3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3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3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3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3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3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3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3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3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3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3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3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3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3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3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3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3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3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3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3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3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3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3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3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3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3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3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2026-07-08T23:28:00Z</dcterms:created>
  <dcterms:modified xsi:type="dcterms:W3CDTF">2026-07-08T23:28:00Z</dcterms:modified>
</cp:coreProperties>
</file>