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5D16DA" w14:textId="77777777" w:rsidR="009D0485" w:rsidRPr="009D0485" w:rsidRDefault="009D0485" w:rsidP="009D0485">
      <w:pPr>
        <w:widowControl/>
        <w:spacing w:after="200" w:line="276" w:lineRule="auto"/>
        <w:rPr>
          <w:rFonts w:ascii="Cambria" w:eastAsia="宋体" w:hAnsi="Cambria" w:cs="Times New Roman"/>
          <w:b/>
          <w:bCs/>
          <w:kern w:val="0"/>
          <w:sz w:val="24"/>
          <w:szCs w:val="24"/>
        </w:rPr>
      </w:pPr>
      <w:r w:rsidRPr="009D0485">
        <w:rPr>
          <w:rFonts w:ascii="Cambria" w:eastAsia="宋体" w:hAnsi="Cambria" w:cs="Times New Roman"/>
          <w:b/>
          <w:bCs/>
          <w:kern w:val="0"/>
          <w:sz w:val="24"/>
          <w:szCs w:val="24"/>
        </w:rPr>
        <w:t>Appendix A. Centrality of nodes in coal mine accident-causing network</w:t>
      </w:r>
    </w:p>
    <w:p w14:paraId="32428EF3" w14:textId="77777777" w:rsidR="009D0485" w:rsidRPr="009D0485" w:rsidRDefault="009D0485" w:rsidP="009D0485">
      <w:pPr>
        <w:widowControl/>
        <w:spacing w:after="200" w:line="276" w:lineRule="auto"/>
        <w:rPr>
          <w:rFonts w:ascii="Cambria" w:eastAsia="宋体" w:hAnsi="Cambria" w:cs="Times New Roman"/>
          <w:kern w:val="0"/>
          <w:sz w:val="22"/>
        </w:rPr>
      </w:pPr>
      <w:r w:rsidRPr="009D0485">
        <w:rPr>
          <w:rFonts w:ascii="Cambria" w:eastAsia="宋体" w:hAnsi="Cambria" w:cs="Times New Roman"/>
          <w:kern w:val="0"/>
          <w:sz w:val="22"/>
        </w:rPr>
        <w:t xml:space="preserve">In order to conduct a quantitative study on the significance of causal nodes. An analysis of network centrality was performed using </w:t>
      </w:r>
      <w:proofErr w:type="spellStart"/>
      <w:r w:rsidRPr="009D0485">
        <w:rPr>
          <w:rFonts w:ascii="Cambria" w:eastAsia="宋体" w:hAnsi="Cambria" w:cs="Times New Roman"/>
          <w:kern w:val="0"/>
          <w:sz w:val="22"/>
        </w:rPr>
        <w:t>Pajek</w:t>
      </w:r>
      <w:proofErr w:type="spellEnd"/>
      <w:r w:rsidRPr="009D0485">
        <w:rPr>
          <w:rFonts w:ascii="Cambria" w:eastAsia="宋体" w:hAnsi="Cambria" w:cs="Times New Roman"/>
          <w:kern w:val="0"/>
          <w:sz w:val="22"/>
        </w:rPr>
        <w:t xml:space="preserve"> software to obtain the degree centrality, closeness centrality, and betweenness centrality of the nodes.</w:t>
      </w:r>
    </w:p>
    <w:p w14:paraId="3E72CD87" w14:textId="77777777" w:rsidR="009D0485" w:rsidRPr="009D0485" w:rsidRDefault="009D0485" w:rsidP="009D0485">
      <w:pPr>
        <w:widowControl/>
        <w:spacing w:after="200" w:line="276" w:lineRule="auto"/>
        <w:rPr>
          <w:rFonts w:ascii="Cambria" w:eastAsia="宋体" w:hAnsi="Cambria" w:cs="Times New Roman"/>
          <w:kern w:val="0"/>
          <w:sz w:val="22"/>
        </w:rPr>
      </w:pPr>
      <w:r w:rsidRPr="009D0485">
        <w:rPr>
          <w:rFonts w:ascii="Cambria" w:eastAsia="宋体" w:hAnsi="Cambria" w:cs="Times New Roman"/>
          <w:kern w:val="0"/>
          <w:sz w:val="22"/>
        </w:rPr>
        <w:t xml:space="preserve">Degree centrality refers to the ratio of the degree (number of connections) of a node to the degrees of other nodes within a network. In a directed graph, the degree of a node is defined as the sum of its in-degree and out-degree; whereas in an undirected graph, the degree corresponds to the number of edges connected to that node. The calculation of degree centrality involves dividing the degree of the node by the total number of nodes in the network, as expressed in Equation (1), where </w:t>
      </w:r>
      <m:oMath>
        <m:sSub>
          <m:sSubPr>
            <m:ctrlPr>
              <w:rPr>
                <w:rFonts w:ascii="Cambria Math" w:eastAsia="宋体" w:hAnsi="Cambria Math" w:cs="Times New Roman"/>
                <w:kern w:val="0"/>
                <w:szCs w:val="21"/>
              </w:rPr>
            </m:ctrlPr>
          </m:sSubPr>
          <m:e>
            <m:r>
              <w:rPr>
                <w:rFonts w:ascii="Cambria Math" w:eastAsia="宋体" w:hAnsi="Cambria Math" w:cs="Times New Roman"/>
                <w:kern w:val="0"/>
                <w:szCs w:val="21"/>
              </w:rPr>
              <m:t>C</m:t>
            </m:r>
          </m:e>
          <m:sub>
            <m:r>
              <w:rPr>
                <w:rFonts w:ascii="Cambria Math" w:eastAsia="宋体" w:hAnsi="Cambria Math" w:cs="Times New Roman"/>
                <w:kern w:val="0"/>
                <w:szCs w:val="21"/>
              </w:rPr>
              <m:t>D</m:t>
            </m:r>
          </m:sub>
        </m:sSub>
        <m:r>
          <w:rPr>
            <w:rFonts w:ascii="Cambria Math" w:eastAsia="宋体" w:hAnsi="Cambria Math" w:cs="Times New Roman"/>
            <w:kern w:val="0"/>
            <w:szCs w:val="21"/>
          </w:rPr>
          <m:t>(v)</m:t>
        </m:r>
      </m:oMath>
      <w:r w:rsidRPr="009D0485">
        <w:rPr>
          <w:rFonts w:ascii="Calibri" w:eastAsia="宋体" w:hAnsi="Calibri" w:cs="Times New Roman"/>
          <w:kern w:val="0"/>
          <w:szCs w:val="21"/>
        </w:rPr>
        <w:t xml:space="preserve"> </w:t>
      </w:r>
      <w:r w:rsidRPr="009D0485">
        <w:rPr>
          <w:rFonts w:ascii="Cambria" w:eastAsia="宋体" w:hAnsi="Cambria" w:cs="Times New Roman"/>
          <w:kern w:val="0"/>
          <w:sz w:val="22"/>
        </w:rPr>
        <w:t xml:space="preserve">represents the degree centrality of node </w:t>
      </w:r>
      <w:r w:rsidRPr="009D0485">
        <w:rPr>
          <w:rFonts w:ascii="Cambria" w:eastAsia="宋体" w:hAnsi="Cambria" w:cs="Times New Roman"/>
          <w:i/>
          <w:iCs/>
          <w:kern w:val="0"/>
          <w:sz w:val="22"/>
        </w:rPr>
        <w:t>v</w:t>
      </w:r>
      <w:r w:rsidRPr="009D0485">
        <w:rPr>
          <w:rFonts w:ascii="Cambria" w:eastAsia="宋体" w:hAnsi="Cambria" w:cs="Times New Roman"/>
          <w:kern w:val="0"/>
          <w:sz w:val="22"/>
        </w:rPr>
        <w:t>. Degree centrality quantifies the extent of a node’s connectivity within the network. Nodes exhibiting high degree centrality are typically considered critical nodes in the network, as they maintain more direct connections with other nodes.</w:t>
      </w:r>
    </w:p>
    <w:p w14:paraId="5543984C" w14:textId="77777777" w:rsidR="009D0485" w:rsidRPr="009D0485" w:rsidRDefault="009D0485" w:rsidP="009D0485">
      <w:pPr>
        <w:widowControl/>
        <w:spacing w:after="200" w:line="276" w:lineRule="auto"/>
        <w:jc w:val="center"/>
        <w:rPr>
          <w:rFonts w:ascii="Cambria" w:eastAsia="宋体" w:hAnsi="Cambria" w:cs="Times New Roman"/>
          <w:kern w:val="0"/>
          <w:sz w:val="22"/>
        </w:rPr>
      </w:pPr>
      <m:oMath>
        <m:sSub>
          <m:sSubPr>
            <m:ctrlPr>
              <w:rPr>
                <w:rFonts w:ascii="Cambria Math" w:eastAsia="宋体" w:hAnsi="Cambria Math" w:cs="Times New Roman"/>
                <w:kern w:val="0"/>
                <w:sz w:val="22"/>
              </w:rPr>
            </m:ctrlPr>
          </m:sSubPr>
          <m:e>
            <m:r>
              <w:rPr>
                <w:rFonts w:ascii="Cambria Math" w:eastAsia="宋体" w:hAnsi="Cambria Math" w:cs="Times New Roman"/>
                <w:kern w:val="0"/>
                <w:sz w:val="22"/>
              </w:rPr>
              <m:t>C</m:t>
            </m:r>
          </m:e>
          <m:sub>
            <m:r>
              <w:rPr>
                <w:rFonts w:ascii="Cambria Math" w:eastAsia="宋体" w:hAnsi="Cambria Math" w:cs="Times New Roman"/>
                <w:kern w:val="0"/>
                <w:sz w:val="22"/>
              </w:rPr>
              <m:t>D</m:t>
            </m:r>
          </m:sub>
        </m:sSub>
        <m:d>
          <m:dPr>
            <m:ctrlPr>
              <w:rPr>
                <w:rFonts w:ascii="Cambria Math" w:eastAsia="宋体" w:hAnsi="Cambria Math" w:cs="Times New Roman"/>
                <w:i/>
                <w:kern w:val="0"/>
                <w:sz w:val="22"/>
              </w:rPr>
            </m:ctrlPr>
          </m:dPr>
          <m:e>
            <m:r>
              <w:rPr>
                <w:rFonts w:ascii="Cambria Math" w:eastAsia="宋体" w:hAnsi="Cambria Math" w:cs="Times New Roman"/>
                <w:kern w:val="0"/>
                <w:sz w:val="22"/>
              </w:rPr>
              <m:t>v</m:t>
            </m:r>
          </m:e>
        </m:d>
        <m:r>
          <w:rPr>
            <w:rFonts w:ascii="Cambria Math" w:eastAsia="宋体" w:hAnsi="Cambria Math" w:cs="Times New Roman"/>
            <w:kern w:val="0"/>
            <w:sz w:val="22"/>
          </w:rPr>
          <m:t>=</m:t>
        </m:r>
        <m:f>
          <m:fPr>
            <m:ctrlPr>
              <w:rPr>
                <w:rFonts w:ascii="Cambria Math" w:eastAsia="宋体" w:hAnsi="Cambria Math" w:cs="Times New Roman"/>
                <w:kern w:val="0"/>
                <w:sz w:val="22"/>
              </w:rPr>
            </m:ctrlPr>
          </m:fPr>
          <m:num>
            <m:r>
              <m:rPr>
                <m:sty m:val="p"/>
              </m:rPr>
              <w:rPr>
                <w:rFonts w:ascii="Cambria Math" w:eastAsia="宋体" w:hAnsi="Cambria Math" w:cs="Times New Roman"/>
                <w:kern w:val="0"/>
                <w:sz w:val="22"/>
              </w:rPr>
              <m:t>Degree of node(</m:t>
            </m:r>
            <m:r>
              <w:rPr>
                <w:rFonts w:ascii="Cambria Math" w:eastAsia="宋体" w:hAnsi="Cambria Math" w:cs="Times New Roman"/>
                <w:kern w:val="0"/>
                <w:sz w:val="22"/>
              </w:rPr>
              <m:t>v</m:t>
            </m:r>
            <m:r>
              <m:rPr>
                <m:sty m:val="p"/>
              </m:rPr>
              <w:rPr>
                <w:rFonts w:ascii="Cambria Math" w:eastAsia="宋体" w:hAnsi="Cambria Math" w:cs="Times New Roman"/>
                <w:kern w:val="0"/>
                <w:sz w:val="22"/>
              </w:rPr>
              <m:t>)</m:t>
            </m:r>
          </m:num>
          <m:den>
            <m:r>
              <m:rPr>
                <m:sty m:val="p"/>
              </m:rPr>
              <w:rPr>
                <w:rFonts w:ascii="Cambria Math" w:eastAsia="宋体" w:hAnsi="Cambria Math" w:cs="Times New Roman"/>
                <w:kern w:val="0"/>
                <w:sz w:val="22"/>
              </w:rPr>
              <m:t>Total number of nodes-1</m:t>
            </m:r>
          </m:den>
        </m:f>
      </m:oMath>
      <w:r w:rsidRPr="009D0485">
        <w:rPr>
          <w:rFonts w:ascii="Calibri" w:eastAsia="宋体" w:hAnsi="Calibri" w:cs="Times New Roman"/>
          <w:kern w:val="0"/>
          <w:sz w:val="22"/>
        </w:rPr>
        <w:t xml:space="preserve">  </w:t>
      </w:r>
      <w:r w:rsidRPr="009D0485">
        <w:rPr>
          <w:rFonts w:ascii="Calibri" w:eastAsia="宋体" w:hAnsi="Calibri" w:cs="Times New Roman"/>
          <w:kern w:val="0"/>
          <w:szCs w:val="21"/>
        </w:rPr>
        <w:t xml:space="preserve"> </w:t>
      </w:r>
      <w:r w:rsidRPr="009D0485">
        <w:rPr>
          <w:rFonts w:ascii="Cambria" w:eastAsia="宋体" w:hAnsi="Cambria" w:cs="Times New Roman"/>
          <w:kern w:val="0"/>
          <w:sz w:val="22"/>
        </w:rPr>
        <w:t xml:space="preserve">  Eq. (A.1)</w:t>
      </w:r>
    </w:p>
    <w:p w14:paraId="1D3676CD" w14:textId="77777777" w:rsidR="009D0485" w:rsidRPr="009D0485" w:rsidRDefault="009D0485" w:rsidP="009D0485">
      <w:pPr>
        <w:widowControl/>
        <w:spacing w:after="200" w:line="276" w:lineRule="auto"/>
        <w:rPr>
          <w:rFonts w:ascii="Cambria" w:eastAsia="宋体" w:hAnsi="Cambria" w:cs="Times New Roman"/>
          <w:kern w:val="0"/>
          <w:sz w:val="22"/>
        </w:rPr>
      </w:pPr>
      <w:r w:rsidRPr="009D0485">
        <w:rPr>
          <w:rFonts w:ascii="Cambria" w:eastAsia="宋体" w:hAnsi="Cambria" w:cs="Times New Roman"/>
          <w:kern w:val="0"/>
          <w:sz w:val="22"/>
        </w:rPr>
        <w:t xml:space="preserve">Closeness centrality refers to the reciprocal of the average shortest path length from a node to other nodes in the network. The calculation method is presented in Equation (2), where </w:t>
      </w:r>
      <m:oMath>
        <m:sSub>
          <m:sSubPr>
            <m:ctrlPr>
              <w:rPr>
                <w:rFonts w:ascii="Cambria Math" w:eastAsia="宋体" w:hAnsi="Cambria Math" w:cs="Times New Roman"/>
                <w:kern w:val="0"/>
                <w:sz w:val="22"/>
              </w:rPr>
            </m:ctrlPr>
          </m:sSubPr>
          <m:e>
            <m:r>
              <w:rPr>
                <w:rFonts w:ascii="Cambria Math" w:eastAsia="宋体" w:hAnsi="Cambria Math" w:cs="Times New Roman"/>
                <w:kern w:val="0"/>
                <w:sz w:val="22"/>
              </w:rPr>
              <m:t>C</m:t>
            </m:r>
          </m:e>
          <m:sub>
            <m:r>
              <w:rPr>
                <w:rFonts w:ascii="Cambria Math" w:eastAsia="宋体" w:hAnsi="Cambria Math" w:cs="Times New Roman"/>
                <w:kern w:val="0"/>
                <w:sz w:val="22"/>
              </w:rPr>
              <m:t>C</m:t>
            </m:r>
          </m:sub>
        </m:sSub>
        <m:r>
          <w:rPr>
            <w:rFonts w:ascii="Cambria Math" w:eastAsia="宋体" w:hAnsi="Cambria Math" w:cs="Times New Roman"/>
            <w:kern w:val="0"/>
            <w:sz w:val="22"/>
          </w:rPr>
          <m:t>(v)</m:t>
        </m:r>
      </m:oMath>
      <w:r w:rsidRPr="009D0485">
        <w:rPr>
          <w:rFonts w:ascii="Cambria" w:eastAsia="宋体" w:hAnsi="Cambria" w:cs="Times New Roman"/>
          <w:kern w:val="0"/>
          <w:sz w:val="22"/>
        </w:rPr>
        <w:t xml:space="preserve"> denotes the closeness centrality of node </w:t>
      </w:r>
      <w:r w:rsidRPr="009D0485">
        <w:rPr>
          <w:rFonts w:ascii="Cambria" w:eastAsia="宋体" w:hAnsi="Cambria" w:cs="Times New Roman"/>
          <w:i/>
          <w:iCs/>
          <w:kern w:val="0"/>
          <w:sz w:val="22"/>
        </w:rPr>
        <w:t>v</w:t>
      </w:r>
      <w:r w:rsidRPr="009D0485">
        <w:rPr>
          <w:rFonts w:ascii="Cambria" w:eastAsia="宋体" w:hAnsi="Cambria" w:cs="Times New Roman"/>
          <w:kern w:val="0"/>
          <w:sz w:val="22"/>
        </w:rPr>
        <w:t>. Nodes exhibiting higher closeness centrality are situated closer to other nodes, thereby facilitating more efficient information dissemination within the network, that is, it quantifies the extent to which a node can control the flow of information throughout the network.</w:t>
      </w:r>
    </w:p>
    <w:p w14:paraId="4D784C1F" w14:textId="77777777" w:rsidR="009D0485" w:rsidRPr="009D0485" w:rsidRDefault="009D0485" w:rsidP="009D0485">
      <w:pPr>
        <w:widowControl/>
        <w:spacing w:after="200" w:line="276" w:lineRule="auto"/>
        <w:jc w:val="center"/>
        <w:rPr>
          <w:rFonts w:ascii="Cambria" w:eastAsia="宋体" w:hAnsi="Cambria" w:cs="Times New Roman"/>
          <w:kern w:val="0"/>
          <w:sz w:val="22"/>
        </w:rPr>
      </w:pPr>
      <m:oMath>
        <m:sSub>
          <m:sSubPr>
            <m:ctrlPr>
              <w:rPr>
                <w:rFonts w:ascii="Cambria Math" w:eastAsia="宋体" w:hAnsi="Cambria Math" w:cs="Times New Roman"/>
                <w:kern w:val="0"/>
                <w:sz w:val="22"/>
              </w:rPr>
            </m:ctrlPr>
          </m:sSubPr>
          <m:e>
            <m:r>
              <w:rPr>
                <w:rFonts w:ascii="Cambria Math" w:eastAsia="宋体" w:hAnsi="Cambria Math" w:cs="Times New Roman"/>
                <w:kern w:val="0"/>
                <w:sz w:val="22"/>
              </w:rPr>
              <m:t>C</m:t>
            </m:r>
          </m:e>
          <m:sub>
            <m:r>
              <w:rPr>
                <w:rFonts w:ascii="Cambria Math" w:eastAsia="宋体" w:hAnsi="Cambria Math" w:cs="Times New Roman"/>
                <w:kern w:val="0"/>
                <w:sz w:val="22"/>
              </w:rPr>
              <m:t>C</m:t>
            </m:r>
          </m:sub>
        </m:sSub>
        <m:d>
          <m:dPr>
            <m:ctrlPr>
              <w:rPr>
                <w:rFonts w:ascii="Cambria Math" w:eastAsia="宋体" w:hAnsi="Cambria Math" w:cs="Times New Roman"/>
                <w:i/>
                <w:kern w:val="0"/>
                <w:sz w:val="22"/>
              </w:rPr>
            </m:ctrlPr>
          </m:dPr>
          <m:e>
            <m:r>
              <w:rPr>
                <w:rFonts w:ascii="Cambria Math" w:eastAsia="宋体" w:hAnsi="Cambria Math" w:cs="Times New Roman"/>
                <w:kern w:val="0"/>
                <w:sz w:val="22"/>
              </w:rPr>
              <m:t>v</m:t>
            </m:r>
          </m:e>
        </m:d>
        <m:r>
          <w:rPr>
            <w:rFonts w:ascii="Cambria Math" w:eastAsia="宋体" w:hAnsi="Cambria Math" w:cs="Times New Roman"/>
            <w:kern w:val="0"/>
            <w:sz w:val="22"/>
          </w:rPr>
          <m:t>=</m:t>
        </m:r>
        <m:f>
          <m:fPr>
            <m:ctrlPr>
              <w:rPr>
                <w:rFonts w:ascii="Cambria Math" w:eastAsia="宋体" w:hAnsi="Cambria Math" w:cs="Times New Roman"/>
                <w:i/>
                <w:kern w:val="0"/>
                <w:sz w:val="22"/>
              </w:rPr>
            </m:ctrlPr>
          </m:fPr>
          <m:num>
            <m:r>
              <w:rPr>
                <w:rFonts w:ascii="Cambria Math" w:eastAsia="宋体" w:hAnsi="Cambria Math" w:cs="Times New Roman"/>
                <w:kern w:val="0"/>
                <w:sz w:val="22"/>
              </w:rPr>
              <m:t>1</m:t>
            </m:r>
          </m:num>
          <m:den>
            <m:f>
              <m:fPr>
                <m:ctrlPr>
                  <w:rPr>
                    <w:rFonts w:ascii="Cambria Math" w:eastAsia="宋体" w:hAnsi="Cambria Math" w:cs="Times New Roman"/>
                    <w:i/>
                    <w:kern w:val="0"/>
                    <w:sz w:val="22"/>
                  </w:rPr>
                </m:ctrlPr>
              </m:fPr>
              <m:num>
                <m:nary>
                  <m:naryPr>
                    <m:chr m:val="∑"/>
                    <m:limLoc m:val="undOvr"/>
                    <m:subHide m:val="1"/>
                    <m:supHide m:val="1"/>
                    <m:ctrlPr>
                      <w:rPr>
                        <w:rFonts w:ascii="Cambria Math" w:eastAsia="宋体" w:hAnsi="Cambria Math" w:cs="Times New Roman"/>
                        <w:i/>
                        <w:kern w:val="0"/>
                        <w:sz w:val="22"/>
                      </w:rPr>
                    </m:ctrlPr>
                  </m:naryPr>
                  <m:sub/>
                  <m:sup/>
                  <m:e>
                    <m:r>
                      <m:rPr>
                        <m:sty m:val="p"/>
                      </m:rPr>
                      <w:rPr>
                        <w:rFonts w:ascii="Cambria Math" w:eastAsia="宋体" w:hAnsi="Cambria Math" w:cs="Times New Roman"/>
                        <w:kern w:val="0"/>
                        <w:sz w:val="22"/>
                      </w:rPr>
                      <m:t>Shortest path length</m:t>
                    </m:r>
                    <m:r>
                      <w:rPr>
                        <w:rFonts w:ascii="Cambria Math" w:eastAsia="宋体" w:hAnsi="Cambria Math" w:cs="Times New Roman"/>
                        <w:kern w:val="0"/>
                        <w:sz w:val="22"/>
                      </w:rPr>
                      <m:t>(v,u)</m:t>
                    </m:r>
                  </m:e>
                </m:nary>
              </m:num>
              <m:den>
                <m:r>
                  <m:rPr>
                    <m:sty m:val="p"/>
                  </m:rPr>
                  <w:rPr>
                    <w:rFonts w:ascii="Cambria Math" w:eastAsia="宋体" w:hAnsi="Cambria Math" w:cs="Times New Roman"/>
                    <w:kern w:val="0"/>
                    <w:sz w:val="22"/>
                  </w:rPr>
                  <m:t>Total number of nodes</m:t>
                </m:r>
                <m:r>
                  <w:rPr>
                    <w:rFonts w:ascii="Cambria Math" w:eastAsia="宋体" w:hAnsi="Cambria Math" w:cs="Times New Roman"/>
                    <w:kern w:val="0"/>
                    <w:sz w:val="22"/>
                  </w:rPr>
                  <m:t>-1</m:t>
                </m:r>
              </m:den>
            </m:f>
          </m:den>
        </m:f>
      </m:oMath>
      <w:r w:rsidRPr="009D0485">
        <w:rPr>
          <w:rFonts w:ascii="Calibri" w:eastAsia="宋体" w:hAnsi="Calibri" w:cs="Times New Roman"/>
          <w:kern w:val="0"/>
          <w:sz w:val="22"/>
        </w:rPr>
        <w:t xml:space="preserve">        </w:t>
      </w:r>
      <w:r w:rsidRPr="009D0485">
        <w:rPr>
          <w:rFonts w:ascii="Cambria" w:eastAsia="宋体" w:hAnsi="Cambria" w:cs="Times New Roman"/>
          <w:kern w:val="0"/>
          <w:sz w:val="22"/>
        </w:rPr>
        <w:t>Eq. (A.2)</w:t>
      </w:r>
    </w:p>
    <w:p w14:paraId="1B0D1D34" w14:textId="77777777" w:rsidR="009D0485" w:rsidRPr="009D0485" w:rsidRDefault="009D0485" w:rsidP="009D0485">
      <w:pPr>
        <w:widowControl/>
        <w:spacing w:after="200" w:line="276" w:lineRule="auto"/>
        <w:rPr>
          <w:rFonts w:ascii="Cambria" w:eastAsia="宋体" w:hAnsi="Cambria" w:cs="Times New Roman"/>
          <w:kern w:val="0"/>
          <w:sz w:val="22"/>
        </w:rPr>
      </w:pPr>
      <w:r w:rsidRPr="009D0485">
        <w:rPr>
          <w:rFonts w:ascii="Cambria" w:eastAsia="宋体" w:hAnsi="Cambria" w:cs="Times New Roman"/>
          <w:kern w:val="0"/>
          <w:sz w:val="22"/>
        </w:rPr>
        <w:t xml:space="preserve">Betweenness centrality refers to the extent to which a node acts as an intermediary on all shortest paths within a network. It is calculated as shown in Equation (3), where </w:t>
      </w:r>
      <m:oMath>
        <m:sSub>
          <m:sSubPr>
            <m:ctrlPr>
              <w:rPr>
                <w:rFonts w:ascii="Cambria Math" w:eastAsia="宋体" w:hAnsi="Cambria Math" w:cs="Times New Roman"/>
                <w:kern w:val="0"/>
                <w:sz w:val="22"/>
              </w:rPr>
            </m:ctrlPr>
          </m:sSubPr>
          <m:e>
            <m:r>
              <w:rPr>
                <w:rFonts w:ascii="Cambria Math" w:eastAsia="宋体" w:hAnsi="Cambria Math" w:cs="Times New Roman"/>
                <w:kern w:val="0"/>
                <w:sz w:val="22"/>
              </w:rPr>
              <m:t>C</m:t>
            </m:r>
          </m:e>
          <m:sub>
            <m:r>
              <w:rPr>
                <w:rFonts w:ascii="Cambria Math" w:eastAsia="宋体" w:hAnsi="Cambria Math" w:cs="Times New Roman"/>
                <w:kern w:val="0"/>
                <w:sz w:val="22"/>
              </w:rPr>
              <m:t>B</m:t>
            </m:r>
          </m:sub>
        </m:sSub>
        <m:d>
          <m:dPr>
            <m:ctrlPr>
              <w:rPr>
                <w:rFonts w:ascii="Cambria Math" w:eastAsia="宋体" w:hAnsi="Cambria Math" w:cs="Times New Roman"/>
                <w:i/>
                <w:kern w:val="0"/>
                <w:sz w:val="22"/>
              </w:rPr>
            </m:ctrlPr>
          </m:dPr>
          <m:e>
            <m:r>
              <w:rPr>
                <w:rFonts w:ascii="Cambria Math" w:eastAsia="宋体" w:hAnsi="Cambria Math" w:cs="Times New Roman"/>
                <w:kern w:val="0"/>
                <w:sz w:val="22"/>
              </w:rPr>
              <m:t>v</m:t>
            </m:r>
          </m:e>
        </m:d>
      </m:oMath>
      <w:r w:rsidRPr="009D0485">
        <w:rPr>
          <w:rFonts w:ascii="Cambria" w:eastAsia="宋体" w:hAnsi="Cambria" w:cs="Times New Roman"/>
          <w:kern w:val="0"/>
          <w:sz w:val="22"/>
        </w:rPr>
        <w:t xml:space="preserve"> denotes the betweenness centrality of node </w:t>
      </w:r>
      <w:r w:rsidRPr="009D0485">
        <w:rPr>
          <w:rFonts w:ascii="Cambria" w:eastAsia="宋体" w:hAnsi="Cambria" w:cs="Times New Roman"/>
          <w:i/>
          <w:iCs/>
          <w:kern w:val="0"/>
          <w:sz w:val="22"/>
        </w:rPr>
        <w:t>v,</w:t>
      </w:r>
      <w:r w:rsidRPr="009D0485">
        <w:rPr>
          <w:rFonts w:ascii="Cambria" w:eastAsia="宋体" w:hAnsi="Cambria" w:cs="Times New Roman"/>
          <w:kern w:val="0"/>
          <w:sz w:val="22"/>
        </w:rPr>
        <w:t xml:space="preserve"> </w:t>
      </w:r>
      <m:oMath>
        <m:r>
          <w:rPr>
            <w:rFonts w:ascii="Cambria Math" w:eastAsia="宋体" w:hAnsi="Cambria Math" w:cs="Times New Roman"/>
            <w:kern w:val="0"/>
            <w:sz w:val="22"/>
          </w:rPr>
          <m:t>σ(s,t)</m:t>
        </m:r>
      </m:oMath>
      <w:r w:rsidRPr="009D0485">
        <w:rPr>
          <w:rFonts w:ascii="Cambria" w:eastAsia="宋体" w:hAnsi="Cambria" w:cs="Times New Roman"/>
          <w:kern w:val="0"/>
          <w:sz w:val="22"/>
        </w:rPr>
        <w:t xml:space="preserve"> represents the total number of shortest paths from node </w:t>
      </w:r>
      <w:r w:rsidRPr="009D0485">
        <w:rPr>
          <w:rFonts w:ascii="Cambria" w:eastAsia="宋体" w:hAnsi="Cambria" w:cs="Times New Roman"/>
          <w:i/>
          <w:iCs/>
          <w:kern w:val="0"/>
          <w:sz w:val="22"/>
        </w:rPr>
        <w:t>s</w:t>
      </w:r>
      <w:r w:rsidRPr="009D0485">
        <w:rPr>
          <w:rFonts w:ascii="Cambria" w:eastAsia="宋体" w:hAnsi="Cambria" w:cs="Times New Roman"/>
          <w:kern w:val="0"/>
          <w:sz w:val="22"/>
        </w:rPr>
        <w:t xml:space="preserve"> to node </w:t>
      </w:r>
      <w:r w:rsidRPr="009D0485">
        <w:rPr>
          <w:rFonts w:ascii="Cambria" w:eastAsia="宋体" w:hAnsi="Cambria" w:cs="Times New Roman"/>
          <w:i/>
          <w:iCs/>
          <w:kern w:val="0"/>
          <w:sz w:val="22"/>
        </w:rPr>
        <w:t>t</w:t>
      </w:r>
      <w:r w:rsidRPr="009D0485">
        <w:rPr>
          <w:rFonts w:ascii="Cambria" w:eastAsia="宋体" w:hAnsi="Cambria" w:cs="Times New Roman"/>
          <w:kern w:val="0"/>
          <w:sz w:val="22"/>
        </w:rPr>
        <w:t xml:space="preserve">, and </w:t>
      </w:r>
      <m:oMath>
        <m:r>
          <w:rPr>
            <w:rFonts w:ascii="Cambria Math" w:eastAsia="宋体" w:hAnsi="Cambria Math" w:cs="Times New Roman"/>
            <w:kern w:val="0"/>
            <w:sz w:val="22"/>
          </w:rPr>
          <m:t>σ(s,t|v)</m:t>
        </m:r>
      </m:oMath>
      <w:r w:rsidRPr="009D0485">
        <w:rPr>
          <w:rFonts w:ascii="Cambria" w:eastAsia="宋体" w:hAnsi="Cambria" w:cs="Times New Roman"/>
          <w:kern w:val="0"/>
          <w:sz w:val="22"/>
        </w:rPr>
        <w:t xml:space="preserve"> indicates the number of those shortest paths that pass through node </w:t>
      </w:r>
      <w:r w:rsidRPr="009D0485">
        <w:rPr>
          <w:rFonts w:ascii="Cambria" w:eastAsia="宋体" w:hAnsi="Cambria" w:cs="Times New Roman"/>
          <w:i/>
          <w:iCs/>
          <w:kern w:val="0"/>
          <w:sz w:val="22"/>
        </w:rPr>
        <w:t>v</w:t>
      </w:r>
      <w:r w:rsidRPr="009D0485">
        <w:rPr>
          <w:rFonts w:ascii="Cambria" w:eastAsia="宋体" w:hAnsi="Cambria" w:cs="Times New Roman"/>
          <w:kern w:val="0"/>
          <w:sz w:val="22"/>
        </w:rPr>
        <w:t>. Betweenness centrality quantifies the bridging role of a node within the network, specifically its critical intermediary function on paths connecting different segments. A higher betweenness centrality value signifies that the node plays a significant bridging role in the flow of information throughout the network.</w:t>
      </w:r>
    </w:p>
    <w:p w14:paraId="6126027F" w14:textId="77777777" w:rsidR="009D0485" w:rsidRPr="009D0485" w:rsidRDefault="009D0485" w:rsidP="009D0485">
      <w:pPr>
        <w:widowControl/>
        <w:spacing w:after="200" w:line="276" w:lineRule="auto"/>
        <w:jc w:val="center"/>
        <w:rPr>
          <w:rFonts w:ascii="Calibri" w:eastAsia="宋体" w:hAnsi="Calibri" w:cs="Times New Roman"/>
          <w:kern w:val="0"/>
          <w:sz w:val="22"/>
        </w:rPr>
      </w:pPr>
      <m:oMath>
        <m:sSub>
          <m:sSubPr>
            <m:ctrlPr>
              <w:rPr>
                <w:rFonts w:ascii="Cambria Math" w:eastAsia="宋体" w:hAnsi="Cambria Math" w:cs="Times New Roman"/>
                <w:kern w:val="0"/>
                <w:sz w:val="22"/>
              </w:rPr>
            </m:ctrlPr>
          </m:sSubPr>
          <m:e>
            <m:r>
              <w:rPr>
                <w:rFonts w:ascii="Cambria Math" w:eastAsia="宋体" w:hAnsi="Cambria Math" w:cs="Times New Roman"/>
                <w:kern w:val="0"/>
                <w:sz w:val="22"/>
              </w:rPr>
              <m:t>C</m:t>
            </m:r>
          </m:e>
          <m:sub>
            <m:r>
              <w:rPr>
                <w:rFonts w:ascii="Cambria Math" w:eastAsia="宋体" w:hAnsi="Cambria Math" w:cs="Times New Roman"/>
                <w:kern w:val="0"/>
                <w:sz w:val="22"/>
              </w:rPr>
              <m:t>B</m:t>
            </m:r>
          </m:sub>
        </m:sSub>
        <m:d>
          <m:dPr>
            <m:ctrlPr>
              <w:rPr>
                <w:rFonts w:ascii="Cambria Math" w:eastAsia="宋体" w:hAnsi="Cambria Math" w:cs="Times New Roman"/>
                <w:i/>
                <w:kern w:val="0"/>
                <w:sz w:val="22"/>
              </w:rPr>
            </m:ctrlPr>
          </m:dPr>
          <m:e>
            <m:r>
              <w:rPr>
                <w:rFonts w:ascii="Cambria Math" w:eastAsia="宋体" w:hAnsi="Cambria Math" w:cs="Times New Roman"/>
                <w:kern w:val="0"/>
                <w:sz w:val="22"/>
              </w:rPr>
              <m:t>v</m:t>
            </m:r>
          </m:e>
        </m:d>
        <m:r>
          <w:rPr>
            <w:rFonts w:ascii="Cambria Math" w:eastAsia="宋体" w:hAnsi="Cambria Math" w:cs="Times New Roman"/>
            <w:kern w:val="0"/>
            <w:sz w:val="22"/>
          </w:rPr>
          <m:t>=</m:t>
        </m:r>
        <m:nary>
          <m:naryPr>
            <m:chr m:val="∑"/>
            <m:limLoc m:val="subSup"/>
            <m:supHide m:val="1"/>
            <m:ctrlPr>
              <w:rPr>
                <w:rFonts w:ascii="Cambria Math" w:eastAsia="宋体" w:hAnsi="Cambria Math" w:cs="Times New Roman"/>
                <w:i/>
                <w:kern w:val="0"/>
                <w:sz w:val="22"/>
              </w:rPr>
            </m:ctrlPr>
          </m:naryPr>
          <m:sub>
            <m:r>
              <w:rPr>
                <w:rFonts w:ascii="Cambria Math" w:eastAsia="宋体" w:hAnsi="Cambria Math" w:cs="Times New Roman"/>
                <w:kern w:val="0"/>
                <w:sz w:val="22"/>
              </w:rPr>
              <m:t>s≠v≠t</m:t>
            </m:r>
          </m:sub>
          <m:sup/>
          <m:e>
            <m:f>
              <m:fPr>
                <m:ctrlPr>
                  <w:rPr>
                    <w:rFonts w:ascii="Cambria Math" w:eastAsia="宋体" w:hAnsi="Cambria Math" w:cs="Times New Roman"/>
                    <w:i/>
                    <w:kern w:val="0"/>
                    <w:sz w:val="22"/>
                  </w:rPr>
                </m:ctrlPr>
              </m:fPr>
              <m:num>
                <m:r>
                  <w:rPr>
                    <w:rFonts w:ascii="Cambria Math" w:eastAsia="宋体" w:hAnsi="Cambria Math" w:cs="Times New Roman"/>
                    <w:kern w:val="0"/>
                    <w:sz w:val="22"/>
                  </w:rPr>
                  <m:t>σ(s,t|v)</m:t>
                </m:r>
              </m:num>
              <m:den>
                <m:r>
                  <w:rPr>
                    <w:rFonts w:ascii="Cambria Math" w:eastAsia="宋体" w:hAnsi="Cambria Math" w:cs="Times New Roman"/>
                    <w:kern w:val="0"/>
                    <w:sz w:val="22"/>
                  </w:rPr>
                  <m:t>σ(s,t)</m:t>
                </m:r>
              </m:den>
            </m:f>
          </m:e>
        </m:nary>
      </m:oMath>
      <w:r w:rsidRPr="009D0485">
        <w:rPr>
          <w:rFonts w:ascii="Calibri" w:eastAsia="宋体" w:hAnsi="Calibri" w:cs="Times New Roman"/>
          <w:kern w:val="0"/>
          <w:sz w:val="22"/>
        </w:rPr>
        <w:t xml:space="preserve">         </w:t>
      </w:r>
      <w:r w:rsidRPr="009D0485">
        <w:rPr>
          <w:rFonts w:ascii="Cambria" w:eastAsia="宋体" w:hAnsi="Cambria" w:cs="Times New Roman"/>
          <w:kern w:val="0"/>
          <w:sz w:val="22"/>
        </w:rPr>
        <w:t>Eq. (A.3)</w:t>
      </w:r>
    </w:p>
    <w:p w14:paraId="0A3A9B3B" w14:textId="77777777" w:rsidR="009D0485" w:rsidRPr="009D0485" w:rsidRDefault="009D0485" w:rsidP="009D0485">
      <w:pPr>
        <w:widowControl/>
        <w:spacing w:after="200" w:line="276" w:lineRule="auto"/>
        <w:rPr>
          <w:rFonts w:ascii="Cambria" w:eastAsia="宋体" w:hAnsi="Cambria" w:cs="Times New Roman"/>
          <w:kern w:val="0"/>
          <w:sz w:val="22"/>
        </w:rPr>
      </w:pPr>
      <w:r w:rsidRPr="009D0485">
        <w:rPr>
          <w:rFonts w:ascii="Cambria" w:eastAsia="宋体" w:hAnsi="Cambria" w:cs="Times New Roman"/>
          <w:kern w:val="0"/>
          <w:sz w:val="22"/>
        </w:rPr>
        <w:t xml:space="preserve">The aforementioned centrality metrics facilitate the understanding of the relative importance of nodes within a network and their roles in information dissemination, </w:t>
      </w:r>
      <w:r w:rsidRPr="009D0485">
        <w:rPr>
          <w:rFonts w:ascii="Cambria" w:eastAsia="宋体" w:hAnsi="Cambria" w:cs="Times New Roman"/>
          <w:kern w:val="0"/>
          <w:sz w:val="22"/>
        </w:rPr>
        <w:lastRenderedPageBreak/>
        <w:t xml:space="preserve">control, or connectivity. In network analysis, these indicators assist in identifying critical nodes, comprehending network structure, and providing insights into network functionality and robustness. Newman (2008) proposed three types of centrality measures to quantify node’s importance: degree centrality assumes that a node’s influence increases with the number of other nodes it can directly affect; closeness centrality assumes that a node is more critical if its average shortest path to all other nodes in the network is smaller; betweenness centrality assumes that a node’s ability to mediate shortest paths between different nodes is essential. Therefore, to fully reflect the significance of accident occurrence nodes, this section standardizes and aggregates the values of degree centrality, closeness centrality, and betweenness centrality. Accordingly, a composite score is employed to evaluate node importance, with the results presented in </w:t>
      </w:r>
      <w:r w:rsidRPr="009D0485">
        <w:rPr>
          <w:rFonts w:ascii="Cambria" w:eastAsia="宋体" w:hAnsi="Cambria" w:cs="Times New Roman"/>
          <w:b/>
          <w:bCs/>
          <w:kern w:val="0"/>
          <w:sz w:val="22"/>
        </w:rPr>
        <w:t>Table A.1</w:t>
      </w:r>
      <w:r w:rsidRPr="009D0485">
        <w:rPr>
          <w:rFonts w:ascii="Cambria" w:eastAsia="宋体" w:hAnsi="Cambria" w:cs="Times New Roman"/>
          <w:kern w:val="0"/>
          <w:sz w:val="22"/>
        </w:rPr>
        <w:t xml:space="preserve">. </w:t>
      </w:r>
    </w:p>
    <w:p w14:paraId="0561D8CA" w14:textId="77777777" w:rsidR="009D0485" w:rsidRPr="009D0485" w:rsidRDefault="009D0485" w:rsidP="009D0485">
      <w:pPr>
        <w:widowControl/>
        <w:jc w:val="center"/>
        <w:rPr>
          <w:rFonts w:ascii="Cambria" w:eastAsia="宋体" w:hAnsi="Cambria" w:cs="Times New Roman"/>
          <w:kern w:val="0"/>
          <w:szCs w:val="21"/>
        </w:rPr>
      </w:pPr>
      <w:r w:rsidRPr="009D0485">
        <w:rPr>
          <w:rFonts w:ascii="Cambria" w:eastAsia="宋体" w:hAnsi="Cambria" w:cs="Times New Roman"/>
          <w:b/>
          <w:color w:val="000000"/>
          <w:kern w:val="0"/>
          <w:szCs w:val="21"/>
        </w:rPr>
        <w:t>Table A.1</w:t>
      </w:r>
      <w:r w:rsidRPr="009D0485">
        <w:rPr>
          <w:rFonts w:ascii="Cambria" w:eastAsia="宋体" w:hAnsi="Cambria" w:cs="Times New Roman"/>
          <w:color w:val="000000"/>
          <w:kern w:val="0"/>
          <w:szCs w:val="21"/>
        </w:rPr>
        <w:t xml:space="preserve"> Centrality analysis of causative nodes in coal mine production</w:t>
      </w:r>
    </w:p>
    <w:tbl>
      <w:tblPr>
        <w:tblW w:w="6823" w:type="dxa"/>
        <w:jc w:val="center"/>
        <w:tblLook w:val="04A0" w:firstRow="1" w:lastRow="0" w:firstColumn="1" w:lastColumn="0" w:noHBand="0" w:noVBand="1"/>
      </w:tblPr>
      <w:tblGrid>
        <w:gridCol w:w="1276"/>
        <w:gridCol w:w="1310"/>
        <w:gridCol w:w="1403"/>
        <w:gridCol w:w="1417"/>
        <w:gridCol w:w="1619"/>
      </w:tblGrid>
      <w:tr w:rsidR="009D0485" w:rsidRPr="009D0485" w14:paraId="4D8AC793" w14:textId="77777777" w:rsidTr="009D0485">
        <w:trPr>
          <w:trHeight w:val="397"/>
          <w:jc w:val="center"/>
        </w:trPr>
        <w:tc>
          <w:tcPr>
            <w:tcW w:w="1276" w:type="dxa"/>
            <w:tcBorders>
              <w:top w:val="single" w:sz="8" w:space="0" w:color="000000"/>
              <w:left w:val="nil"/>
              <w:bottom w:val="single" w:sz="6" w:space="0" w:color="000000"/>
              <w:right w:val="nil"/>
            </w:tcBorders>
            <w:noWrap/>
            <w:vAlign w:val="center"/>
            <w:hideMark/>
          </w:tcPr>
          <w:p w14:paraId="15C67342"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Nodes</w:t>
            </w:r>
          </w:p>
        </w:tc>
        <w:tc>
          <w:tcPr>
            <w:tcW w:w="1310" w:type="dxa"/>
            <w:tcBorders>
              <w:top w:val="single" w:sz="8" w:space="0" w:color="000000"/>
              <w:left w:val="nil"/>
              <w:bottom w:val="single" w:sz="6" w:space="0" w:color="000000"/>
              <w:right w:val="nil"/>
            </w:tcBorders>
            <w:noWrap/>
            <w:vAlign w:val="center"/>
            <w:hideMark/>
          </w:tcPr>
          <w:p w14:paraId="79407574"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Degree centrality</w:t>
            </w:r>
          </w:p>
        </w:tc>
        <w:tc>
          <w:tcPr>
            <w:tcW w:w="1403" w:type="dxa"/>
            <w:tcBorders>
              <w:top w:val="single" w:sz="8" w:space="0" w:color="000000"/>
              <w:left w:val="nil"/>
              <w:bottom w:val="single" w:sz="6" w:space="0" w:color="000000"/>
              <w:right w:val="nil"/>
            </w:tcBorders>
            <w:noWrap/>
            <w:vAlign w:val="center"/>
            <w:hideMark/>
          </w:tcPr>
          <w:p w14:paraId="38E6D21C"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Betweenness centrality</w:t>
            </w:r>
          </w:p>
        </w:tc>
        <w:tc>
          <w:tcPr>
            <w:tcW w:w="1417" w:type="dxa"/>
            <w:tcBorders>
              <w:top w:val="single" w:sz="8" w:space="0" w:color="000000"/>
              <w:left w:val="nil"/>
              <w:bottom w:val="single" w:sz="6" w:space="0" w:color="000000"/>
              <w:right w:val="nil"/>
            </w:tcBorders>
            <w:noWrap/>
            <w:vAlign w:val="center"/>
            <w:hideMark/>
          </w:tcPr>
          <w:p w14:paraId="0A175677"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Closeness Centrality</w:t>
            </w:r>
          </w:p>
        </w:tc>
        <w:tc>
          <w:tcPr>
            <w:tcW w:w="1417" w:type="dxa"/>
            <w:tcBorders>
              <w:top w:val="single" w:sz="8" w:space="0" w:color="000000"/>
              <w:left w:val="nil"/>
              <w:bottom w:val="single" w:sz="6" w:space="0" w:color="000000"/>
              <w:right w:val="nil"/>
            </w:tcBorders>
            <w:noWrap/>
            <w:vAlign w:val="center"/>
            <w:hideMark/>
          </w:tcPr>
          <w:p w14:paraId="3C5CC1FC"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Comprehensive Ranking</w:t>
            </w:r>
          </w:p>
        </w:tc>
      </w:tr>
      <w:tr w:rsidR="009D0485" w:rsidRPr="009D0485" w14:paraId="4D82C719" w14:textId="77777777" w:rsidTr="009D0485">
        <w:trPr>
          <w:trHeight w:val="170"/>
          <w:jc w:val="center"/>
        </w:trPr>
        <w:tc>
          <w:tcPr>
            <w:tcW w:w="1276" w:type="dxa"/>
            <w:tcBorders>
              <w:top w:val="single" w:sz="6" w:space="0" w:color="000000"/>
              <w:left w:val="nil"/>
              <w:bottom w:val="nil"/>
              <w:right w:val="nil"/>
            </w:tcBorders>
            <w:noWrap/>
            <w:vAlign w:val="bottom"/>
            <w:hideMark/>
          </w:tcPr>
          <w:p w14:paraId="601722E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D1</w:t>
            </w:r>
          </w:p>
        </w:tc>
        <w:tc>
          <w:tcPr>
            <w:tcW w:w="1310" w:type="dxa"/>
            <w:tcBorders>
              <w:top w:val="single" w:sz="6" w:space="0" w:color="000000"/>
              <w:left w:val="nil"/>
              <w:bottom w:val="nil"/>
              <w:right w:val="nil"/>
            </w:tcBorders>
            <w:noWrap/>
            <w:vAlign w:val="bottom"/>
            <w:hideMark/>
          </w:tcPr>
          <w:p w14:paraId="72A1C85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16</w:t>
            </w:r>
          </w:p>
        </w:tc>
        <w:tc>
          <w:tcPr>
            <w:tcW w:w="1403" w:type="dxa"/>
            <w:tcBorders>
              <w:top w:val="single" w:sz="6" w:space="0" w:color="000000"/>
              <w:left w:val="nil"/>
              <w:bottom w:val="nil"/>
              <w:right w:val="nil"/>
            </w:tcBorders>
            <w:noWrap/>
            <w:vAlign w:val="bottom"/>
            <w:hideMark/>
          </w:tcPr>
          <w:p w14:paraId="43905B39"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0.153</w:t>
            </w:r>
          </w:p>
        </w:tc>
        <w:tc>
          <w:tcPr>
            <w:tcW w:w="1417" w:type="dxa"/>
            <w:tcBorders>
              <w:top w:val="single" w:sz="6" w:space="0" w:color="000000"/>
              <w:left w:val="nil"/>
              <w:bottom w:val="nil"/>
              <w:right w:val="nil"/>
            </w:tcBorders>
            <w:noWrap/>
            <w:vAlign w:val="bottom"/>
            <w:hideMark/>
          </w:tcPr>
          <w:p w14:paraId="14085F78"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0.813</w:t>
            </w:r>
          </w:p>
        </w:tc>
        <w:tc>
          <w:tcPr>
            <w:tcW w:w="1417" w:type="dxa"/>
            <w:tcBorders>
              <w:top w:val="single" w:sz="6" w:space="0" w:color="000000"/>
              <w:left w:val="nil"/>
              <w:bottom w:val="nil"/>
              <w:right w:val="nil"/>
            </w:tcBorders>
            <w:noWrap/>
            <w:vAlign w:val="bottom"/>
            <w:hideMark/>
          </w:tcPr>
          <w:p w14:paraId="20433631"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w:t>
            </w:r>
          </w:p>
        </w:tc>
      </w:tr>
      <w:tr w:rsidR="009D0485" w:rsidRPr="009D0485" w14:paraId="4744FDA7" w14:textId="77777777" w:rsidTr="006972E2">
        <w:trPr>
          <w:trHeight w:val="170"/>
          <w:jc w:val="center"/>
        </w:trPr>
        <w:tc>
          <w:tcPr>
            <w:tcW w:w="1276" w:type="dxa"/>
            <w:tcBorders>
              <w:top w:val="nil"/>
              <w:left w:val="nil"/>
              <w:bottom w:val="nil"/>
              <w:right w:val="nil"/>
            </w:tcBorders>
            <w:noWrap/>
            <w:vAlign w:val="bottom"/>
            <w:hideMark/>
          </w:tcPr>
          <w:p w14:paraId="2D1CE6F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C3</w:t>
            </w:r>
          </w:p>
        </w:tc>
        <w:tc>
          <w:tcPr>
            <w:tcW w:w="1310" w:type="dxa"/>
            <w:tcBorders>
              <w:top w:val="nil"/>
              <w:left w:val="nil"/>
              <w:bottom w:val="nil"/>
              <w:right w:val="nil"/>
            </w:tcBorders>
            <w:noWrap/>
            <w:vAlign w:val="bottom"/>
            <w:hideMark/>
          </w:tcPr>
          <w:p w14:paraId="48D6811B"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11</w:t>
            </w:r>
          </w:p>
        </w:tc>
        <w:tc>
          <w:tcPr>
            <w:tcW w:w="1403" w:type="dxa"/>
            <w:tcBorders>
              <w:top w:val="nil"/>
              <w:left w:val="nil"/>
              <w:bottom w:val="nil"/>
              <w:right w:val="nil"/>
            </w:tcBorders>
            <w:noWrap/>
            <w:vAlign w:val="bottom"/>
            <w:hideMark/>
          </w:tcPr>
          <w:p w14:paraId="6823B2B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0.118</w:t>
            </w:r>
          </w:p>
        </w:tc>
        <w:tc>
          <w:tcPr>
            <w:tcW w:w="1417" w:type="dxa"/>
            <w:tcBorders>
              <w:top w:val="nil"/>
              <w:left w:val="nil"/>
              <w:bottom w:val="nil"/>
              <w:right w:val="nil"/>
            </w:tcBorders>
            <w:noWrap/>
            <w:vAlign w:val="bottom"/>
            <w:hideMark/>
          </w:tcPr>
          <w:p w14:paraId="3C8AE786"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0.722</w:t>
            </w:r>
          </w:p>
        </w:tc>
        <w:tc>
          <w:tcPr>
            <w:tcW w:w="1417" w:type="dxa"/>
            <w:tcBorders>
              <w:top w:val="nil"/>
              <w:left w:val="nil"/>
              <w:bottom w:val="nil"/>
              <w:right w:val="nil"/>
            </w:tcBorders>
            <w:noWrap/>
            <w:vAlign w:val="bottom"/>
            <w:hideMark/>
          </w:tcPr>
          <w:p w14:paraId="37E0D48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2</w:t>
            </w:r>
          </w:p>
        </w:tc>
      </w:tr>
      <w:tr w:rsidR="009D0485" w:rsidRPr="009D0485" w14:paraId="3CE7CE78" w14:textId="77777777" w:rsidTr="006972E2">
        <w:trPr>
          <w:trHeight w:val="170"/>
          <w:jc w:val="center"/>
        </w:trPr>
        <w:tc>
          <w:tcPr>
            <w:tcW w:w="1276" w:type="dxa"/>
            <w:tcBorders>
              <w:top w:val="nil"/>
              <w:left w:val="nil"/>
              <w:bottom w:val="nil"/>
              <w:right w:val="nil"/>
            </w:tcBorders>
            <w:noWrap/>
            <w:vAlign w:val="bottom"/>
            <w:hideMark/>
          </w:tcPr>
          <w:p w14:paraId="3CC3D0A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D3</w:t>
            </w:r>
          </w:p>
        </w:tc>
        <w:tc>
          <w:tcPr>
            <w:tcW w:w="1310" w:type="dxa"/>
            <w:tcBorders>
              <w:top w:val="nil"/>
              <w:left w:val="nil"/>
              <w:bottom w:val="nil"/>
              <w:right w:val="nil"/>
            </w:tcBorders>
            <w:noWrap/>
            <w:vAlign w:val="bottom"/>
            <w:hideMark/>
          </w:tcPr>
          <w:p w14:paraId="3F27659D"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13</w:t>
            </w:r>
          </w:p>
        </w:tc>
        <w:tc>
          <w:tcPr>
            <w:tcW w:w="1403" w:type="dxa"/>
            <w:tcBorders>
              <w:top w:val="nil"/>
              <w:left w:val="nil"/>
              <w:bottom w:val="nil"/>
              <w:right w:val="nil"/>
            </w:tcBorders>
            <w:noWrap/>
            <w:vAlign w:val="bottom"/>
            <w:hideMark/>
          </w:tcPr>
          <w:p w14:paraId="6572098E"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0.052</w:t>
            </w:r>
          </w:p>
        </w:tc>
        <w:tc>
          <w:tcPr>
            <w:tcW w:w="1417" w:type="dxa"/>
            <w:tcBorders>
              <w:top w:val="nil"/>
              <w:left w:val="nil"/>
              <w:bottom w:val="nil"/>
              <w:right w:val="nil"/>
            </w:tcBorders>
            <w:noWrap/>
            <w:vAlign w:val="bottom"/>
            <w:hideMark/>
          </w:tcPr>
          <w:p w14:paraId="62E57E66"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0.722</w:t>
            </w:r>
          </w:p>
        </w:tc>
        <w:tc>
          <w:tcPr>
            <w:tcW w:w="1417" w:type="dxa"/>
            <w:tcBorders>
              <w:top w:val="nil"/>
              <w:left w:val="nil"/>
              <w:bottom w:val="nil"/>
              <w:right w:val="nil"/>
            </w:tcBorders>
            <w:noWrap/>
            <w:vAlign w:val="bottom"/>
            <w:hideMark/>
          </w:tcPr>
          <w:p w14:paraId="192F0BE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3</w:t>
            </w:r>
          </w:p>
        </w:tc>
      </w:tr>
      <w:tr w:rsidR="009D0485" w:rsidRPr="009D0485" w14:paraId="71C06647" w14:textId="77777777" w:rsidTr="006972E2">
        <w:trPr>
          <w:trHeight w:val="170"/>
          <w:jc w:val="center"/>
        </w:trPr>
        <w:tc>
          <w:tcPr>
            <w:tcW w:w="1276" w:type="dxa"/>
            <w:tcBorders>
              <w:top w:val="nil"/>
              <w:left w:val="nil"/>
              <w:bottom w:val="nil"/>
              <w:right w:val="nil"/>
            </w:tcBorders>
            <w:noWrap/>
            <w:vAlign w:val="bottom"/>
            <w:hideMark/>
          </w:tcPr>
          <w:p w14:paraId="23E8A49E"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B6</w:t>
            </w:r>
          </w:p>
        </w:tc>
        <w:tc>
          <w:tcPr>
            <w:tcW w:w="1310" w:type="dxa"/>
            <w:tcBorders>
              <w:top w:val="nil"/>
              <w:left w:val="nil"/>
              <w:bottom w:val="nil"/>
              <w:right w:val="nil"/>
            </w:tcBorders>
            <w:noWrap/>
            <w:vAlign w:val="bottom"/>
            <w:hideMark/>
          </w:tcPr>
          <w:p w14:paraId="2EFFFEC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12</w:t>
            </w:r>
          </w:p>
        </w:tc>
        <w:tc>
          <w:tcPr>
            <w:tcW w:w="1403" w:type="dxa"/>
            <w:tcBorders>
              <w:top w:val="nil"/>
              <w:left w:val="nil"/>
              <w:bottom w:val="nil"/>
              <w:right w:val="nil"/>
            </w:tcBorders>
            <w:noWrap/>
            <w:vAlign w:val="bottom"/>
            <w:hideMark/>
          </w:tcPr>
          <w:p w14:paraId="2DDD75FA"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0.051</w:t>
            </w:r>
          </w:p>
        </w:tc>
        <w:tc>
          <w:tcPr>
            <w:tcW w:w="1417" w:type="dxa"/>
            <w:tcBorders>
              <w:top w:val="nil"/>
              <w:left w:val="nil"/>
              <w:bottom w:val="nil"/>
              <w:right w:val="nil"/>
            </w:tcBorders>
            <w:noWrap/>
            <w:vAlign w:val="bottom"/>
            <w:hideMark/>
          </w:tcPr>
          <w:p w14:paraId="2403CA52"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0.722</w:t>
            </w:r>
          </w:p>
        </w:tc>
        <w:tc>
          <w:tcPr>
            <w:tcW w:w="1417" w:type="dxa"/>
            <w:tcBorders>
              <w:top w:val="nil"/>
              <w:left w:val="nil"/>
              <w:bottom w:val="nil"/>
              <w:right w:val="nil"/>
            </w:tcBorders>
            <w:noWrap/>
            <w:vAlign w:val="bottom"/>
            <w:hideMark/>
          </w:tcPr>
          <w:p w14:paraId="40755EBE"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4</w:t>
            </w:r>
          </w:p>
        </w:tc>
      </w:tr>
      <w:tr w:rsidR="009D0485" w:rsidRPr="009D0485" w14:paraId="65173E76" w14:textId="77777777" w:rsidTr="006972E2">
        <w:trPr>
          <w:trHeight w:val="170"/>
          <w:jc w:val="center"/>
        </w:trPr>
        <w:tc>
          <w:tcPr>
            <w:tcW w:w="1276" w:type="dxa"/>
            <w:tcBorders>
              <w:top w:val="nil"/>
              <w:left w:val="nil"/>
              <w:bottom w:val="nil"/>
              <w:right w:val="nil"/>
            </w:tcBorders>
            <w:noWrap/>
            <w:vAlign w:val="bottom"/>
            <w:hideMark/>
          </w:tcPr>
          <w:p w14:paraId="7D20A807"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C2</w:t>
            </w:r>
          </w:p>
        </w:tc>
        <w:tc>
          <w:tcPr>
            <w:tcW w:w="1310" w:type="dxa"/>
            <w:tcBorders>
              <w:top w:val="nil"/>
              <w:left w:val="nil"/>
              <w:bottom w:val="nil"/>
              <w:right w:val="nil"/>
            </w:tcBorders>
            <w:noWrap/>
            <w:vAlign w:val="bottom"/>
            <w:hideMark/>
          </w:tcPr>
          <w:p w14:paraId="68DB06A8"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10</w:t>
            </w:r>
          </w:p>
        </w:tc>
        <w:tc>
          <w:tcPr>
            <w:tcW w:w="1403" w:type="dxa"/>
            <w:tcBorders>
              <w:top w:val="nil"/>
              <w:left w:val="nil"/>
              <w:bottom w:val="nil"/>
              <w:right w:val="nil"/>
            </w:tcBorders>
            <w:noWrap/>
            <w:vAlign w:val="bottom"/>
            <w:hideMark/>
          </w:tcPr>
          <w:p w14:paraId="359B4D7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0.031</w:t>
            </w:r>
          </w:p>
        </w:tc>
        <w:tc>
          <w:tcPr>
            <w:tcW w:w="1417" w:type="dxa"/>
            <w:tcBorders>
              <w:top w:val="nil"/>
              <w:left w:val="nil"/>
              <w:bottom w:val="nil"/>
              <w:right w:val="nil"/>
            </w:tcBorders>
            <w:noWrap/>
            <w:vAlign w:val="bottom"/>
            <w:hideMark/>
          </w:tcPr>
          <w:p w14:paraId="21F6F64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0.722</w:t>
            </w:r>
          </w:p>
        </w:tc>
        <w:tc>
          <w:tcPr>
            <w:tcW w:w="1417" w:type="dxa"/>
            <w:tcBorders>
              <w:top w:val="nil"/>
              <w:left w:val="nil"/>
              <w:bottom w:val="nil"/>
              <w:right w:val="nil"/>
            </w:tcBorders>
            <w:noWrap/>
            <w:vAlign w:val="bottom"/>
            <w:hideMark/>
          </w:tcPr>
          <w:p w14:paraId="1A525F1B"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5</w:t>
            </w:r>
          </w:p>
        </w:tc>
      </w:tr>
      <w:tr w:rsidR="009D0485" w:rsidRPr="009D0485" w14:paraId="07BE8993" w14:textId="77777777" w:rsidTr="006972E2">
        <w:trPr>
          <w:trHeight w:val="170"/>
          <w:jc w:val="center"/>
        </w:trPr>
        <w:tc>
          <w:tcPr>
            <w:tcW w:w="1276" w:type="dxa"/>
            <w:tcBorders>
              <w:top w:val="nil"/>
              <w:left w:val="nil"/>
              <w:bottom w:val="nil"/>
              <w:right w:val="nil"/>
            </w:tcBorders>
            <w:noWrap/>
            <w:vAlign w:val="bottom"/>
            <w:hideMark/>
          </w:tcPr>
          <w:p w14:paraId="47C422C9"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A2</w:t>
            </w:r>
          </w:p>
        </w:tc>
        <w:tc>
          <w:tcPr>
            <w:tcW w:w="1310" w:type="dxa"/>
            <w:tcBorders>
              <w:top w:val="nil"/>
              <w:left w:val="nil"/>
              <w:bottom w:val="nil"/>
              <w:right w:val="nil"/>
            </w:tcBorders>
            <w:noWrap/>
            <w:vAlign w:val="bottom"/>
            <w:hideMark/>
          </w:tcPr>
          <w:p w14:paraId="4A7764C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12</w:t>
            </w:r>
          </w:p>
        </w:tc>
        <w:tc>
          <w:tcPr>
            <w:tcW w:w="1403" w:type="dxa"/>
            <w:tcBorders>
              <w:top w:val="nil"/>
              <w:left w:val="nil"/>
              <w:bottom w:val="nil"/>
              <w:right w:val="nil"/>
            </w:tcBorders>
            <w:noWrap/>
            <w:vAlign w:val="bottom"/>
            <w:hideMark/>
          </w:tcPr>
          <w:p w14:paraId="616194A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0.035</w:t>
            </w:r>
          </w:p>
        </w:tc>
        <w:tc>
          <w:tcPr>
            <w:tcW w:w="1417" w:type="dxa"/>
            <w:tcBorders>
              <w:top w:val="nil"/>
              <w:left w:val="nil"/>
              <w:bottom w:val="nil"/>
              <w:right w:val="nil"/>
            </w:tcBorders>
            <w:noWrap/>
            <w:vAlign w:val="bottom"/>
            <w:hideMark/>
          </w:tcPr>
          <w:p w14:paraId="7791E379"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0.650</w:t>
            </w:r>
          </w:p>
        </w:tc>
        <w:tc>
          <w:tcPr>
            <w:tcW w:w="1417" w:type="dxa"/>
            <w:tcBorders>
              <w:top w:val="nil"/>
              <w:left w:val="nil"/>
              <w:bottom w:val="nil"/>
              <w:right w:val="nil"/>
            </w:tcBorders>
            <w:noWrap/>
            <w:vAlign w:val="bottom"/>
            <w:hideMark/>
          </w:tcPr>
          <w:p w14:paraId="32D09A5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6</w:t>
            </w:r>
          </w:p>
        </w:tc>
      </w:tr>
      <w:tr w:rsidR="009D0485" w:rsidRPr="009D0485" w14:paraId="35DFF3B2" w14:textId="77777777" w:rsidTr="006972E2">
        <w:trPr>
          <w:trHeight w:val="170"/>
          <w:jc w:val="center"/>
        </w:trPr>
        <w:tc>
          <w:tcPr>
            <w:tcW w:w="1276" w:type="dxa"/>
            <w:tcBorders>
              <w:top w:val="nil"/>
              <w:left w:val="nil"/>
              <w:bottom w:val="nil"/>
              <w:right w:val="nil"/>
            </w:tcBorders>
            <w:noWrap/>
            <w:vAlign w:val="bottom"/>
            <w:hideMark/>
          </w:tcPr>
          <w:p w14:paraId="33B0913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B1</w:t>
            </w:r>
          </w:p>
        </w:tc>
        <w:tc>
          <w:tcPr>
            <w:tcW w:w="1310" w:type="dxa"/>
            <w:tcBorders>
              <w:top w:val="nil"/>
              <w:left w:val="nil"/>
              <w:bottom w:val="nil"/>
              <w:right w:val="nil"/>
            </w:tcBorders>
            <w:noWrap/>
            <w:vAlign w:val="bottom"/>
            <w:hideMark/>
          </w:tcPr>
          <w:p w14:paraId="17BEAE8A"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11</w:t>
            </w:r>
          </w:p>
        </w:tc>
        <w:tc>
          <w:tcPr>
            <w:tcW w:w="1403" w:type="dxa"/>
            <w:tcBorders>
              <w:top w:val="nil"/>
              <w:left w:val="nil"/>
              <w:bottom w:val="nil"/>
              <w:right w:val="nil"/>
            </w:tcBorders>
            <w:noWrap/>
            <w:vAlign w:val="bottom"/>
            <w:hideMark/>
          </w:tcPr>
          <w:p w14:paraId="093A9E48"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0.039</w:t>
            </w:r>
          </w:p>
        </w:tc>
        <w:tc>
          <w:tcPr>
            <w:tcW w:w="1417" w:type="dxa"/>
            <w:tcBorders>
              <w:top w:val="nil"/>
              <w:left w:val="nil"/>
              <w:bottom w:val="nil"/>
              <w:right w:val="nil"/>
            </w:tcBorders>
            <w:noWrap/>
            <w:vAlign w:val="bottom"/>
            <w:hideMark/>
          </w:tcPr>
          <w:p w14:paraId="28D6E1D6"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0.650</w:t>
            </w:r>
          </w:p>
        </w:tc>
        <w:tc>
          <w:tcPr>
            <w:tcW w:w="1417" w:type="dxa"/>
            <w:tcBorders>
              <w:top w:val="nil"/>
              <w:left w:val="nil"/>
              <w:bottom w:val="nil"/>
              <w:right w:val="nil"/>
            </w:tcBorders>
            <w:noWrap/>
            <w:vAlign w:val="bottom"/>
            <w:hideMark/>
          </w:tcPr>
          <w:p w14:paraId="56A292A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7</w:t>
            </w:r>
          </w:p>
        </w:tc>
      </w:tr>
      <w:tr w:rsidR="009D0485" w:rsidRPr="009D0485" w14:paraId="6929625C" w14:textId="77777777" w:rsidTr="006972E2">
        <w:trPr>
          <w:trHeight w:val="170"/>
          <w:jc w:val="center"/>
        </w:trPr>
        <w:tc>
          <w:tcPr>
            <w:tcW w:w="1276" w:type="dxa"/>
            <w:tcBorders>
              <w:top w:val="nil"/>
              <w:left w:val="nil"/>
              <w:bottom w:val="nil"/>
              <w:right w:val="nil"/>
            </w:tcBorders>
            <w:noWrap/>
            <w:vAlign w:val="bottom"/>
            <w:hideMark/>
          </w:tcPr>
          <w:p w14:paraId="6B94B8E5"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C1</w:t>
            </w:r>
          </w:p>
        </w:tc>
        <w:tc>
          <w:tcPr>
            <w:tcW w:w="1310" w:type="dxa"/>
            <w:tcBorders>
              <w:top w:val="nil"/>
              <w:left w:val="nil"/>
              <w:bottom w:val="nil"/>
              <w:right w:val="nil"/>
            </w:tcBorders>
            <w:noWrap/>
            <w:vAlign w:val="bottom"/>
            <w:hideMark/>
          </w:tcPr>
          <w:p w14:paraId="4386231A"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11</w:t>
            </w:r>
          </w:p>
        </w:tc>
        <w:tc>
          <w:tcPr>
            <w:tcW w:w="1403" w:type="dxa"/>
            <w:tcBorders>
              <w:top w:val="nil"/>
              <w:left w:val="nil"/>
              <w:bottom w:val="nil"/>
              <w:right w:val="nil"/>
            </w:tcBorders>
            <w:noWrap/>
            <w:vAlign w:val="bottom"/>
            <w:hideMark/>
          </w:tcPr>
          <w:p w14:paraId="0BFD644E"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0.036</w:t>
            </w:r>
          </w:p>
        </w:tc>
        <w:tc>
          <w:tcPr>
            <w:tcW w:w="1417" w:type="dxa"/>
            <w:tcBorders>
              <w:top w:val="nil"/>
              <w:left w:val="nil"/>
              <w:bottom w:val="nil"/>
              <w:right w:val="nil"/>
            </w:tcBorders>
            <w:noWrap/>
            <w:vAlign w:val="bottom"/>
            <w:hideMark/>
          </w:tcPr>
          <w:p w14:paraId="12FDBF3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0.650</w:t>
            </w:r>
          </w:p>
        </w:tc>
        <w:tc>
          <w:tcPr>
            <w:tcW w:w="1417" w:type="dxa"/>
            <w:tcBorders>
              <w:top w:val="nil"/>
              <w:left w:val="nil"/>
              <w:bottom w:val="nil"/>
              <w:right w:val="nil"/>
            </w:tcBorders>
            <w:noWrap/>
            <w:vAlign w:val="bottom"/>
            <w:hideMark/>
          </w:tcPr>
          <w:p w14:paraId="2B9E0B6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8</w:t>
            </w:r>
          </w:p>
        </w:tc>
      </w:tr>
      <w:tr w:rsidR="009D0485" w:rsidRPr="009D0485" w14:paraId="7C885CA0" w14:textId="77777777" w:rsidTr="006972E2">
        <w:trPr>
          <w:trHeight w:val="170"/>
          <w:jc w:val="center"/>
        </w:trPr>
        <w:tc>
          <w:tcPr>
            <w:tcW w:w="1276" w:type="dxa"/>
            <w:tcBorders>
              <w:top w:val="nil"/>
              <w:left w:val="nil"/>
              <w:bottom w:val="nil"/>
              <w:right w:val="nil"/>
            </w:tcBorders>
            <w:noWrap/>
            <w:vAlign w:val="bottom"/>
            <w:hideMark/>
          </w:tcPr>
          <w:p w14:paraId="73AF56B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C4</w:t>
            </w:r>
          </w:p>
        </w:tc>
        <w:tc>
          <w:tcPr>
            <w:tcW w:w="1310" w:type="dxa"/>
            <w:tcBorders>
              <w:top w:val="nil"/>
              <w:left w:val="nil"/>
              <w:bottom w:val="nil"/>
              <w:right w:val="nil"/>
            </w:tcBorders>
            <w:noWrap/>
            <w:vAlign w:val="bottom"/>
            <w:hideMark/>
          </w:tcPr>
          <w:p w14:paraId="289F590B"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7</w:t>
            </w:r>
          </w:p>
        </w:tc>
        <w:tc>
          <w:tcPr>
            <w:tcW w:w="1403" w:type="dxa"/>
            <w:tcBorders>
              <w:top w:val="nil"/>
              <w:left w:val="nil"/>
              <w:bottom w:val="nil"/>
              <w:right w:val="nil"/>
            </w:tcBorders>
            <w:noWrap/>
            <w:vAlign w:val="bottom"/>
            <w:hideMark/>
          </w:tcPr>
          <w:p w14:paraId="0427C075"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0.028</w:t>
            </w:r>
          </w:p>
        </w:tc>
        <w:tc>
          <w:tcPr>
            <w:tcW w:w="1417" w:type="dxa"/>
            <w:tcBorders>
              <w:top w:val="nil"/>
              <w:left w:val="nil"/>
              <w:bottom w:val="nil"/>
              <w:right w:val="nil"/>
            </w:tcBorders>
            <w:noWrap/>
            <w:vAlign w:val="bottom"/>
            <w:hideMark/>
          </w:tcPr>
          <w:p w14:paraId="040F0A98"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0.684</w:t>
            </w:r>
          </w:p>
        </w:tc>
        <w:tc>
          <w:tcPr>
            <w:tcW w:w="1417" w:type="dxa"/>
            <w:tcBorders>
              <w:top w:val="nil"/>
              <w:left w:val="nil"/>
              <w:bottom w:val="nil"/>
              <w:right w:val="nil"/>
            </w:tcBorders>
            <w:noWrap/>
            <w:vAlign w:val="bottom"/>
            <w:hideMark/>
          </w:tcPr>
          <w:p w14:paraId="501624A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9</w:t>
            </w:r>
          </w:p>
        </w:tc>
      </w:tr>
      <w:tr w:rsidR="009D0485" w:rsidRPr="009D0485" w14:paraId="34B9E73A" w14:textId="77777777" w:rsidTr="006972E2">
        <w:trPr>
          <w:trHeight w:val="170"/>
          <w:jc w:val="center"/>
        </w:trPr>
        <w:tc>
          <w:tcPr>
            <w:tcW w:w="1276" w:type="dxa"/>
            <w:tcBorders>
              <w:top w:val="nil"/>
              <w:left w:val="nil"/>
              <w:bottom w:val="nil"/>
              <w:right w:val="nil"/>
            </w:tcBorders>
            <w:noWrap/>
            <w:vAlign w:val="bottom"/>
            <w:hideMark/>
          </w:tcPr>
          <w:p w14:paraId="1656570B"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E1</w:t>
            </w:r>
          </w:p>
        </w:tc>
        <w:tc>
          <w:tcPr>
            <w:tcW w:w="1310" w:type="dxa"/>
            <w:tcBorders>
              <w:top w:val="nil"/>
              <w:left w:val="nil"/>
              <w:bottom w:val="nil"/>
              <w:right w:val="nil"/>
            </w:tcBorders>
            <w:noWrap/>
            <w:vAlign w:val="bottom"/>
            <w:hideMark/>
          </w:tcPr>
          <w:p w14:paraId="095610A6"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9</w:t>
            </w:r>
          </w:p>
        </w:tc>
        <w:tc>
          <w:tcPr>
            <w:tcW w:w="1403" w:type="dxa"/>
            <w:tcBorders>
              <w:top w:val="nil"/>
              <w:left w:val="nil"/>
              <w:bottom w:val="nil"/>
              <w:right w:val="nil"/>
            </w:tcBorders>
            <w:noWrap/>
            <w:vAlign w:val="bottom"/>
            <w:hideMark/>
          </w:tcPr>
          <w:p w14:paraId="45C96701"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0.017</w:t>
            </w:r>
          </w:p>
        </w:tc>
        <w:tc>
          <w:tcPr>
            <w:tcW w:w="1417" w:type="dxa"/>
            <w:tcBorders>
              <w:top w:val="nil"/>
              <w:left w:val="nil"/>
              <w:bottom w:val="nil"/>
              <w:right w:val="nil"/>
            </w:tcBorders>
            <w:noWrap/>
            <w:vAlign w:val="bottom"/>
            <w:hideMark/>
          </w:tcPr>
          <w:p w14:paraId="5A815BC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0.650</w:t>
            </w:r>
          </w:p>
        </w:tc>
        <w:tc>
          <w:tcPr>
            <w:tcW w:w="1417" w:type="dxa"/>
            <w:tcBorders>
              <w:top w:val="nil"/>
              <w:left w:val="nil"/>
              <w:bottom w:val="nil"/>
              <w:right w:val="nil"/>
            </w:tcBorders>
            <w:noWrap/>
            <w:vAlign w:val="bottom"/>
            <w:hideMark/>
          </w:tcPr>
          <w:p w14:paraId="2FAA563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10</w:t>
            </w:r>
          </w:p>
        </w:tc>
      </w:tr>
      <w:tr w:rsidR="009D0485" w:rsidRPr="009D0485" w14:paraId="0236313E" w14:textId="77777777" w:rsidTr="006972E2">
        <w:trPr>
          <w:trHeight w:val="170"/>
          <w:jc w:val="center"/>
        </w:trPr>
        <w:tc>
          <w:tcPr>
            <w:tcW w:w="1276" w:type="dxa"/>
            <w:tcBorders>
              <w:top w:val="nil"/>
              <w:left w:val="nil"/>
              <w:bottom w:val="nil"/>
              <w:right w:val="nil"/>
            </w:tcBorders>
            <w:noWrap/>
            <w:vAlign w:val="bottom"/>
            <w:hideMark/>
          </w:tcPr>
          <w:p w14:paraId="5AE869D8"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D2</w:t>
            </w:r>
          </w:p>
        </w:tc>
        <w:tc>
          <w:tcPr>
            <w:tcW w:w="1310" w:type="dxa"/>
            <w:tcBorders>
              <w:top w:val="nil"/>
              <w:left w:val="nil"/>
              <w:bottom w:val="nil"/>
              <w:right w:val="nil"/>
            </w:tcBorders>
            <w:noWrap/>
            <w:vAlign w:val="bottom"/>
            <w:hideMark/>
          </w:tcPr>
          <w:p w14:paraId="2131722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7</w:t>
            </w:r>
          </w:p>
        </w:tc>
        <w:tc>
          <w:tcPr>
            <w:tcW w:w="1403" w:type="dxa"/>
            <w:tcBorders>
              <w:top w:val="nil"/>
              <w:left w:val="nil"/>
              <w:bottom w:val="nil"/>
              <w:right w:val="nil"/>
            </w:tcBorders>
            <w:noWrap/>
            <w:vAlign w:val="bottom"/>
            <w:hideMark/>
          </w:tcPr>
          <w:p w14:paraId="00F48D6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0.022</w:t>
            </w:r>
          </w:p>
        </w:tc>
        <w:tc>
          <w:tcPr>
            <w:tcW w:w="1417" w:type="dxa"/>
            <w:tcBorders>
              <w:top w:val="nil"/>
              <w:left w:val="nil"/>
              <w:bottom w:val="nil"/>
              <w:right w:val="nil"/>
            </w:tcBorders>
            <w:noWrap/>
            <w:vAlign w:val="bottom"/>
            <w:hideMark/>
          </w:tcPr>
          <w:p w14:paraId="40E22081"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0.684</w:t>
            </w:r>
          </w:p>
        </w:tc>
        <w:tc>
          <w:tcPr>
            <w:tcW w:w="1417" w:type="dxa"/>
            <w:tcBorders>
              <w:top w:val="nil"/>
              <w:left w:val="nil"/>
              <w:bottom w:val="nil"/>
              <w:right w:val="nil"/>
            </w:tcBorders>
            <w:noWrap/>
            <w:vAlign w:val="bottom"/>
            <w:hideMark/>
          </w:tcPr>
          <w:p w14:paraId="3E05DE8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11</w:t>
            </w:r>
          </w:p>
        </w:tc>
      </w:tr>
      <w:tr w:rsidR="009D0485" w:rsidRPr="009D0485" w14:paraId="4E568B08" w14:textId="77777777" w:rsidTr="006972E2">
        <w:trPr>
          <w:trHeight w:val="170"/>
          <w:jc w:val="center"/>
        </w:trPr>
        <w:tc>
          <w:tcPr>
            <w:tcW w:w="1276" w:type="dxa"/>
            <w:tcBorders>
              <w:top w:val="nil"/>
              <w:left w:val="nil"/>
              <w:bottom w:val="nil"/>
              <w:right w:val="nil"/>
            </w:tcBorders>
            <w:noWrap/>
            <w:vAlign w:val="bottom"/>
            <w:hideMark/>
          </w:tcPr>
          <w:p w14:paraId="740BCF58"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B3</w:t>
            </w:r>
          </w:p>
        </w:tc>
        <w:tc>
          <w:tcPr>
            <w:tcW w:w="1310" w:type="dxa"/>
            <w:tcBorders>
              <w:top w:val="nil"/>
              <w:left w:val="nil"/>
              <w:bottom w:val="nil"/>
              <w:right w:val="nil"/>
            </w:tcBorders>
            <w:noWrap/>
            <w:vAlign w:val="bottom"/>
            <w:hideMark/>
          </w:tcPr>
          <w:p w14:paraId="041E492D"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6</w:t>
            </w:r>
          </w:p>
        </w:tc>
        <w:tc>
          <w:tcPr>
            <w:tcW w:w="1403" w:type="dxa"/>
            <w:tcBorders>
              <w:top w:val="nil"/>
              <w:left w:val="nil"/>
              <w:bottom w:val="nil"/>
              <w:right w:val="nil"/>
            </w:tcBorders>
            <w:noWrap/>
            <w:vAlign w:val="bottom"/>
            <w:hideMark/>
          </w:tcPr>
          <w:p w14:paraId="18EA049D"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0.010</w:t>
            </w:r>
          </w:p>
        </w:tc>
        <w:tc>
          <w:tcPr>
            <w:tcW w:w="1417" w:type="dxa"/>
            <w:tcBorders>
              <w:top w:val="nil"/>
              <w:left w:val="nil"/>
              <w:bottom w:val="nil"/>
              <w:right w:val="nil"/>
            </w:tcBorders>
            <w:noWrap/>
            <w:vAlign w:val="bottom"/>
            <w:hideMark/>
          </w:tcPr>
          <w:p w14:paraId="64BFB687"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0.650</w:t>
            </w:r>
          </w:p>
        </w:tc>
        <w:tc>
          <w:tcPr>
            <w:tcW w:w="1417" w:type="dxa"/>
            <w:tcBorders>
              <w:top w:val="nil"/>
              <w:left w:val="nil"/>
              <w:bottom w:val="nil"/>
              <w:right w:val="nil"/>
            </w:tcBorders>
            <w:noWrap/>
            <w:vAlign w:val="bottom"/>
            <w:hideMark/>
          </w:tcPr>
          <w:p w14:paraId="29CA3B6D"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12</w:t>
            </w:r>
          </w:p>
        </w:tc>
      </w:tr>
      <w:tr w:rsidR="009D0485" w:rsidRPr="009D0485" w14:paraId="3D35192E" w14:textId="77777777" w:rsidTr="006972E2">
        <w:trPr>
          <w:trHeight w:val="170"/>
          <w:jc w:val="center"/>
        </w:trPr>
        <w:tc>
          <w:tcPr>
            <w:tcW w:w="1276" w:type="dxa"/>
            <w:tcBorders>
              <w:top w:val="nil"/>
              <w:left w:val="nil"/>
              <w:right w:val="nil"/>
            </w:tcBorders>
            <w:noWrap/>
            <w:vAlign w:val="bottom"/>
            <w:hideMark/>
          </w:tcPr>
          <w:p w14:paraId="692081DA"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A1</w:t>
            </w:r>
          </w:p>
        </w:tc>
        <w:tc>
          <w:tcPr>
            <w:tcW w:w="1310" w:type="dxa"/>
            <w:tcBorders>
              <w:top w:val="nil"/>
              <w:left w:val="nil"/>
              <w:right w:val="nil"/>
            </w:tcBorders>
            <w:noWrap/>
            <w:vAlign w:val="bottom"/>
            <w:hideMark/>
          </w:tcPr>
          <w:p w14:paraId="1F228122"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9</w:t>
            </w:r>
          </w:p>
        </w:tc>
        <w:tc>
          <w:tcPr>
            <w:tcW w:w="1403" w:type="dxa"/>
            <w:tcBorders>
              <w:top w:val="nil"/>
              <w:left w:val="nil"/>
              <w:right w:val="nil"/>
            </w:tcBorders>
            <w:noWrap/>
            <w:vAlign w:val="bottom"/>
            <w:hideMark/>
          </w:tcPr>
          <w:p w14:paraId="09C0AF46"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0.000</w:t>
            </w:r>
          </w:p>
        </w:tc>
        <w:tc>
          <w:tcPr>
            <w:tcW w:w="1417" w:type="dxa"/>
            <w:tcBorders>
              <w:top w:val="nil"/>
              <w:left w:val="nil"/>
              <w:right w:val="nil"/>
            </w:tcBorders>
            <w:noWrap/>
            <w:vAlign w:val="bottom"/>
            <w:hideMark/>
          </w:tcPr>
          <w:p w14:paraId="4010D391"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0.565</w:t>
            </w:r>
          </w:p>
        </w:tc>
        <w:tc>
          <w:tcPr>
            <w:tcW w:w="1417" w:type="dxa"/>
            <w:tcBorders>
              <w:top w:val="nil"/>
              <w:left w:val="nil"/>
              <w:right w:val="nil"/>
            </w:tcBorders>
            <w:noWrap/>
            <w:vAlign w:val="bottom"/>
            <w:hideMark/>
          </w:tcPr>
          <w:p w14:paraId="609131E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13</w:t>
            </w:r>
          </w:p>
        </w:tc>
      </w:tr>
      <w:tr w:rsidR="009D0485" w:rsidRPr="009D0485" w14:paraId="75615513" w14:textId="77777777" w:rsidTr="009D0485">
        <w:trPr>
          <w:trHeight w:val="170"/>
          <w:jc w:val="center"/>
        </w:trPr>
        <w:tc>
          <w:tcPr>
            <w:tcW w:w="1276" w:type="dxa"/>
            <w:tcBorders>
              <w:top w:val="nil"/>
              <w:left w:val="nil"/>
              <w:bottom w:val="single" w:sz="12" w:space="0" w:color="000000"/>
              <w:right w:val="nil"/>
            </w:tcBorders>
            <w:noWrap/>
            <w:vAlign w:val="bottom"/>
            <w:hideMark/>
          </w:tcPr>
          <w:p w14:paraId="3913C98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B5</w:t>
            </w:r>
          </w:p>
        </w:tc>
        <w:tc>
          <w:tcPr>
            <w:tcW w:w="1310" w:type="dxa"/>
            <w:tcBorders>
              <w:top w:val="nil"/>
              <w:left w:val="nil"/>
              <w:bottom w:val="single" w:sz="12" w:space="0" w:color="000000"/>
              <w:right w:val="nil"/>
            </w:tcBorders>
            <w:noWrap/>
            <w:vAlign w:val="bottom"/>
            <w:hideMark/>
          </w:tcPr>
          <w:p w14:paraId="47266B39"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4</w:t>
            </w:r>
          </w:p>
        </w:tc>
        <w:tc>
          <w:tcPr>
            <w:tcW w:w="1403" w:type="dxa"/>
            <w:tcBorders>
              <w:top w:val="nil"/>
              <w:left w:val="nil"/>
              <w:bottom w:val="single" w:sz="12" w:space="0" w:color="000000"/>
              <w:right w:val="nil"/>
            </w:tcBorders>
            <w:noWrap/>
            <w:vAlign w:val="bottom"/>
            <w:hideMark/>
          </w:tcPr>
          <w:p w14:paraId="27EC523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0.000</w:t>
            </w:r>
          </w:p>
        </w:tc>
        <w:tc>
          <w:tcPr>
            <w:tcW w:w="1417" w:type="dxa"/>
            <w:tcBorders>
              <w:top w:val="nil"/>
              <w:left w:val="nil"/>
              <w:bottom w:val="single" w:sz="12" w:space="0" w:color="000000"/>
              <w:right w:val="nil"/>
            </w:tcBorders>
            <w:noWrap/>
            <w:vAlign w:val="bottom"/>
            <w:hideMark/>
          </w:tcPr>
          <w:p w14:paraId="301B8A2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0.520</w:t>
            </w:r>
          </w:p>
        </w:tc>
        <w:tc>
          <w:tcPr>
            <w:tcW w:w="1417" w:type="dxa"/>
            <w:tcBorders>
              <w:top w:val="nil"/>
              <w:left w:val="nil"/>
              <w:bottom w:val="single" w:sz="12" w:space="0" w:color="000000"/>
              <w:right w:val="nil"/>
            </w:tcBorders>
            <w:noWrap/>
            <w:vAlign w:val="bottom"/>
            <w:hideMark/>
          </w:tcPr>
          <w:p w14:paraId="2B91045E"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14</w:t>
            </w:r>
          </w:p>
        </w:tc>
      </w:tr>
    </w:tbl>
    <w:p w14:paraId="3209AC52" w14:textId="77777777" w:rsidR="009D0485" w:rsidRPr="009D0485" w:rsidRDefault="009D0485" w:rsidP="009D0485">
      <w:pPr>
        <w:widowControl/>
        <w:spacing w:after="200" w:line="276" w:lineRule="auto"/>
        <w:rPr>
          <w:rFonts w:ascii="Cambria" w:eastAsia="宋体" w:hAnsi="Cambria" w:cs="Times New Roman"/>
          <w:kern w:val="0"/>
          <w:sz w:val="22"/>
        </w:rPr>
      </w:pPr>
    </w:p>
    <w:p w14:paraId="3824875A" w14:textId="77777777" w:rsidR="009D0485" w:rsidRPr="009D0485" w:rsidRDefault="009D0485" w:rsidP="009D0485">
      <w:pPr>
        <w:widowControl/>
        <w:spacing w:after="200" w:line="276" w:lineRule="auto"/>
        <w:rPr>
          <w:rFonts w:ascii="Cambria" w:eastAsia="宋体" w:hAnsi="Cambria" w:cs="Times New Roman"/>
          <w:b/>
          <w:bCs/>
          <w:kern w:val="0"/>
          <w:sz w:val="24"/>
          <w:szCs w:val="24"/>
        </w:rPr>
      </w:pPr>
      <w:r w:rsidRPr="009D0485">
        <w:rPr>
          <w:rFonts w:ascii="Cambria" w:eastAsia="宋体" w:hAnsi="Cambria" w:cs="Times New Roman"/>
          <w:b/>
          <w:bCs/>
          <w:kern w:val="0"/>
          <w:sz w:val="24"/>
          <w:szCs w:val="24"/>
        </w:rPr>
        <w:t>Appendix B. Composition of initial scale</w:t>
      </w:r>
    </w:p>
    <w:p w14:paraId="6C695F0F" w14:textId="77777777" w:rsidR="009D0485" w:rsidRPr="009D0485" w:rsidRDefault="009D0485" w:rsidP="009D0485">
      <w:pPr>
        <w:widowControl/>
        <w:jc w:val="center"/>
        <w:rPr>
          <w:rFonts w:ascii="Cambria" w:eastAsia="黑体" w:hAnsi="Cambria" w:cs="Times New Roman"/>
          <w:kern w:val="0"/>
          <w:szCs w:val="21"/>
        </w:rPr>
      </w:pPr>
      <w:r w:rsidRPr="009D0485">
        <w:rPr>
          <w:rFonts w:ascii="Cambria" w:eastAsia="黑体" w:hAnsi="Cambria" w:cs="Times New Roman"/>
          <w:b/>
          <w:color w:val="000000"/>
          <w:kern w:val="0"/>
          <w:szCs w:val="21"/>
        </w:rPr>
        <w:t>Table B.1</w:t>
      </w:r>
      <w:r w:rsidRPr="009D0485">
        <w:rPr>
          <w:rFonts w:ascii="Cambria" w:eastAsia="黑体" w:hAnsi="Cambria" w:cs="Times New Roman"/>
          <w:color w:val="000000"/>
          <w:kern w:val="0"/>
          <w:szCs w:val="21"/>
        </w:rPr>
        <w:t xml:space="preserve"> Composition of formal scale</w:t>
      </w:r>
    </w:p>
    <w:tbl>
      <w:tblPr>
        <w:tblW w:w="8109" w:type="dxa"/>
        <w:jc w:val="center"/>
        <w:tblLook w:val="04A0" w:firstRow="1" w:lastRow="0" w:firstColumn="1" w:lastColumn="0" w:noHBand="0" w:noVBand="1"/>
      </w:tblPr>
      <w:tblGrid>
        <w:gridCol w:w="1538"/>
        <w:gridCol w:w="2328"/>
        <w:gridCol w:w="4243"/>
      </w:tblGrid>
      <w:tr w:rsidR="009D0485" w:rsidRPr="009D0485" w14:paraId="69C5B542" w14:textId="77777777" w:rsidTr="009D0485">
        <w:trPr>
          <w:trHeight w:val="290"/>
          <w:tblHeader/>
          <w:jc w:val="center"/>
        </w:trPr>
        <w:tc>
          <w:tcPr>
            <w:tcW w:w="1538" w:type="dxa"/>
            <w:tcBorders>
              <w:top w:val="single" w:sz="8" w:space="0" w:color="000000"/>
              <w:left w:val="nil"/>
              <w:bottom w:val="single" w:sz="6" w:space="0" w:color="000000"/>
              <w:right w:val="nil"/>
            </w:tcBorders>
            <w:noWrap/>
            <w:vAlign w:val="center"/>
            <w:hideMark/>
          </w:tcPr>
          <w:p w14:paraId="2170BAB6"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Variables</w:t>
            </w:r>
          </w:p>
        </w:tc>
        <w:tc>
          <w:tcPr>
            <w:tcW w:w="2328" w:type="dxa"/>
            <w:tcBorders>
              <w:top w:val="single" w:sz="8" w:space="0" w:color="000000"/>
              <w:left w:val="nil"/>
              <w:bottom w:val="single" w:sz="6" w:space="0" w:color="000000"/>
              <w:right w:val="nil"/>
            </w:tcBorders>
            <w:noWrap/>
            <w:vAlign w:val="center"/>
            <w:hideMark/>
          </w:tcPr>
          <w:p w14:paraId="7CB7A01F"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Measurement</w:t>
            </w:r>
          </w:p>
        </w:tc>
        <w:tc>
          <w:tcPr>
            <w:tcW w:w="4243" w:type="dxa"/>
            <w:tcBorders>
              <w:top w:val="single" w:sz="8" w:space="0" w:color="000000"/>
              <w:left w:val="nil"/>
              <w:bottom w:val="single" w:sz="6" w:space="0" w:color="000000"/>
              <w:right w:val="nil"/>
            </w:tcBorders>
            <w:noWrap/>
            <w:vAlign w:val="center"/>
            <w:hideMark/>
          </w:tcPr>
          <w:p w14:paraId="2B86B475" w14:textId="77777777" w:rsidR="009D0485" w:rsidRPr="009D0485" w:rsidRDefault="009D0485" w:rsidP="009D0485">
            <w:pPr>
              <w:widowControl/>
              <w:jc w:val="center"/>
              <w:rPr>
                <w:rFonts w:ascii="Cambria" w:eastAsia="宋体" w:hAnsi="Cambria" w:cs="Times New Roman"/>
                <w:bCs/>
                <w:color w:val="000000"/>
                <w:kern w:val="0"/>
                <w:szCs w:val="21"/>
              </w:rPr>
            </w:pPr>
            <w:r w:rsidRPr="009D0485">
              <w:rPr>
                <w:rFonts w:ascii="Cambria" w:eastAsia="宋体" w:hAnsi="Cambria" w:cs="Times New Roman"/>
                <w:bCs/>
                <w:color w:val="000000"/>
                <w:kern w:val="0"/>
                <w:szCs w:val="21"/>
              </w:rPr>
              <w:t>Corresponding Items</w:t>
            </w:r>
          </w:p>
        </w:tc>
      </w:tr>
      <w:tr w:rsidR="009D0485" w:rsidRPr="009D0485" w14:paraId="5D58D469" w14:textId="77777777" w:rsidTr="009D0485">
        <w:trPr>
          <w:trHeight w:val="283"/>
          <w:jc w:val="center"/>
        </w:trPr>
        <w:tc>
          <w:tcPr>
            <w:tcW w:w="1538" w:type="dxa"/>
            <w:vMerge w:val="restart"/>
            <w:tcBorders>
              <w:top w:val="single" w:sz="6" w:space="0" w:color="000000"/>
              <w:left w:val="nil"/>
              <w:bottom w:val="nil"/>
              <w:right w:val="nil"/>
            </w:tcBorders>
            <w:noWrap/>
            <w:vAlign w:val="center"/>
            <w:hideMark/>
          </w:tcPr>
          <w:p w14:paraId="60C78D2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 xml:space="preserve">External management </w:t>
            </w:r>
          </w:p>
        </w:tc>
        <w:tc>
          <w:tcPr>
            <w:tcW w:w="2328" w:type="dxa"/>
            <w:tcBorders>
              <w:top w:val="single" w:sz="6" w:space="0" w:color="000000"/>
              <w:left w:val="nil"/>
              <w:bottom w:val="nil"/>
              <w:right w:val="nil"/>
            </w:tcBorders>
            <w:noWrap/>
            <w:vAlign w:val="center"/>
            <w:hideMark/>
          </w:tcPr>
          <w:p w14:paraId="627DF0E5"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Government supervision</w:t>
            </w:r>
          </w:p>
        </w:tc>
        <w:tc>
          <w:tcPr>
            <w:tcW w:w="4243" w:type="dxa"/>
            <w:tcBorders>
              <w:top w:val="single" w:sz="6" w:space="0" w:color="000000"/>
              <w:left w:val="nil"/>
              <w:bottom w:val="nil"/>
              <w:right w:val="nil"/>
            </w:tcBorders>
            <w:noWrap/>
            <w:vAlign w:val="center"/>
            <w:hideMark/>
          </w:tcPr>
          <w:p w14:paraId="148F6D17"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Local government authorities frequently conduct inspections and provide guidance on safety management at our mine.</w:t>
            </w:r>
          </w:p>
        </w:tc>
      </w:tr>
      <w:tr w:rsidR="009D0485" w:rsidRPr="009D0485" w14:paraId="317A5154" w14:textId="77777777" w:rsidTr="009D0485">
        <w:trPr>
          <w:trHeight w:val="283"/>
          <w:jc w:val="center"/>
        </w:trPr>
        <w:tc>
          <w:tcPr>
            <w:tcW w:w="1538" w:type="dxa"/>
            <w:vMerge/>
            <w:tcBorders>
              <w:top w:val="nil"/>
              <w:left w:val="nil"/>
              <w:bottom w:val="single" w:sz="2" w:space="0" w:color="000000"/>
              <w:right w:val="nil"/>
            </w:tcBorders>
            <w:vAlign w:val="center"/>
            <w:hideMark/>
          </w:tcPr>
          <w:p w14:paraId="33D99DCE"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single" w:sz="2" w:space="0" w:color="000000"/>
              <w:right w:val="nil"/>
            </w:tcBorders>
            <w:noWrap/>
            <w:vAlign w:val="center"/>
            <w:hideMark/>
          </w:tcPr>
          <w:p w14:paraId="3E87C3A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 xml:space="preserve">Management by </w:t>
            </w:r>
          </w:p>
          <w:p w14:paraId="79689827"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parent companies</w:t>
            </w:r>
          </w:p>
        </w:tc>
        <w:tc>
          <w:tcPr>
            <w:tcW w:w="4243" w:type="dxa"/>
            <w:tcBorders>
              <w:top w:val="nil"/>
              <w:left w:val="nil"/>
              <w:bottom w:val="single" w:sz="2" w:space="0" w:color="000000"/>
              <w:right w:val="nil"/>
            </w:tcBorders>
            <w:noWrap/>
            <w:vAlign w:val="center"/>
            <w:hideMark/>
          </w:tcPr>
          <w:p w14:paraId="3CA217DD"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group company accurately comprehends the safety conditions of our mine.</w:t>
            </w:r>
          </w:p>
        </w:tc>
      </w:tr>
      <w:tr w:rsidR="009D0485" w:rsidRPr="009D0485" w14:paraId="56D023E0" w14:textId="77777777" w:rsidTr="009D0485">
        <w:trPr>
          <w:trHeight w:val="283"/>
          <w:jc w:val="center"/>
        </w:trPr>
        <w:tc>
          <w:tcPr>
            <w:tcW w:w="1538" w:type="dxa"/>
            <w:vMerge w:val="restart"/>
            <w:tcBorders>
              <w:top w:val="single" w:sz="2" w:space="0" w:color="000000"/>
              <w:left w:val="nil"/>
              <w:bottom w:val="nil"/>
              <w:right w:val="nil"/>
            </w:tcBorders>
            <w:noWrap/>
            <w:vAlign w:val="center"/>
            <w:hideMark/>
          </w:tcPr>
          <w:p w14:paraId="3C8EC767"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Resource management</w:t>
            </w:r>
          </w:p>
        </w:tc>
        <w:tc>
          <w:tcPr>
            <w:tcW w:w="2328" w:type="dxa"/>
            <w:tcBorders>
              <w:top w:val="single" w:sz="2" w:space="0" w:color="000000"/>
              <w:left w:val="nil"/>
              <w:bottom w:val="nil"/>
              <w:right w:val="nil"/>
            </w:tcBorders>
            <w:noWrap/>
            <w:vAlign w:val="center"/>
            <w:hideMark/>
          </w:tcPr>
          <w:p w14:paraId="4C84839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 xml:space="preserve">Safety training </w:t>
            </w:r>
          </w:p>
          <w:p w14:paraId="12BA565D"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and education</w:t>
            </w:r>
          </w:p>
        </w:tc>
        <w:tc>
          <w:tcPr>
            <w:tcW w:w="4243" w:type="dxa"/>
            <w:tcBorders>
              <w:top w:val="single" w:sz="2" w:space="0" w:color="000000"/>
              <w:left w:val="nil"/>
              <w:bottom w:val="nil"/>
              <w:right w:val="nil"/>
            </w:tcBorders>
            <w:noWrap/>
            <w:vAlign w:val="center"/>
          </w:tcPr>
          <w:p w14:paraId="118FDAF8"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has provided comprehensive safety training and education.</w:t>
            </w:r>
          </w:p>
        </w:tc>
      </w:tr>
      <w:tr w:rsidR="009D0485" w:rsidRPr="009D0485" w14:paraId="25F8BFE5" w14:textId="77777777" w:rsidTr="006972E2">
        <w:trPr>
          <w:trHeight w:val="283"/>
          <w:jc w:val="center"/>
        </w:trPr>
        <w:tc>
          <w:tcPr>
            <w:tcW w:w="1538" w:type="dxa"/>
            <w:vMerge/>
            <w:tcBorders>
              <w:top w:val="nil"/>
              <w:left w:val="nil"/>
              <w:bottom w:val="nil"/>
              <w:right w:val="nil"/>
            </w:tcBorders>
            <w:vAlign w:val="center"/>
            <w:hideMark/>
          </w:tcPr>
          <w:p w14:paraId="09FD22AB"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4F27A8E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Qualification verification</w:t>
            </w:r>
          </w:p>
        </w:tc>
        <w:tc>
          <w:tcPr>
            <w:tcW w:w="4243" w:type="dxa"/>
            <w:tcBorders>
              <w:top w:val="nil"/>
              <w:left w:val="nil"/>
              <w:bottom w:val="nil"/>
              <w:right w:val="nil"/>
            </w:tcBorders>
            <w:noWrap/>
            <w:vAlign w:val="center"/>
          </w:tcPr>
          <w:p w14:paraId="3F868067"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places significant emphasis on the verification of workers' qualifications.</w:t>
            </w:r>
          </w:p>
        </w:tc>
      </w:tr>
      <w:tr w:rsidR="009D0485" w:rsidRPr="009D0485" w14:paraId="76210287" w14:textId="77777777" w:rsidTr="006972E2">
        <w:trPr>
          <w:trHeight w:val="283"/>
          <w:jc w:val="center"/>
        </w:trPr>
        <w:tc>
          <w:tcPr>
            <w:tcW w:w="1538" w:type="dxa"/>
            <w:vMerge/>
            <w:tcBorders>
              <w:top w:val="nil"/>
              <w:left w:val="nil"/>
              <w:bottom w:val="nil"/>
              <w:right w:val="nil"/>
            </w:tcBorders>
            <w:vAlign w:val="center"/>
            <w:hideMark/>
          </w:tcPr>
          <w:p w14:paraId="52E66AD0"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6C9C975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Staffing</w:t>
            </w:r>
          </w:p>
        </w:tc>
        <w:tc>
          <w:tcPr>
            <w:tcW w:w="4243" w:type="dxa"/>
            <w:tcBorders>
              <w:top w:val="nil"/>
              <w:left w:val="nil"/>
              <w:bottom w:val="nil"/>
              <w:right w:val="nil"/>
            </w:tcBorders>
            <w:noWrap/>
            <w:vAlign w:val="center"/>
          </w:tcPr>
          <w:p w14:paraId="4E67908B"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is equipped with an adequate number of safety management personnel and technical operators.</w:t>
            </w:r>
          </w:p>
        </w:tc>
      </w:tr>
      <w:tr w:rsidR="009D0485" w:rsidRPr="009D0485" w14:paraId="2D175D3A" w14:textId="77777777" w:rsidTr="009D0485">
        <w:trPr>
          <w:trHeight w:val="283"/>
          <w:jc w:val="center"/>
        </w:trPr>
        <w:tc>
          <w:tcPr>
            <w:tcW w:w="1538" w:type="dxa"/>
            <w:vMerge/>
            <w:tcBorders>
              <w:top w:val="nil"/>
              <w:left w:val="nil"/>
              <w:bottom w:val="single" w:sz="2" w:space="0" w:color="000000"/>
              <w:right w:val="nil"/>
            </w:tcBorders>
            <w:vAlign w:val="center"/>
            <w:hideMark/>
          </w:tcPr>
          <w:p w14:paraId="6B6AF3AB"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single" w:sz="2" w:space="0" w:color="000000"/>
              <w:right w:val="nil"/>
            </w:tcBorders>
            <w:noWrap/>
            <w:vAlign w:val="center"/>
            <w:hideMark/>
          </w:tcPr>
          <w:p w14:paraId="0112E66E"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Safety investment</w:t>
            </w:r>
          </w:p>
        </w:tc>
        <w:tc>
          <w:tcPr>
            <w:tcW w:w="4243" w:type="dxa"/>
            <w:tcBorders>
              <w:top w:val="nil"/>
              <w:left w:val="nil"/>
              <w:bottom w:val="single" w:sz="2" w:space="0" w:color="000000"/>
              <w:right w:val="nil"/>
            </w:tcBorders>
            <w:noWrap/>
            <w:vAlign w:val="center"/>
          </w:tcPr>
          <w:p w14:paraId="4D1EAE73"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is willing to allocate financial resources to prevent the occurrence of accidents.</w:t>
            </w:r>
          </w:p>
        </w:tc>
      </w:tr>
      <w:tr w:rsidR="009D0485" w:rsidRPr="009D0485" w14:paraId="70CA1F4C" w14:textId="77777777" w:rsidTr="009D0485">
        <w:trPr>
          <w:trHeight w:val="283"/>
          <w:jc w:val="center"/>
        </w:trPr>
        <w:tc>
          <w:tcPr>
            <w:tcW w:w="1538" w:type="dxa"/>
            <w:vMerge w:val="restart"/>
            <w:tcBorders>
              <w:top w:val="single" w:sz="2" w:space="0" w:color="000000"/>
              <w:left w:val="nil"/>
              <w:right w:val="nil"/>
            </w:tcBorders>
            <w:noWrap/>
            <w:vAlign w:val="center"/>
          </w:tcPr>
          <w:p w14:paraId="74604B2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Organizational process</w:t>
            </w:r>
          </w:p>
        </w:tc>
        <w:tc>
          <w:tcPr>
            <w:tcW w:w="2328" w:type="dxa"/>
            <w:tcBorders>
              <w:top w:val="single" w:sz="2" w:space="0" w:color="000000"/>
              <w:left w:val="nil"/>
              <w:bottom w:val="nil"/>
              <w:right w:val="nil"/>
            </w:tcBorders>
            <w:noWrap/>
            <w:vAlign w:val="center"/>
          </w:tcPr>
          <w:p w14:paraId="2D2F927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Routine safety management</w:t>
            </w:r>
          </w:p>
        </w:tc>
        <w:tc>
          <w:tcPr>
            <w:tcW w:w="4243" w:type="dxa"/>
            <w:tcBorders>
              <w:top w:val="single" w:sz="2" w:space="0" w:color="000000"/>
              <w:left w:val="nil"/>
              <w:bottom w:val="nil"/>
              <w:right w:val="nil"/>
            </w:tcBorders>
            <w:noWrap/>
            <w:vAlign w:val="center"/>
          </w:tcPr>
          <w:p w14:paraId="15120EAF"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mine leadership conscientiously implements safety regulations and protocols.</w:t>
            </w:r>
          </w:p>
        </w:tc>
      </w:tr>
      <w:tr w:rsidR="009D0485" w:rsidRPr="009D0485" w14:paraId="4DBE9B76" w14:textId="77777777" w:rsidTr="006972E2">
        <w:trPr>
          <w:trHeight w:val="283"/>
          <w:jc w:val="center"/>
        </w:trPr>
        <w:tc>
          <w:tcPr>
            <w:tcW w:w="1538" w:type="dxa"/>
            <w:vMerge/>
            <w:tcBorders>
              <w:left w:val="nil"/>
              <w:right w:val="nil"/>
            </w:tcBorders>
            <w:noWrap/>
            <w:vAlign w:val="center"/>
            <w:hideMark/>
          </w:tcPr>
          <w:p w14:paraId="151F8AA4"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76167BE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Specialized safety regulations</w:t>
            </w:r>
          </w:p>
        </w:tc>
        <w:tc>
          <w:tcPr>
            <w:tcW w:w="4243" w:type="dxa"/>
            <w:tcBorders>
              <w:top w:val="nil"/>
              <w:left w:val="nil"/>
              <w:bottom w:val="nil"/>
              <w:right w:val="nil"/>
            </w:tcBorders>
            <w:noWrap/>
            <w:vAlign w:val="center"/>
          </w:tcPr>
          <w:p w14:paraId="579D6F2B"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kern w:val="0"/>
                <w:szCs w:val="21"/>
              </w:rPr>
              <w:t>Our mine has established a comprehensive departmental safety management system.</w:t>
            </w:r>
          </w:p>
        </w:tc>
      </w:tr>
      <w:tr w:rsidR="009D0485" w:rsidRPr="009D0485" w14:paraId="5B538046" w14:textId="77777777" w:rsidTr="006972E2">
        <w:trPr>
          <w:trHeight w:val="283"/>
          <w:jc w:val="center"/>
        </w:trPr>
        <w:tc>
          <w:tcPr>
            <w:tcW w:w="1538" w:type="dxa"/>
            <w:vMerge/>
            <w:tcBorders>
              <w:left w:val="nil"/>
              <w:right w:val="nil"/>
            </w:tcBorders>
            <w:vAlign w:val="center"/>
            <w:hideMark/>
          </w:tcPr>
          <w:p w14:paraId="245EEBB7"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688589E5"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Legal organization of production</w:t>
            </w:r>
          </w:p>
        </w:tc>
        <w:tc>
          <w:tcPr>
            <w:tcW w:w="4243" w:type="dxa"/>
            <w:tcBorders>
              <w:top w:val="nil"/>
              <w:left w:val="nil"/>
              <w:bottom w:val="nil"/>
              <w:right w:val="nil"/>
            </w:tcBorders>
            <w:noWrap/>
            <w:vAlign w:val="center"/>
          </w:tcPr>
          <w:p w14:paraId="6607FBCB"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does not engage in illegal production activities nor exceed authorized capacity in its operations.</w:t>
            </w:r>
          </w:p>
        </w:tc>
      </w:tr>
      <w:tr w:rsidR="009D0485" w:rsidRPr="009D0485" w14:paraId="2581D15A" w14:textId="77777777" w:rsidTr="006972E2">
        <w:trPr>
          <w:trHeight w:val="283"/>
          <w:jc w:val="center"/>
        </w:trPr>
        <w:tc>
          <w:tcPr>
            <w:tcW w:w="1538" w:type="dxa"/>
            <w:vMerge/>
            <w:tcBorders>
              <w:left w:val="nil"/>
              <w:right w:val="nil"/>
            </w:tcBorders>
            <w:vAlign w:val="center"/>
            <w:hideMark/>
          </w:tcPr>
          <w:p w14:paraId="2D6CDBFE"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44405B97"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 xml:space="preserve">Compliance of </w:t>
            </w:r>
          </w:p>
          <w:p w14:paraId="74069229"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safety supervision</w:t>
            </w:r>
          </w:p>
        </w:tc>
        <w:tc>
          <w:tcPr>
            <w:tcW w:w="4243" w:type="dxa"/>
            <w:tcBorders>
              <w:top w:val="nil"/>
              <w:left w:val="nil"/>
              <w:bottom w:val="nil"/>
              <w:right w:val="nil"/>
            </w:tcBorders>
            <w:noWrap/>
            <w:vAlign w:val="center"/>
          </w:tcPr>
          <w:p w14:paraId="3B2214B9"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does not engage in any behavior aimed at evading governmental safety supervision.</w:t>
            </w:r>
          </w:p>
        </w:tc>
      </w:tr>
      <w:tr w:rsidR="009D0485" w:rsidRPr="009D0485" w14:paraId="0C9AD1D2" w14:textId="77777777" w:rsidTr="009D0485">
        <w:trPr>
          <w:trHeight w:val="283"/>
          <w:jc w:val="center"/>
        </w:trPr>
        <w:tc>
          <w:tcPr>
            <w:tcW w:w="1538" w:type="dxa"/>
            <w:vMerge/>
            <w:tcBorders>
              <w:left w:val="nil"/>
              <w:bottom w:val="single" w:sz="2" w:space="0" w:color="000000"/>
              <w:right w:val="nil"/>
            </w:tcBorders>
            <w:vAlign w:val="center"/>
            <w:hideMark/>
          </w:tcPr>
          <w:p w14:paraId="004942DD"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single" w:sz="2" w:space="0" w:color="000000"/>
              <w:right w:val="nil"/>
            </w:tcBorders>
            <w:noWrap/>
            <w:vAlign w:val="center"/>
            <w:hideMark/>
          </w:tcPr>
          <w:p w14:paraId="1596D19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Procedural auditing</w:t>
            </w:r>
          </w:p>
        </w:tc>
        <w:tc>
          <w:tcPr>
            <w:tcW w:w="4243" w:type="dxa"/>
            <w:tcBorders>
              <w:top w:val="nil"/>
              <w:left w:val="nil"/>
              <w:bottom w:val="single" w:sz="2" w:space="0" w:color="000000"/>
              <w:right w:val="nil"/>
            </w:tcBorders>
            <w:noWrap/>
            <w:vAlign w:val="center"/>
          </w:tcPr>
          <w:p w14:paraId="55F3FF6D"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Our mine implements relatively stringent management protocols for acceptance-related operations.</w:t>
            </w:r>
          </w:p>
        </w:tc>
      </w:tr>
      <w:tr w:rsidR="009D0485" w:rsidRPr="009D0485" w14:paraId="65894F64" w14:textId="77777777" w:rsidTr="009D0485">
        <w:trPr>
          <w:trHeight w:val="283"/>
          <w:jc w:val="center"/>
        </w:trPr>
        <w:tc>
          <w:tcPr>
            <w:tcW w:w="1538" w:type="dxa"/>
            <w:vMerge w:val="restart"/>
            <w:tcBorders>
              <w:top w:val="single" w:sz="2" w:space="0" w:color="000000"/>
              <w:left w:val="nil"/>
              <w:bottom w:val="nil"/>
              <w:right w:val="nil"/>
            </w:tcBorders>
            <w:noWrap/>
            <w:vAlign w:val="center"/>
            <w:hideMark/>
          </w:tcPr>
          <w:p w14:paraId="2A702D72"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 xml:space="preserve">Planned Operations </w:t>
            </w:r>
          </w:p>
        </w:tc>
        <w:tc>
          <w:tcPr>
            <w:tcW w:w="2328" w:type="dxa"/>
            <w:tcBorders>
              <w:top w:val="single" w:sz="2" w:space="0" w:color="000000"/>
              <w:left w:val="nil"/>
              <w:bottom w:val="nil"/>
              <w:right w:val="nil"/>
            </w:tcBorders>
            <w:noWrap/>
            <w:vAlign w:val="center"/>
            <w:hideMark/>
          </w:tcPr>
          <w:p w14:paraId="2C8C452F"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Task assignment</w:t>
            </w:r>
          </w:p>
        </w:tc>
        <w:tc>
          <w:tcPr>
            <w:tcW w:w="4243" w:type="dxa"/>
            <w:tcBorders>
              <w:top w:val="single" w:sz="2" w:space="0" w:color="000000"/>
              <w:left w:val="nil"/>
              <w:bottom w:val="nil"/>
              <w:right w:val="nil"/>
            </w:tcBorders>
            <w:noWrap/>
            <w:vAlign w:val="center"/>
            <w:hideMark/>
          </w:tcPr>
          <w:p w14:paraId="1C46DC97"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production task scheduling at our mine is conducted in a scientific and rational manner.</w:t>
            </w:r>
          </w:p>
        </w:tc>
      </w:tr>
      <w:tr w:rsidR="009D0485" w:rsidRPr="009D0485" w14:paraId="1FAD2043" w14:textId="77777777" w:rsidTr="009D0485">
        <w:trPr>
          <w:trHeight w:val="283"/>
          <w:jc w:val="center"/>
        </w:trPr>
        <w:tc>
          <w:tcPr>
            <w:tcW w:w="1538" w:type="dxa"/>
            <w:vMerge/>
            <w:tcBorders>
              <w:top w:val="nil"/>
              <w:left w:val="nil"/>
              <w:bottom w:val="single" w:sz="2" w:space="0" w:color="000000"/>
              <w:right w:val="nil"/>
            </w:tcBorders>
            <w:vAlign w:val="center"/>
            <w:hideMark/>
          </w:tcPr>
          <w:p w14:paraId="5FB7948E"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single" w:sz="2" w:space="0" w:color="000000"/>
              <w:right w:val="nil"/>
            </w:tcBorders>
            <w:noWrap/>
            <w:vAlign w:val="center"/>
            <w:hideMark/>
          </w:tcPr>
          <w:p w14:paraId="20CAF4A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Labor management</w:t>
            </w:r>
          </w:p>
        </w:tc>
        <w:tc>
          <w:tcPr>
            <w:tcW w:w="4243" w:type="dxa"/>
            <w:tcBorders>
              <w:top w:val="nil"/>
              <w:left w:val="nil"/>
              <w:bottom w:val="single" w:sz="2" w:space="0" w:color="000000"/>
              <w:right w:val="nil"/>
            </w:tcBorders>
            <w:noWrap/>
            <w:vAlign w:val="center"/>
            <w:hideMark/>
          </w:tcPr>
          <w:p w14:paraId="2517DE05"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labor organization within our mine is conducted in a well-ordered and systematic manner.</w:t>
            </w:r>
          </w:p>
        </w:tc>
      </w:tr>
      <w:tr w:rsidR="009D0485" w:rsidRPr="009D0485" w14:paraId="61215F3E" w14:textId="77777777" w:rsidTr="009D0485">
        <w:trPr>
          <w:trHeight w:val="283"/>
          <w:jc w:val="center"/>
        </w:trPr>
        <w:tc>
          <w:tcPr>
            <w:tcW w:w="1538" w:type="dxa"/>
            <w:vMerge w:val="restart"/>
            <w:tcBorders>
              <w:top w:val="single" w:sz="2" w:space="0" w:color="000000"/>
              <w:left w:val="nil"/>
              <w:bottom w:val="nil"/>
              <w:right w:val="nil"/>
            </w:tcBorders>
            <w:noWrap/>
            <w:vAlign w:val="center"/>
            <w:hideMark/>
          </w:tcPr>
          <w:p w14:paraId="4FBB77E4"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Technological environment</w:t>
            </w:r>
          </w:p>
        </w:tc>
        <w:tc>
          <w:tcPr>
            <w:tcW w:w="2328" w:type="dxa"/>
            <w:tcBorders>
              <w:top w:val="single" w:sz="2" w:space="0" w:color="000000"/>
              <w:left w:val="nil"/>
              <w:bottom w:val="nil"/>
              <w:right w:val="nil"/>
            </w:tcBorders>
            <w:noWrap/>
            <w:vAlign w:val="center"/>
            <w:hideMark/>
          </w:tcPr>
          <w:p w14:paraId="65F33F97"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Construction layout</w:t>
            </w:r>
          </w:p>
        </w:tc>
        <w:tc>
          <w:tcPr>
            <w:tcW w:w="4243" w:type="dxa"/>
            <w:tcBorders>
              <w:top w:val="single" w:sz="2" w:space="0" w:color="000000"/>
              <w:left w:val="nil"/>
              <w:bottom w:val="nil"/>
              <w:right w:val="nil"/>
            </w:tcBorders>
            <w:noWrap/>
            <w:vAlign w:val="center"/>
            <w:hideMark/>
          </w:tcPr>
          <w:p w14:paraId="3FDB74EC"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construction layout of the working face in my workplace is rationally designed.</w:t>
            </w:r>
          </w:p>
        </w:tc>
      </w:tr>
      <w:tr w:rsidR="009D0485" w:rsidRPr="009D0485" w14:paraId="21116FCB" w14:textId="77777777" w:rsidTr="006972E2">
        <w:trPr>
          <w:trHeight w:val="283"/>
          <w:jc w:val="center"/>
        </w:trPr>
        <w:tc>
          <w:tcPr>
            <w:tcW w:w="1538" w:type="dxa"/>
            <w:vMerge/>
            <w:tcBorders>
              <w:top w:val="nil"/>
              <w:left w:val="nil"/>
              <w:bottom w:val="nil"/>
              <w:right w:val="nil"/>
            </w:tcBorders>
            <w:vAlign w:val="center"/>
            <w:hideMark/>
          </w:tcPr>
          <w:p w14:paraId="584FC1BC"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06C83EF0"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Equipment and facility</w:t>
            </w:r>
          </w:p>
        </w:tc>
        <w:tc>
          <w:tcPr>
            <w:tcW w:w="4243" w:type="dxa"/>
            <w:tcBorders>
              <w:top w:val="nil"/>
              <w:left w:val="nil"/>
              <w:bottom w:val="nil"/>
              <w:right w:val="nil"/>
            </w:tcBorders>
            <w:noWrap/>
            <w:vAlign w:val="center"/>
            <w:hideMark/>
          </w:tcPr>
          <w:p w14:paraId="4B233768"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equipment and facilities in my workplace are free from defects.</w:t>
            </w:r>
          </w:p>
        </w:tc>
      </w:tr>
      <w:tr w:rsidR="009D0485" w:rsidRPr="009D0485" w14:paraId="1F6A76C0" w14:textId="77777777" w:rsidTr="009D0485">
        <w:trPr>
          <w:trHeight w:val="283"/>
          <w:jc w:val="center"/>
        </w:trPr>
        <w:tc>
          <w:tcPr>
            <w:tcW w:w="1538" w:type="dxa"/>
            <w:vMerge/>
            <w:tcBorders>
              <w:top w:val="nil"/>
              <w:left w:val="nil"/>
              <w:bottom w:val="single" w:sz="2" w:space="0" w:color="000000"/>
              <w:right w:val="nil"/>
            </w:tcBorders>
            <w:vAlign w:val="center"/>
            <w:hideMark/>
          </w:tcPr>
          <w:p w14:paraId="34FA7E83"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single" w:sz="2" w:space="0" w:color="000000"/>
              <w:right w:val="nil"/>
            </w:tcBorders>
            <w:noWrap/>
            <w:vAlign w:val="center"/>
            <w:hideMark/>
          </w:tcPr>
          <w:p w14:paraId="08D4312C"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 xml:space="preserve">Monitoring and </w:t>
            </w:r>
          </w:p>
          <w:p w14:paraId="4F6F26B2"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control systems</w:t>
            </w:r>
          </w:p>
        </w:tc>
        <w:tc>
          <w:tcPr>
            <w:tcW w:w="4243" w:type="dxa"/>
            <w:tcBorders>
              <w:top w:val="nil"/>
              <w:left w:val="nil"/>
              <w:bottom w:val="single" w:sz="2" w:space="0" w:color="000000"/>
              <w:right w:val="nil"/>
            </w:tcBorders>
            <w:noWrap/>
            <w:vAlign w:val="center"/>
            <w:hideMark/>
          </w:tcPr>
          <w:p w14:paraId="762C5FF7"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The monitoring and surveillance systems within my workplace are operating normally.</w:t>
            </w:r>
          </w:p>
        </w:tc>
      </w:tr>
      <w:tr w:rsidR="009D0485" w:rsidRPr="009D0485" w14:paraId="4B8D3965" w14:textId="77777777" w:rsidTr="009D0485">
        <w:trPr>
          <w:trHeight w:val="283"/>
          <w:jc w:val="center"/>
        </w:trPr>
        <w:tc>
          <w:tcPr>
            <w:tcW w:w="1538" w:type="dxa"/>
            <w:vMerge w:val="restart"/>
            <w:tcBorders>
              <w:top w:val="single" w:sz="2" w:space="0" w:color="000000"/>
              <w:left w:val="nil"/>
              <w:bottom w:val="nil"/>
              <w:right w:val="nil"/>
            </w:tcBorders>
            <w:noWrap/>
            <w:vAlign w:val="center"/>
            <w:hideMark/>
          </w:tcPr>
          <w:p w14:paraId="525A6C81"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Safety behaviors</w:t>
            </w:r>
          </w:p>
        </w:tc>
        <w:tc>
          <w:tcPr>
            <w:tcW w:w="2328" w:type="dxa"/>
            <w:tcBorders>
              <w:top w:val="single" w:sz="2" w:space="0" w:color="000000"/>
              <w:left w:val="nil"/>
              <w:bottom w:val="nil"/>
              <w:right w:val="nil"/>
            </w:tcBorders>
            <w:noWrap/>
            <w:vAlign w:val="center"/>
            <w:hideMark/>
          </w:tcPr>
          <w:p w14:paraId="72017903"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Skill-based behaviors</w:t>
            </w:r>
          </w:p>
        </w:tc>
        <w:tc>
          <w:tcPr>
            <w:tcW w:w="4243" w:type="dxa"/>
            <w:tcBorders>
              <w:top w:val="single" w:sz="2" w:space="0" w:color="000000"/>
              <w:left w:val="nil"/>
              <w:bottom w:val="nil"/>
              <w:right w:val="nil"/>
            </w:tcBorders>
            <w:noWrap/>
            <w:vAlign w:val="center"/>
            <w:hideMark/>
          </w:tcPr>
          <w:p w14:paraId="3D8C545D"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In the course of my work, I rigorously adhere to established safety operating procedures.</w:t>
            </w:r>
          </w:p>
        </w:tc>
      </w:tr>
      <w:tr w:rsidR="009D0485" w:rsidRPr="009D0485" w14:paraId="2F48E8B2" w14:textId="77777777" w:rsidTr="006972E2">
        <w:trPr>
          <w:trHeight w:val="283"/>
          <w:jc w:val="center"/>
        </w:trPr>
        <w:tc>
          <w:tcPr>
            <w:tcW w:w="1538" w:type="dxa"/>
            <w:vMerge/>
            <w:tcBorders>
              <w:top w:val="nil"/>
              <w:left w:val="nil"/>
              <w:bottom w:val="nil"/>
              <w:right w:val="nil"/>
            </w:tcBorders>
            <w:vAlign w:val="center"/>
            <w:hideMark/>
          </w:tcPr>
          <w:p w14:paraId="03DFA7B8"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nil"/>
              <w:right w:val="nil"/>
            </w:tcBorders>
            <w:noWrap/>
            <w:vAlign w:val="center"/>
            <w:hideMark/>
          </w:tcPr>
          <w:p w14:paraId="3631F105"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Decision behaviors</w:t>
            </w:r>
          </w:p>
        </w:tc>
        <w:tc>
          <w:tcPr>
            <w:tcW w:w="4243" w:type="dxa"/>
            <w:tcBorders>
              <w:top w:val="nil"/>
              <w:left w:val="nil"/>
              <w:bottom w:val="nil"/>
              <w:right w:val="nil"/>
            </w:tcBorders>
            <w:noWrap/>
            <w:vAlign w:val="center"/>
            <w:hideMark/>
          </w:tcPr>
          <w:p w14:paraId="34F828FB"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In the course of my work, I rigorously adhere to the safety production directives.</w:t>
            </w:r>
          </w:p>
        </w:tc>
      </w:tr>
      <w:tr w:rsidR="009D0485" w:rsidRPr="009D0485" w14:paraId="560D38A2" w14:textId="77777777" w:rsidTr="009D0485">
        <w:trPr>
          <w:trHeight w:val="283"/>
          <w:jc w:val="center"/>
        </w:trPr>
        <w:tc>
          <w:tcPr>
            <w:tcW w:w="1538" w:type="dxa"/>
            <w:vMerge/>
            <w:tcBorders>
              <w:top w:val="nil"/>
              <w:left w:val="nil"/>
              <w:bottom w:val="single" w:sz="8" w:space="0" w:color="000000"/>
              <w:right w:val="nil"/>
            </w:tcBorders>
            <w:vAlign w:val="center"/>
            <w:hideMark/>
          </w:tcPr>
          <w:p w14:paraId="1B13C165" w14:textId="77777777" w:rsidR="009D0485" w:rsidRPr="009D0485" w:rsidRDefault="009D0485" w:rsidP="009D0485">
            <w:pPr>
              <w:widowControl/>
              <w:jc w:val="center"/>
              <w:rPr>
                <w:rFonts w:ascii="Cambria" w:eastAsia="宋体" w:hAnsi="Cambria" w:cs="Times New Roman"/>
                <w:color w:val="000000"/>
                <w:kern w:val="0"/>
                <w:szCs w:val="21"/>
              </w:rPr>
            </w:pPr>
          </w:p>
        </w:tc>
        <w:tc>
          <w:tcPr>
            <w:tcW w:w="2328" w:type="dxa"/>
            <w:tcBorders>
              <w:top w:val="nil"/>
              <w:left w:val="nil"/>
              <w:bottom w:val="single" w:sz="8" w:space="0" w:color="000000"/>
              <w:right w:val="nil"/>
            </w:tcBorders>
            <w:noWrap/>
            <w:vAlign w:val="center"/>
            <w:hideMark/>
          </w:tcPr>
          <w:p w14:paraId="5FEEF32A" w14:textId="77777777" w:rsidR="009D0485" w:rsidRPr="009D0485" w:rsidRDefault="009D0485" w:rsidP="009D0485">
            <w:pPr>
              <w:widowControl/>
              <w:jc w:val="center"/>
              <w:rPr>
                <w:rFonts w:ascii="Cambria" w:eastAsia="宋体" w:hAnsi="Cambria" w:cs="Times New Roman"/>
                <w:color w:val="000000"/>
                <w:kern w:val="0"/>
                <w:szCs w:val="21"/>
              </w:rPr>
            </w:pPr>
            <w:r w:rsidRPr="009D0485">
              <w:rPr>
                <w:rFonts w:ascii="Cambria" w:eastAsia="宋体" w:hAnsi="Cambria" w:cs="Times New Roman"/>
                <w:color w:val="000000"/>
                <w:kern w:val="0"/>
                <w:szCs w:val="21"/>
              </w:rPr>
              <w:t>Perceptual behaviors</w:t>
            </w:r>
          </w:p>
        </w:tc>
        <w:tc>
          <w:tcPr>
            <w:tcW w:w="4243" w:type="dxa"/>
            <w:tcBorders>
              <w:top w:val="nil"/>
              <w:left w:val="nil"/>
              <w:bottom w:val="single" w:sz="8" w:space="0" w:color="000000"/>
              <w:right w:val="nil"/>
            </w:tcBorders>
            <w:noWrap/>
            <w:vAlign w:val="center"/>
            <w:hideMark/>
          </w:tcPr>
          <w:p w14:paraId="6CF38A4A" w14:textId="77777777" w:rsidR="009D0485" w:rsidRPr="009D0485" w:rsidRDefault="009D0485" w:rsidP="009D0485">
            <w:pPr>
              <w:widowControl/>
              <w:rPr>
                <w:rFonts w:ascii="Cambria" w:eastAsia="宋体" w:hAnsi="Cambria" w:cs="Times New Roman"/>
                <w:color w:val="000000"/>
                <w:kern w:val="0"/>
                <w:szCs w:val="21"/>
              </w:rPr>
            </w:pPr>
            <w:r w:rsidRPr="009D0485">
              <w:rPr>
                <w:rFonts w:ascii="Cambria" w:eastAsia="宋体" w:hAnsi="Cambria" w:cs="Times New Roman"/>
                <w:color w:val="000000"/>
                <w:kern w:val="0"/>
                <w:szCs w:val="21"/>
              </w:rPr>
              <w:t>During work, I am capable of identifying hidden risks related to production safety.</w:t>
            </w:r>
          </w:p>
        </w:tc>
      </w:tr>
    </w:tbl>
    <w:p w14:paraId="0ED169D6" w14:textId="77777777" w:rsidR="00DD1655" w:rsidRPr="009D0485" w:rsidRDefault="00DD1655">
      <w:pPr>
        <w:rPr>
          <w:rFonts w:hint="eastAsia"/>
        </w:rPr>
      </w:pPr>
    </w:p>
    <w:sectPr w:rsidR="00DD1655" w:rsidRPr="009D04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DC08EE" w14:textId="77777777" w:rsidR="00F24490" w:rsidRDefault="00F24490" w:rsidP="009D0485">
      <w:pPr>
        <w:rPr>
          <w:rFonts w:hint="eastAsia"/>
        </w:rPr>
      </w:pPr>
      <w:r>
        <w:separator/>
      </w:r>
    </w:p>
  </w:endnote>
  <w:endnote w:type="continuationSeparator" w:id="0">
    <w:p w14:paraId="5F19B3B1" w14:textId="77777777" w:rsidR="00F24490" w:rsidRDefault="00F24490" w:rsidP="009D0485">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2D037" w14:textId="77777777" w:rsidR="00F24490" w:rsidRDefault="00F24490" w:rsidP="009D0485">
      <w:pPr>
        <w:rPr>
          <w:rFonts w:hint="eastAsia"/>
        </w:rPr>
      </w:pPr>
      <w:r>
        <w:separator/>
      </w:r>
    </w:p>
  </w:footnote>
  <w:footnote w:type="continuationSeparator" w:id="0">
    <w:p w14:paraId="2EB4CF9A" w14:textId="77777777" w:rsidR="00F24490" w:rsidRDefault="00F24490" w:rsidP="009D0485">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C8"/>
    <w:rsid w:val="005D679B"/>
    <w:rsid w:val="007548D5"/>
    <w:rsid w:val="00876F82"/>
    <w:rsid w:val="009D0485"/>
    <w:rsid w:val="00B95C2E"/>
    <w:rsid w:val="00D536C8"/>
    <w:rsid w:val="00DD1655"/>
    <w:rsid w:val="00F244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92E84777-BEC7-4D2C-B640-8AA48CA7C6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D536C8"/>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D536C8"/>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D536C8"/>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D536C8"/>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rsid w:val="00D536C8"/>
    <w:pPr>
      <w:keepNext/>
      <w:keepLines/>
      <w:spacing w:before="80" w:after="40"/>
      <w:outlineLvl w:val="4"/>
    </w:pPr>
    <w:rPr>
      <w:rFonts w:cstheme="majorBidi"/>
      <w:color w:val="2F5496" w:themeColor="accent1" w:themeShade="BF"/>
      <w:sz w:val="24"/>
      <w:szCs w:val="24"/>
    </w:rPr>
  </w:style>
  <w:style w:type="paragraph" w:styleId="6">
    <w:name w:val="heading 6"/>
    <w:basedOn w:val="a"/>
    <w:next w:val="a"/>
    <w:link w:val="60"/>
    <w:uiPriority w:val="9"/>
    <w:semiHidden/>
    <w:unhideWhenUsed/>
    <w:qFormat/>
    <w:rsid w:val="00D536C8"/>
    <w:pPr>
      <w:keepNext/>
      <w:keepLines/>
      <w:spacing w:before="40"/>
      <w:outlineLvl w:val="5"/>
    </w:pPr>
    <w:rPr>
      <w:rFonts w:cstheme="majorBidi"/>
      <w:b/>
      <w:bCs/>
      <w:color w:val="2F5496" w:themeColor="accent1" w:themeShade="BF"/>
    </w:rPr>
  </w:style>
  <w:style w:type="paragraph" w:styleId="7">
    <w:name w:val="heading 7"/>
    <w:basedOn w:val="a"/>
    <w:next w:val="a"/>
    <w:link w:val="70"/>
    <w:uiPriority w:val="9"/>
    <w:semiHidden/>
    <w:unhideWhenUsed/>
    <w:qFormat/>
    <w:rsid w:val="00D536C8"/>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D536C8"/>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D536C8"/>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D536C8"/>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rsid w:val="00D536C8"/>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rsid w:val="00D536C8"/>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rsid w:val="00D536C8"/>
    <w:rPr>
      <w:rFonts w:cstheme="majorBidi"/>
      <w:color w:val="2F5496" w:themeColor="accent1" w:themeShade="BF"/>
      <w:sz w:val="28"/>
      <w:szCs w:val="28"/>
    </w:rPr>
  </w:style>
  <w:style w:type="character" w:customStyle="1" w:styleId="50">
    <w:name w:val="标题 5 字符"/>
    <w:basedOn w:val="a0"/>
    <w:link w:val="5"/>
    <w:uiPriority w:val="9"/>
    <w:semiHidden/>
    <w:rsid w:val="00D536C8"/>
    <w:rPr>
      <w:rFonts w:cstheme="majorBidi"/>
      <w:color w:val="2F5496" w:themeColor="accent1" w:themeShade="BF"/>
      <w:sz w:val="24"/>
      <w:szCs w:val="24"/>
    </w:rPr>
  </w:style>
  <w:style w:type="character" w:customStyle="1" w:styleId="60">
    <w:name w:val="标题 6 字符"/>
    <w:basedOn w:val="a0"/>
    <w:link w:val="6"/>
    <w:uiPriority w:val="9"/>
    <w:semiHidden/>
    <w:rsid w:val="00D536C8"/>
    <w:rPr>
      <w:rFonts w:cstheme="majorBidi"/>
      <w:b/>
      <w:bCs/>
      <w:color w:val="2F5496" w:themeColor="accent1" w:themeShade="BF"/>
    </w:rPr>
  </w:style>
  <w:style w:type="character" w:customStyle="1" w:styleId="70">
    <w:name w:val="标题 7 字符"/>
    <w:basedOn w:val="a0"/>
    <w:link w:val="7"/>
    <w:uiPriority w:val="9"/>
    <w:semiHidden/>
    <w:rsid w:val="00D536C8"/>
    <w:rPr>
      <w:rFonts w:cstheme="majorBidi"/>
      <w:b/>
      <w:bCs/>
      <w:color w:val="595959" w:themeColor="text1" w:themeTint="A6"/>
    </w:rPr>
  </w:style>
  <w:style w:type="character" w:customStyle="1" w:styleId="80">
    <w:name w:val="标题 8 字符"/>
    <w:basedOn w:val="a0"/>
    <w:link w:val="8"/>
    <w:uiPriority w:val="9"/>
    <w:semiHidden/>
    <w:rsid w:val="00D536C8"/>
    <w:rPr>
      <w:rFonts w:cstheme="majorBidi"/>
      <w:color w:val="595959" w:themeColor="text1" w:themeTint="A6"/>
    </w:rPr>
  </w:style>
  <w:style w:type="character" w:customStyle="1" w:styleId="90">
    <w:name w:val="标题 9 字符"/>
    <w:basedOn w:val="a0"/>
    <w:link w:val="9"/>
    <w:uiPriority w:val="9"/>
    <w:semiHidden/>
    <w:rsid w:val="00D536C8"/>
    <w:rPr>
      <w:rFonts w:eastAsiaTheme="majorEastAsia" w:cstheme="majorBidi"/>
      <w:color w:val="595959" w:themeColor="text1" w:themeTint="A6"/>
    </w:rPr>
  </w:style>
  <w:style w:type="paragraph" w:styleId="a3">
    <w:name w:val="Title"/>
    <w:basedOn w:val="a"/>
    <w:next w:val="a"/>
    <w:link w:val="a4"/>
    <w:uiPriority w:val="10"/>
    <w:qFormat/>
    <w:rsid w:val="00D536C8"/>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D536C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536C8"/>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D536C8"/>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536C8"/>
    <w:pPr>
      <w:spacing w:before="160" w:after="160"/>
      <w:jc w:val="center"/>
    </w:pPr>
    <w:rPr>
      <w:i/>
      <w:iCs/>
      <w:color w:val="404040" w:themeColor="text1" w:themeTint="BF"/>
    </w:rPr>
  </w:style>
  <w:style w:type="character" w:customStyle="1" w:styleId="a8">
    <w:name w:val="引用 字符"/>
    <w:basedOn w:val="a0"/>
    <w:link w:val="a7"/>
    <w:uiPriority w:val="29"/>
    <w:rsid w:val="00D536C8"/>
    <w:rPr>
      <w:i/>
      <w:iCs/>
      <w:color w:val="404040" w:themeColor="text1" w:themeTint="BF"/>
    </w:rPr>
  </w:style>
  <w:style w:type="paragraph" w:styleId="a9">
    <w:name w:val="List Paragraph"/>
    <w:basedOn w:val="a"/>
    <w:uiPriority w:val="34"/>
    <w:qFormat/>
    <w:rsid w:val="00D536C8"/>
    <w:pPr>
      <w:ind w:left="720"/>
      <w:contextualSpacing/>
    </w:pPr>
  </w:style>
  <w:style w:type="character" w:styleId="aa">
    <w:name w:val="Intense Emphasis"/>
    <w:basedOn w:val="a0"/>
    <w:uiPriority w:val="21"/>
    <w:qFormat/>
    <w:rsid w:val="00D536C8"/>
    <w:rPr>
      <w:i/>
      <w:iCs/>
      <w:color w:val="2F5496" w:themeColor="accent1" w:themeShade="BF"/>
    </w:rPr>
  </w:style>
  <w:style w:type="paragraph" w:styleId="ab">
    <w:name w:val="Intense Quote"/>
    <w:basedOn w:val="a"/>
    <w:next w:val="a"/>
    <w:link w:val="ac"/>
    <w:uiPriority w:val="30"/>
    <w:qFormat/>
    <w:rsid w:val="00D536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rsid w:val="00D536C8"/>
    <w:rPr>
      <w:i/>
      <w:iCs/>
      <w:color w:val="2F5496" w:themeColor="accent1" w:themeShade="BF"/>
    </w:rPr>
  </w:style>
  <w:style w:type="character" w:styleId="ad">
    <w:name w:val="Intense Reference"/>
    <w:basedOn w:val="a0"/>
    <w:uiPriority w:val="32"/>
    <w:qFormat/>
    <w:rsid w:val="00D536C8"/>
    <w:rPr>
      <w:b/>
      <w:bCs/>
      <w:smallCaps/>
      <w:color w:val="2F5496" w:themeColor="accent1" w:themeShade="BF"/>
      <w:spacing w:val="5"/>
    </w:rPr>
  </w:style>
  <w:style w:type="paragraph" w:styleId="ae">
    <w:name w:val="header"/>
    <w:basedOn w:val="a"/>
    <w:link w:val="af"/>
    <w:uiPriority w:val="99"/>
    <w:unhideWhenUsed/>
    <w:rsid w:val="009D0485"/>
    <w:pPr>
      <w:tabs>
        <w:tab w:val="center" w:pos="4153"/>
        <w:tab w:val="right" w:pos="8306"/>
      </w:tabs>
      <w:snapToGrid w:val="0"/>
      <w:jc w:val="center"/>
    </w:pPr>
    <w:rPr>
      <w:sz w:val="18"/>
      <w:szCs w:val="18"/>
    </w:rPr>
  </w:style>
  <w:style w:type="character" w:customStyle="1" w:styleId="af">
    <w:name w:val="页眉 字符"/>
    <w:basedOn w:val="a0"/>
    <w:link w:val="ae"/>
    <w:uiPriority w:val="99"/>
    <w:rsid w:val="009D0485"/>
    <w:rPr>
      <w:sz w:val="18"/>
      <w:szCs w:val="18"/>
    </w:rPr>
  </w:style>
  <w:style w:type="paragraph" w:styleId="af0">
    <w:name w:val="footer"/>
    <w:basedOn w:val="a"/>
    <w:link w:val="af1"/>
    <w:uiPriority w:val="99"/>
    <w:unhideWhenUsed/>
    <w:rsid w:val="009D0485"/>
    <w:pPr>
      <w:tabs>
        <w:tab w:val="center" w:pos="4153"/>
        <w:tab w:val="right" w:pos="8306"/>
      </w:tabs>
      <w:snapToGrid w:val="0"/>
      <w:jc w:val="left"/>
    </w:pPr>
    <w:rPr>
      <w:sz w:val="18"/>
      <w:szCs w:val="18"/>
    </w:rPr>
  </w:style>
  <w:style w:type="character" w:customStyle="1" w:styleId="af1">
    <w:name w:val="页脚 字符"/>
    <w:basedOn w:val="a0"/>
    <w:link w:val="af0"/>
    <w:uiPriority w:val="99"/>
    <w:rsid w:val="009D048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978</Words>
  <Characters>5580</Characters>
  <Application>Microsoft Office Word</Application>
  <DocSecurity>0</DocSecurity>
  <Lines>46</Lines>
  <Paragraphs>13</Paragraphs>
  <ScaleCrop>false</ScaleCrop>
  <Company/>
  <LinksUpToDate>false</LinksUpToDate>
  <CharactersWithSpaces>6545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大大 郑</dc:creator>
  <cp:keywords/>
  <dc:description/>
  <cp:lastModifiedBy>大大 郑</cp:lastModifiedBy>
  <cp:revision>2</cp:revision>
  <dcterms:created xsi:type="dcterms:W3CDTF">2026-05-07T12:59:00Z</dcterms:created>
  <dcterms:modified xsi:type="dcterms:W3CDTF">2026-05-07T12:59:00Z</dcterms:modified>
</cp:coreProperties>
</file>