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E8B21">
      <w:pPr>
        <w:widowControl/>
        <w:spacing w:line="360" w:lineRule="auto"/>
        <w:jc w:val="both"/>
        <w:rPr>
          <w:rFonts w:hint="default" w:ascii="Times New Roman" w:hAnsi="Times New Roman" w:cs="Times New Roman"/>
          <w:b/>
          <w:bCs/>
          <w:i/>
          <w:iCs/>
          <w:kern w:val="0"/>
          <w:sz w:val="28"/>
          <w:szCs w:val="28"/>
          <w:lang w:bidi="ar"/>
        </w:rPr>
      </w:pPr>
      <w:r>
        <w:rPr>
          <w:rFonts w:hint="default" w:ascii="Times New Roman" w:hAnsi="Times New Roman" w:cs="Times New Roman"/>
          <w:b/>
          <w:bCs/>
          <w:i/>
          <w:iCs/>
          <w:kern w:val="0"/>
          <w:sz w:val="28"/>
          <w:szCs w:val="28"/>
          <w:lang w:bidi="ar"/>
        </w:rPr>
        <w:t>Supplementary material</w:t>
      </w:r>
    </w:p>
    <w:p w14:paraId="1456B46E">
      <w:pPr>
        <w:spacing w:line="480" w:lineRule="auto"/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Targeting Post-Stroke Depression: Urine-derived Stem Cells Reverse Neuroinflammation by Macrophage Reprogramming</w:t>
      </w:r>
    </w:p>
    <w:p w14:paraId="32FE1A3D">
      <w:pPr>
        <w:jc w:val="center"/>
      </w:pPr>
      <w:r>
        <w:drawing>
          <wp:inline distT="0" distB="0" distL="114300" distR="114300">
            <wp:extent cx="5367020" cy="5118100"/>
            <wp:effectExtent l="0" t="0" r="508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A61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(A)Trilineage differentiation potential of USCs into osteogenic, adipogenic, and chondrogenic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lineages. (B) Flow cytometric analysis of surface marker expression in USCs.</w:t>
      </w:r>
    </w:p>
    <w:p w14:paraId="3A3F59B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C2184C8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356225" cy="1383030"/>
            <wp:effectExtent l="0" t="0" r="317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138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61CB2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 Surgical procedure for the middle cerebral artery occlusion (MCAO) rat model. (A) Surgical dissection; (B) Suture insertion; (C) Suture withdrawal; (D) Schematic diagram of the dissection.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p w14:paraId="686ADF3E">
      <w:pPr>
        <w:rPr>
          <w:rFonts w:hint="default" w:ascii="Times New Roman" w:hAnsi="Times New Roman" w:cs="Times New Roman"/>
          <w:sz w:val="24"/>
          <w:szCs w:val="24"/>
        </w:rPr>
      </w:pPr>
    </w:p>
    <w:p w14:paraId="28442F3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3EFE782">
      <w:pPr>
        <w:jc w:val="both"/>
      </w:pPr>
      <w:r>
        <w:drawing>
          <wp:inline distT="0" distB="0" distL="114300" distR="114300">
            <wp:extent cx="5462270" cy="1809115"/>
            <wp:effectExtent l="0" t="0" r="8890" b="44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13FF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 Procedures for the CUMS model. (A) Physical restraint; (B)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45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°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A0A0A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cage tilting.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p w14:paraId="2420A53C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C215A70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8D90B84">
      <w:pPr>
        <w:jc w:val="center"/>
      </w:pPr>
      <w:r>
        <w:drawing>
          <wp:inline distT="0" distB="0" distL="114300" distR="114300">
            <wp:extent cx="5423535" cy="309816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FAFC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S4.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RT-qPCR analysis of pro-inflammatory gene expression (TNF-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IL-6). </w:t>
      </w:r>
    </w:p>
    <w:p w14:paraId="25623D69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3F0EEC5">
      <w:pPr>
        <w:rPr>
          <w:rFonts w:hint="eastAsia"/>
          <w:lang w:val="en-US" w:eastAsia="zh-CN"/>
        </w:rPr>
      </w:pPr>
    </w:p>
    <w:p w14:paraId="2C0D9911">
      <w:pPr>
        <w:jc w:val="center"/>
      </w:pPr>
      <w:r>
        <w:drawing>
          <wp:inline distT="0" distB="0" distL="114300" distR="114300">
            <wp:extent cx="5256530" cy="3411855"/>
            <wp:effectExtent l="0" t="0" r="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64B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S5.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RT-qPCR analysis of M1 (CD86, CD45) and M2 (CD206, ARG-1) markers.</w:t>
      </w:r>
    </w:p>
    <w:p w14:paraId="39590894">
      <w:pPr>
        <w:jc w:val="center"/>
        <w:rPr>
          <w:rFonts w:hint="default"/>
        </w:rPr>
      </w:pPr>
    </w:p>
    <w:p w14:paraId="36270EB9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404977C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hint="default" w:ascii="Times New Roman" w:hAnsi="Times New Roman" w:cs="Times New Roman"/>
          <w:sz w:val="24"/>
          <w:szCs w:val="24"/>
        </w:rPr>
        <w:t xml:space="preserve"> Longa scale scoring criteria</w:t>
      </w:r>
    </w:p>
    <w:tbl>
      <w:tblPr>
        <w:tblStyle w:val="3"/>
        <w:tblW w:w="8864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7642"/>
      </w:tblGrid>
      <w:tr w14:paraId="3FD11D7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73589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Score</w:t>
            </w:r>
          </w:p>
        </w:tc>
        <w:tc>
          <w:tcPr>
            <w:tcW w:w="764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7B936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Symptoms</w:t>
            </w:r>
          </w:p>
        </w:tc>
      </w:tr>
      <w:tr w14:paraId="58D4C8F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10544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64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201E1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 neurological deficit</w:t>
            </w:r>
          </w:p>
        </w:tc>
      </w:tr>
      <w:tr w14:paraId="0444A31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3851B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64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bottom w:w="24" w:type="dxa"/>
            </w:tcMar>
            <w:vAlign w:val="bottom"/>
          </w:tcPr>
          <w:p w14:paraId="161167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Failure to fully extend the contralateral forepaw; tail-hanging</w:t>
            </w:r>
          </w:p>
        </w:tc>
      </w:tr>
      <w:tr w14:paraId="1FF9D89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18201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64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3B19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ircling towards the paralyzed side</w:t>
            </w:r>
          </w:p>
        </w:tc>
      </w:tr>
      <w:tr w14:paraId="5286C45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655A8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64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5D4A3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</w:rPr>
              <w:t>alling to the paralyzed side during movement.</w:t>
            </w:r>
          </w:p>
        </w:tc>
      </w:tr>
      <w:tr w14:paraId="619FC88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48D00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642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5A5E3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</w:rPr>
              <w:t>o spontaneous walking, reduced consciousness</w:t>
            </w:r>
          </w:p>
        </w:tc>
      </w:tr>
    </w:tbl>
    <w:p w14:paraId="6A487E26">
      <w:pPr>
        <w:rPr>
          <w:rFonts w:hint="default" w:ascii="Times New Roman" w:hAnsi="Times New Roman" w:cs="Times New Roman"/>
          <w:sz w:val="24"/>
          <w:szCs w:val="24"/>
        </w:rPr>
      </w:pPr>
    </w:p>
    <w:p w14:paraId="69AE8EC0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2907110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FA3C8F4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Chronic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u</w:t>
      </w:r>
      <w:r>
        <w:rPr>
          <w:rFonts w:hint="default" w:ascii="Times New Roman" w:hAnsi="Times New Roman" w:cs="Times New Roman"/>
          <w:sz w:val="24"/>
          <w:szCs w:val="24"/>
        </w:rPr>
        <w:t xml:space="preserve">npredictable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</w:rPr>
        <w:t xml:space="preserve">ild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tress (CUMS)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>rocedures</w:t>
      </w:r>
    </w:p>
    <w:tbl>
      <w:tblPr>
        <w:tblStyle w:val="3"/>
        <w:tblW w:w="8864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7514"/>
      </w:tblGrid>
      <w:tr w14:paraId="0C141CD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3D62E95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Stressor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4FB8062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Symptoms</w:t>
            </w:r>
          </w:p>
        </w:tc>
      </w:tr>
      <w:tr w14:paraId="151AC78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07B4D7F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Food deprivation 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60C66F7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Food was withdrawn starting at 07:00 and lasting until 07:00 the following day (24h total).</w:t>
            </w:r>
          </w:p>
        </w:tc>
      </w:tr>
      <w:tr w14:paraId="132F962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23209CF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Water deprivation 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bottom w:w="24" w:type="dxa"/>
            </w:tcMar>
            <w:vAlign w:val="bottom"/>
          </w:tcPr>
          <w:p w14:paraId="4947F47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Water was withdrawn starting at 07:00 and lasting until 07:00 the following day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(24h total).</w:t>
            </w:r>
          </w:p>
        </w:tc>
      </w:tr>
      <w:tr w14:paraId="15D5DB5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2E8D7E8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</w:rPr>
              <w:t>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cage tilt 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165FC08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The rat cages were tilted at a 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</w:rPr>
              <w:t>°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from 07:00 until 19:00 (12h total).</w:t>
            </w:r>
          </w:p>
        </w:tc>
      </w:tr>
      <w:tr w14:paraId="4920E90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32AEBFE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Tail pinch 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1F77DE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The rat was immobilized with the tail exposed. A hemostatic forceps was used to pinch the tail approximately 1 cm from the base for 1 min before returning the rat to its cage.</w:t>
            </w:r>
          </w:p>
        </w:tc>
      </w:tr>
      <w:tr w14:paraId="7AE0E33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14FCD05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Wet bedding 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78398A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Water was sprayed onto the cage bedding to maintain a damp environment. After 8h, the damp bedding was replaced with fresh, dry bedding.</w:t>
            </w:r>
          </w:p>
        </w:tc>
      </w:tr>
      <w:tr w14:paraId="06F6845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7461761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Restraint</w:t>
            </w:r>
          </w:p>
        </w:tc>
        <w:tc>
          <w:tcPr>
            <w:tcW w:w="7514" w:type="dxa"/>
            <w:tcBorders>
              <w:tl2br w:val="nil"/>
              <w:tr2bl w:val="nil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14:paraId="413520E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A0A0A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The rat was placed in a specialized restraint tube for 1h to restrict physical activity.</w:t>
            </w:r>
          </w:p>
        </w:tc>
      </w:tr>
    </w:tbl>
    <w:p w14:paraId="5F652229">
      <w:pPr>
        <w:rPr>
          <w:rFonts w:hint="default" w:ascii="Times New Roman" w:hAnsi="Times New Roman" w:cs="Times New Roman"/>
          <w:sz w:val="24"/>
          <w:szCs w:val="24"/>
        </w:rPr>
      </w:pPr>
    </w:p>
    <w:p w14:paraId="05DCE638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3.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List of antibody</w:t>
      </w:r>
    </w:p>
    <w:tbl>
      <w:tblPr>
        <w:tblStyle w:val="3"/>
        <w:tblW w:w="92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3071"/>
        <w:gridCol w:w="3072"/>
      </w:tblGrid>
      <w:tr w14:paraId="6F9C1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BBBF7F8">
            <w:pPr>
              <w:widowControl/>
              <w:spacing w:after="0" w:line="240" w:lineRule="auto"/>
              <w:jc w:val="both"/>
              <w:rPr>
                <w:rFonts w:hint="eastAsia"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  <w:t>Antibody name</w:t>
            </w:r>
          </w:p>
        </w:tc>
        <w:tc>
          <w:tcPr>
            <w:tcW w:w="30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BAFA984">
            <w:pPr>
              <w:widowControl/>
              <w:spacing w:after="0" w:line="240" w:lineRule="auto"/>
              <w:jc w:val="both"/>
              <w:rPr>
                <w:rFonts w:hint="eastAsia"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  <w:t>Purchasing companies</w:t>
            </w:r>
          </w:p>
        </w:tc>
        <w:tc>
          <w:tcPr>
            <w:tcW w:w="30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736E7976">
            <w:pPr>
              <w:widowControl/>
              <w:spacing w:after="0" w:line="240" w:lineRule="auto"/>
              <w:jc w:val="both"/>
              <w:rPr>
                <w:rFonts w:hint="eastAsia"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  <w:t>Cat No</w:t>
            </w:r>
          </w:p>
        </w:tc>
      </w:tr>
      <w:tr w14:paraId="27826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D4880AF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TNF-a</w:t>
            </w:r>
          </w:p>
        </w:tc>
        <w:tc>
          <w:tcPr>
            <w:tcW w:w="30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FF51077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Cell Signaling technology</w:t>
            </w:r>
          </w:p>
        </w:tc>
        <w:tc>
          <w:tcPr>
            <w:tcW w:w="307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2F36671E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8184T</w:t>
            </w:r>
          </w:p>
        </w:tc>
      </w:tr>
      <w:tr w14:paraId="43871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6C5F5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IL-6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586A0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7F19D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66146</w:t>
            </w:r>
          </w:p>
        </w:tc>
      </w:tr>
      <w:tr w14:paraId="03005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F9C9E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CD206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F18D4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Abcam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1440C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Ab64693</w:t>
            </w:r>
          </w:p>
        </w:tc>
      </w:tr>
      <w:tr w14:paraId="51CFA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right w:val="nil"/>
            </w:tcBorders>
            <w:noWrap/>
          </w:tcPr>
          <w:p w14:paraId="15B48234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CD86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noWrap/>
          </w:tcPr>
          <w:p w14:paraId="24443BFC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Cell Signaling technology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noWrap/>
          </w:tcPr>
          <w:p w14:paraId="580A8E22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91882T</w:t>
            </w:r>
          </w:p>
        </w:tc>
      </w:tr>
      <w:tr w14:paraId="41DCE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AD2807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NF-kB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C442A3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Cell Signaling technology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5793C6">
            <w:pPr>
              <w:widowControl/>
              <w:spacing w:after="0" w:line="240" w:lineRule="auto"/>
              <w:jc w:val="both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8242T</w:t>
            </w:r>
          </w:p>
        </w:tc>
      </w:tr>
    </w:tbl>
    <w:p w14:paraId="234D8033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885279F">
      <w:pPr>
        <w:jc w:val="center"/>
        <w:rPr>
          <w:rFonts w:hint="eastAsia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4.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List of primer sequences for RT-PCR analysis</w:t>
      </w:r>
    </w:p>
    <w:tbl>
      <w:tblPr>
        <w:tblStyle w:val="3"/>
        <w:tblW w:w="92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6135"/>
      </w:tblGrid>
      <w:tr w14:paraId="607E9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B57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  <w:t>Primer name</w:t>
            </w:r>
          </w:p>
        </w:tc>
        <w:tc>
          <w:tcPr>
            <w:tcW w:w="6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174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  <w14:ligatures w14:val="none"/>
              </w:rPr>
              <w:t>Sequences (5′-3′)</w:t>
            </w:r>
          </w:p>
        </w:tc>
      </w:tr>
      <w:tr w14:paraId="51BE8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33D0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hGAPDH-F</w:t>
            </w:r>
          </w:p>
        </w:tc>
        <w:tc>
          <w:tcPr>
            <w:tcW w:w="613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CAE5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ACATCGCTCAGACACCATG</w:t>
            </w:r>
          </w:p>
        </w:tc>
      </w:tr>
      <w:tr w14:paraId="6DA90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DD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hGAPDH-R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76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TGTAGTTGAGGTCAATGAAG</w:t>
            </w:r>
          </w:p>
        </w:tc>
      </w:tr>
      <w:tr w14:paraId="7DB60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4E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hIL-1β-F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1B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ATGATGGCTTATTACAGTGGCAA</w:t>
            </w:r>
          </w:p>
        </w:tc>
      </w:tr>
      <w:tr w14:paraId="461F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91B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hIL-1β-R</w:t>
            </w:r>
          </w:p>
        </w:tc>
        <w:tc>
          <w:tcPr>
            <w:tcW w:w="61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AED8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GTCGGAGATTCGTAGCTGGA</w:t>
            </w:r>
          </w:p>
        </w:tc>
      </w:tr>
      <w:tr w14:paraId="1B641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26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hIL-6-F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78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ACTCACCTCTTCAGAACGAATTG</w:t>
            </w:r>
          </w:p>
        </w:tc>
      </w:tr>
      <w:tr w14:paraId="14C06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D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hTNF-a-F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CAAAGTAGACCTGCCCAGAC</w:t>
            </w:r>
          </w:p>
        </w:tc>
      </w:tr>
      <w:tr w14:paraId="24A3D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1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hTNF-a-R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6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GACCTCTCTCTAATCAGCCC</w:t>
            </w:r>
          </w:p>
        </w:tc>
      </w:tr>
      <w:tr w14:paraId="614E5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31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hCD206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C0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TCCGGGTGCTGTTCTCCTA</w:t>
            </w:r>
          </w:p>
        </w:tc>
      </w:tr>
      <w:tr w14:paraId="5E88A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1E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CD206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CCAGTCTGTTTTTGATGGCACT</w:t>
            </w:r>
          </w:p>
        </w:tc>
      </w:tr>
      <w:tr w14:paraId="13FC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CA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CD45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B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ACCACAAGTTTACTAACGCAAGT</w:t>
            </w:r>
          </w:p>
        </w:tc>
      </w:tr>
      <w:tr w14:paraId="2544F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06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CD45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D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TTTGAGGGGGATTCCAGGTAAT</w:t>
            </w:r>
          </w:p>
        </w:tc>
      </w:tr>
      <w:tr w14:paraId="4F8B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2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CD86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2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GGAAATGCCACGGTTCATCCA</w:t>
            </w:r>
          </w:p>
        </w:tc>
      </w:tr>
      <w:tr w14:paraId="29FB5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5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CD86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86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TGGGGTTCAGTACAGAGATGC</w:t>
            </w:r>
          </w:p>
        </w:tc>
      </w:tr>
      <w:tr w14:paraId="58582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A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ARG-1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0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GTGGAAACTTGCATGGACAAC</w:t>
            </w:r>
          </w:p>
        </w:tc>
      </w:tr>
      <w:tr w14:paraId="0FD4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D5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ARG-1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61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AATCCTGGCACATCGGGAATC</w:t>
            </w:r>
          </w:p>
        </w:tc>
      </w:tr>
      <w:tr w14:paraId="08237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31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mIL-6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97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TAGTCCTTCCTACCCCAATTTCC</w:t>
            </w:r>
          </w:p>
        </w:tc>
      </w:tr>
      <w:tr w14:paraId="2F5FE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2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mIL-6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5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TTGGTCCTTAGCCACTCCTTC</w:t>
            </w:r>
          </w:p>
        </w:tc>
      </w:tr>
      <w:tr w14:paraId="6DFD4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D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m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TNF-a-F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4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AGCCCACGTCGTAGCAAACCAC</w:t>
            </w:r>
          </w:p>
        </w:tc>
      </w:tr>
      <w:tr w14:paraId="3BAE3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3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m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TNF-a-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R</w:t>
            </w: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C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  <w14:ligatures w14:val="none"/>
              </w:rPr>
              <w:t>TCATCCAAATACTCCACACGC</w:t>
            </w:r>
          </w:p>
        </w:tc>
      </w:tr>
    </w:tbl>
    <w:p w14:paraId="12FCE628">
      <w:pPr>
        <w:rPr>
          <w:rFonts w:hint="eastAsia"/>
        </w:rPr>
      </w:pPr>
    </w:p>
    <w:p w14:paraId="6968E0B4">
      <w:pPr>
        <w:rPr>
          <w:rFonts w:hint="eastAsia"/>
        </w:rPr>
      </w:pPr>
    </w:p>
    <w:p w14:paraId="16C82C9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5D40"/>
    <w:rsid w:val="06604E4C"/>
    <w:rsid w:val="18762AE3"/>
    <w:rsid w:val="2137585C"/>
    <w:rsid w:val="30E42053"/>
    <w:rsid w:val="323D5EBE"/>
    <w:rsid w:val="417705C7"/>
    <w:rsid w:val="48A52F41"/>
    <w:rsid w:val="58AD49C8"/>
    <w:rsid w:val="794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288</Words>
  <Characters>1614</Characters>
  <Lines>0</Lines>
  <Paragraphs>0</Paragraphs>
  <TotalTime>1</TotalTime>
  <ScaleCrop>false</ScaleCrop>
  <LinksUpToDate>false</LinksUpToDate>
  <CharactersWithSpaces>1873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2026-04-16T06:12:00Z</dcterms:created>
  <dc:creator>这只兔子</dc:creator>
  <cp:lastModifiedBy>Quanjing Mei</cp:lastModifiedBy>
  <dcterms:modified xsi:type="dcterms:W3CDTF">2026-05-10T04:02:21Z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eyJoZGlkIjoiY2ZkNWJhNjNlODk1MmZhYTk5YjYxNGQ1MmZhMjVkNzAiLCJ1c2VySWQiOiIzODM0NjIwNDUifQ==</vt:lpwstr>
  </property>
  <property fmtid="{D5CDD505-2E9C-101B-9397-08002B2CF9AE}" pid="4" name="ICV">
    <vt:lpwstr>E304C5FC9BA2467B8857829DA20A9131_12</vt:lpwstr>
  </property>
</Properties>
</file>