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 1. Demographic characteristics of decedents with MM and DM in the United States, 1999–2020.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Variable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AAMR per 100,000 (95% CI)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AAPC (95% CI)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MM alone</w:t>
              <w:br w:type="textWrapping"/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MM + DM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245235</w:t>
              <w:br w:type="textWrapping"/>
              <w:br w:type="textWrapping"/>
              <w:t xml:space="preserve">12296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9.53</w:t>
              <w:br w:type="textWrapping"/>
              <w:br w:type="textWrapping"/>
              <w:t xml:space="preserve">0.45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-0.01 (-1.25 - -0.90)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0.23 (-0.25 - 0.71)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Sex</w:t>
              <w:br w:type="textWrapping"/>
              <w:br w:type="textWrapping"/>
              <w:t xml:space="preserve">Male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Female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t xml:space="preserve">6980</w:t>
              <w:br w:type="textWrapping"/>
              <w:br w:type="textWrapping"/>
              <w:t xml:space="preserve">5316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0.64</w:t>
              <w:br w:type="textWrapping"/>
              <w:br w:type="textWrapping"/>
              <w:t xml:space="preserve">0.35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t xml:space="preserve">0.50  (-0.14 - 1.16)</w:t>
              <w:br w:type="textWrapping"/>
              <w:br w:type="textWrapping"/>
              <w:t xml:space="preserve">-0.70 (-1.43 - 0.13)</w:t>
            </w:r>
          </w:p>
        </w:tc>
      </w:tr>
      <w:tr>
        <w:trPr>
          <w:cantSplit w:val="0"/>
          <w:trHeight w:val="4655.5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Race 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Non Hispanic White 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Non Hispanic Black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Asian or Pacific</w:t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American Indian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Hispanic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t xml:space="preserve">7914</w:t>
              <w:br w:type="textWrapping"/>
              <w:br w:type="textWrapping"/>
              <w:t xml:space="preserve">2810</w:t>
              <w:br w:type="textWrapping"/>
              <w:br w:type="textWrapping"/>
              <w:t xml:space="preserve">309</w:t>
              <w:br w:type="textWrapping"/>
              <w:br w:type="textWrapping"/>
              <w:t xml:space="preserve">109</w:t>
              <w:br w:type="textWrapping"/>
              <w:br w:type="textWrapping"/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12296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t xml:space="preserve">0.36</w:t>
              <w:br w:type="textWrapping"/>
              <w:br w:type="textWrapping"/>
              <w:t xml:space="preserve">1.16</w:t>
              <w:br w:type="textWrapping"/>
              <w:br w:type="textWrapping"/>
              <w:t xml:space="preserve">0.29</w:t>
              <w:br w:type="textWrapping"/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</w:t>
              <w:br w:type="textWrapping"/>
              <w:br w:type="textWrapping"/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t xml:space="preserve">0.28 (-0.48 - 1.10)</w:t>
              <w:br w:type="textWrapping"/>
              <w:br w:type="textWrapping"/>
              <w:t xml:space="preserve">-0.75 (-1.73 - 0.34)</w:t>
              <w:br w:type="textWrapping"/>
              <w:br w:type="textWrapping"/>
              <w:t xml:space="preserve">Could not calculate American Indian or Alaska Native and Asian or Pacific Islander</w:t>
              <w:br w:type="textWrapping"/>
              <w:br w:type="textWrapping"/>
              <w:t xml:space="preserve">-0.58 (-1.64 - 0.48)</w:t>
              <w:br w:type="textWrapping"/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 census region </w:t>
              <w:br w:type="textWrapping"/>
              <w:br w:type="textWrapping"/>
              <w:t xml:space="preserve">North east </w:t>
              <w:br w:type="textWrapping"/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Midwest </w:t>
              <w:br w:type="textWrapping"/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South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West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t xml:space="preserve">1973</w:t>
              <w:br w:type="textWrapping"/>
              <w:br w:type="textWrapping"/>
              <w:t xml:space="preserve">2938</w:t>
              <w:br w:type="textWrapping"/>
              <w:br w:type="textWrapping"/>
              <w:t xml:space="preserve">4614</w:t>
              <w:br w:type="textWrapping"/>
              <w:br w:type="textWrapping"/>
              <w:t xml:space="preserve">2771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0.36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0.48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0.46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0.49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-0.40 (-1.16 - 0.41)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-0.48 (-1.33 - 0.37)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0.50 (-0.30 - 1.48)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0.40 (-0.30 - 1.25)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2013 urbanization </w:t>
              <w:br w:type="textWrapping"/>
              <w:br w:type="textWrapping"/>
              <w:t xml:space="preserve">Urban 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t xml:space="preserve">Rural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t xml:space="preserve">9707</w:t>
              <w:br w:type="textWrapping"/>
              <w:br w:type="textWrapping"/>
              <w:t xml:space="preserve">2589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t xml:space="preserve">0.45</w:t>
              <w:br w:type="textWrapping"/>
              <w:br w:type="textWrapping"/>
              <w:t xml:space="preserve">0.55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  <w:t xml:space="preserve">0.22 (-0.20 - 0.63)</w:t>
              <w:br w:type="textWrapping"/>
              <w:br w:type="textWrapping"/>
              <w:t xml:space="preserve">0.62 (-0.31 - 1.67)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1k96lzi8wa90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1b1b1b"/>
          <w:sz w:val="24"/>
          <w:szCs w:val="24"/>
          <w:highlight w:val="white"/>
          <w:rtl w:val="0"/>
        </w:rPr>
        <w:t xml:space="preserve">AAMR, age-adjusted mortality rate; AAPC, average annual percent change; CI, confidence interval.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Roboto" w:cs="Roboto" w:eastAsia="Roboto" w:hAnsi="Roboto"/>
          <w:sz w:val="24"/>
          <w:szCs w:val="24"/>
        </w:rPr>
      </w:pPr>
      <w:bookmarkStart w:colFirst="0" w:colLast="0" w:name="_10jcgc3y8my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