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57147E" w14:textId="77777777" w:rsidR="002F3A63" w:rsidRDefault="002F3A63" w:rsidP="00903C80">
      <w:pPr>
        <w:spacing w:after="0" w:line="480" w:lineRule="auto"/>
        <w:jc w:val="center"/>
        <w:rPr>
          <w:rFonts w:ascii="Times New Roman" w:hAnsi="Times New Roman"/>
          <w:b/>
          <w:bCs/>
          <w:color w:val="2E2E2E"/>
          <w:sz w:val="28"/>
          <w:szCs w:val="28"/>
        </w:rPr>
      </w:pPr>
      <w:r>
        <w:rPr>
          <w:rFonts w:ascii="Times New Roman" w:hAnsi="Times New Roman"/>
          <w:b/>
          <w:bCs/>
          <w:sz w:val="36"/>
          <w:szCs w:val="36"/>
          <w:lang w:bidi="ar"/>
        </w:rPr>
        <w:t>Supporting Information</w:t>
      </w:r>
    </w:p>
    <w:p w14:paraId="1CBA2AB3" w14:textId="38E4F3C1" w:rsidR="002F3A63" w:rsidRPr="000B6FFC" w:rsidRDefault="00193C13" w:rsidP="00903C80">
      <w:pPr>
        <w:autoSpaceDE w:val="0"/>
        <w:autoSpaceDN w:val="0"/>
        <w:adjustRightInd w:val="0"/>
        <w:spacing w:after="0" w:line="480" w:lineRule="auto"/>
        <w:jc w:val="center"/>
        <w:rPr>
          <w:rFonts w:ascii="Times New Roman" w:hAnsi="Times New Roman" w:cs="Times New Roman"/>
          <w:sz w:val="28"/>
          <w:szCs w:val="28"/>
          <w:lang w:bidi="ar"/>
        </w:rPr>
      </w:pPr>
      <w:r w:rsidRPr="000B6FFC">
        <w:rPr>
          <w:rFonts w:ascii="Times New Roman" w:hAnsi="Times New Roman" w:cs="Times New Roman"/>
          <w:sz w:val="28"/>
          <w:szCs w:val="28"/>
          <w:lang w:bidi="ar"/>
        </w:rPr>
        <w:t>TEXT-I</w:t>
      </w:r>
    </w:p>
    <w:p w14:paraId="25189A9A" w14:textId="77777777" w:rsidR="00CA5568" w:rsidRPr="00E40B91" w:rsidRDefault="00CA5568" w:rsidP="00CA5568">
      <w:pPr>
        <w:spacing w:after="0" w:line="480" w:lineRule="auto"/>
        <w:jc w:val="both"/>
        <w:rPr>
          <w:rFonts w:ascii="Times New Roman" w:hAnsi="Times New Roman"/>
          <w:b/>
          <w:bCs/>
          <w:color w:val="000000" w:themeColor="text1"/>
          <w:sz w:val="28"/>
          <w:szCs w:val="28"/>
        </w:rPr>
      </w:pPr>
      <w:r w:rsidRPr="009C562A">
        <w:rPr>
          <w:rFonts w:ascii="Times New Roman" w:hAnsi="Times New Roman"/>
          <w:b/>
          <w:bCs/>
          <w:color w:val="000000" w:themeColor="text1"/>
          <w:sz w:val="28"/>
          <w:szCs w:val="28"/>
        </w:rPr>
        <w:t>Sustainable Utilization of Biomass-Derived Biochar for Asphalt Modification: Multiscale Experimental and Theoretical Insights</w:t>
      </w:r>
    </w:p>
    <w:p w14:paraId="2CDFFF47" w14:textId="30BDFE9B" w:rsidR="002F3A63" w:rsidRDefault="002F3A63" w:rsidP="00903C80">
      <w:pPr>
        <w:spacing w:after="0" w:line="480" w:lineRule="auto"/>
        <w:rPr>
          <w:rFonts w:ascii="Times New Roman" w:hAnsi="Times New Roman"/>
          <w:vertAlign w:val="superscript"/>
        </w:rPr>
      </w:pPr>
      <w:r>
        <w:rPr>
          <w:rFonts w:ascii="Times New Roman" w:hAnsi="Times New Roman" w:hint="eastAsia"/>
        </w:rPr>
        <w:t>Meili</w:t>
      </w:r>
      <w:r>
        <w:rPr>
          <w:rFonts w:ascii="Times New Roman" w:hAnsi="Times New Roman"/>
        </w:rPr>
        <w:t xml:space="preserve"> Liu</w:t>
      </w:r>
      <w:r>
        <w:rPr>
          <w:rFonts w:ascii="Times New Roman" w:hAnsi="Times New Roman"/>
          <w:vertAlign w:val="superscript"/>
        </w:rPr>
        <w:t>a</w:t>
      </w:r>
      <w:r>
        <w:rPr>
          <w:rFonts w:ascii="Times New Roman" w:hAnsi="Times New Roman"/>
        </w:rPr>
        <w:t xml:space="preserve">, </w:t>
      </w:r>
      <w:r w:rsidR="00227D92">
        <w:rPr>
          <w:rFonts w:ascii="Times New Roman" w:hAnsi="Times New Roman" w:hint="eastAsia"/>
        </w:rPr>
        <w:t>Shaocheng Shen</w:t>
      </w:r>
      <w:r w:rsidR="00C76C9A">
        <w:rPr>
          <w:rFonts w:ascii="Times New Roman" w:hAnsi="Times New Roman" w:hint="eastAsia"/>
          <w:vertAlign w:val="superscript"/>
        </w:rPr>
        <w:t>b</w:t>
      </w:r>
      <w:r>
        <w:rPr>
          <w:rFonts w:ascii="Times New Roman" w:hAnsi="Times New Roman"/>
        </w:rPr>
        <w:t xml:space="preserve">, </w:t>
      </w:r>
      <w:r w:rsidR="00227D92">
        <w:rPr>
          <w:rFonts w:ascii="Times New Roman" w:hAnsi="Times New Roman" w:hint="eastAsia"/>
        </w:rPr>
        <w:t>Kun Wang</w:t>
      </w:r>
      <w:r w:rsidR="00227D92">
        <w:rPr>
          <w:rFonts w:ascii="Times New Roman" w:hAnsi="Times New Roman"/>
          <w:vertAlign w:val="superscript"/>
        </w:rPr>
        <w:t>b,</w:t>
      </w:r>
      <w:r w:rsidR="00227D92">
        <w:rPr>
          <w:rFonts w:ascii="Times New Roman" w:hAnsi="Times New Roman" w:hint="eastAsia"/>
          <w:vertAlign w:val="superscript"/>
        </w:rPr>
        <w:t>c</w:t>
      </w:r>
      <w:r>
        <w:rPr>
          <w:rFonts w:ascii="Times New Roman" w:hAnsi="Times New Roman"/>
        </w:rPr>
        <w:t xml:space="preserve">, </w:t>
      </w:r>
      <w:r w:rsidR="00227D92">
        <w:rPr>
          <w:rFonts w:ascii="Times New Roman" w:hAnsi="Times New Roman" w:hint="eastAsia"/>
        </w:rPr>
        <w:t>Fuwu Zhang</w:t>
      </w:r>
      <w:r w:rsidR="00C76C9A">
        <w:rPr>
          <w:rFonts w:ascii="Times New Roman" w:hAnsi="Times New Roman" w:hint="eastAsia"/>
          <w:vertAlign w:val="superscript"/>
        </w:rPr>
        <w:t>b</w:t>
      </w:r>
      <w:r>
        <w:rPr>
          <w:rFonts w:ascii="Times New Roman" w:hAnsi="Times New Roman"/>
        </w:rPr>
        <w:t xml:space="preserve">, </w:t>
      </w:r>
      <w:r w:rsidR="00227D92">
        <w:rPr>
          <w:rFonts w:ascii="Times New Roman" w:hAnsi="Times New Roman" w:hint="eastAsia"/>
        </w:rPr>
        <w:t>Xianming</w:t>
      </w:r>
      <w:r>
        <w:rPr>
          <w:rFonts w:ascii="Times New Roman" w:hAnsi="Times New Roman"/>
        </w:rPr>
        <w:t xml:space="preserve"> </w:t>
      </w:r>
      <w:r w:rsidR="00227D92">
        <w:rPr>
          <w:rFonts w:ascii="Times New Roman" w:hAnsi="Times New Roman" w:hint="eastAsia"/>
        </w:rPr>
        <w:t>Shi</w:t>
      </w:r>
      <w:r w:rsidR="00227D92">
        <w:rPr>
          <w:rFonts w:ascii="Times New Roman" w:hAnsi="Times New Roman" w:hint="eastAsia"/>
          <w:vertAlign w:val="superscript"/>
        </w:rPr>
        <w:t>a</w:t>
      </w:r>
      <w:r>
        <w:rPr>
          <w:rFonts w:ascii="Times New Roman" w:hAnsi="Times New Roman"/>
          <w:vertAlign w:val="superscript"/>
        </w:rPr>
        <w:t>,*</w:t>
      </w:r>
    </w:p>
    <w:p w14:paraId="28510642" w14:textId="5C2AC788" w:rsidR="002F3A63" w:rsidRDefault="002F3A63" w:rsidP="00903C80">
      <w:pPr>
        <w:spacing w:after="0" w:line="480" w:lineRule="auto"/>
        <w:rPr>
          <w:rFonts w:ascii="Times New Roman" w:hAnsi="Times New Roman"/>
          <w:i/>
          <w:iCs/>
        </w:rPr>
      </w:pPr>
      <w:r>
        <w:rPr>
          <w:rFonts w:ascii="Times New Roman" w:hAnsi="Times New Roman"/>
          <w:i/>
          <w:iCs/>
          <w:vertAlign w:val="superscript"/>
        </w:rPr>
        <w:t>a</w:t>
      </w:r>
      <w:r>
        <w:rPr>
          <w:rFonts w:ascii="Times New Roman" w:hAnsi="Times New Roman"/>
          <w:i/>
          <w:iCs/>
        </w:rPr>
        <w:t xml:space="preserve"> </w:t>
      </w:r>
      <w:r>
        <w:rPr>
          <w:rFonts w:ascii="Times New Roman" w:hAnsi="Times New Roman"/>
          <w:i/>
        </w:rPr>
        <w:t>C</w:t>
      </w:r>
      <w:r>
        <w:rPr>
          <w:rFonts w:ascii="Times New Roman" w:hAnsi="Times New Roman" w:hint="eastAsia"/>
          <w:i/>
        </w:rPr>
        <w:t>ivil and Architectural</w:t>
      </w:r>
      <w:r>
        <w:rPr>
          <w:rFonts w:ascii="Times New Roman" w:hAnsi="Times New Roman"/>
          <w:i/>
        </w:rPr>
        <w:t xml:space="preserve"> Engineering, University</w:t>
      </w:r>
      <w:r>
        <w:rPr>
          <w:rFonts w:ascii="Times New Roman" w:hAnsi="Times New Roman" w:hint="eastAsia"/>
          <w:i/>
        </w:rPr>
        <w:t xml:space="preserve"> of Miami</w:t>
      </w:r>
      <w:r>
        <w:rPr>
          <w:rFonts w:ascii="Times New Roman" w:hAnsi="Times New Roman"/>
          <w:i/>
        </w:rPr>
        <w:t>, C</w:t>
      </w:r>
      <w:r>
        <w:rPr>
          <w:rFonts w:ascii="Times New Roman" w:hAnsi="Times New Roman" w:hint="eastAsia"/>
          <w:i/>
        </w:rPr>
        <w:t>oral Gables</w:t>
      </w:r>
      <w:r>
        <w:rPr>
          <w:rFonts w:ascii="Times New Roman" w:hAnsi="Times New Roman"/>
          <w:i/>
        </w:rPr>
        <w:t xml:space="preserve">, </w:t>
      </w:r>
      <w:r>
        <w:rPr>
          <w:rFonts w:ascii="Times New Roman" w:hAnsi="Times New Roman" w:hint="eastAsia"/>
          <w:i/>
        </w:rPr>
        <w:t>Florida 33146</w:t>
      </w:r>
      <w:r w:rsidR="00227D92">
        <w:rPr>
          <w:rFonts w:ascii="Times New Roman" w:hAnsi="Times New Roman" w:hint="eastAsia"/>
          <w:i/>
        </w:rPr>
        <w:t>, USA</w:t>
      </w:r>
    </w:p>
    <w:p w14:paraId="4037BE36" w14:textId="75F99484" w:rsidR="002F3A63" w:rsidRDefault="002F3A63" w:rsidP="00903C80">
      <w:pPr>
        <w:spacing w:after="0" w:line="480" w:lineRule="auto"/>
        <w:rPr>
          <w:rFonts w:ascii="Times New Roman" w:hAnsi="Times New Roman"/>
          <w:i/>
        </w:rPr>
      </w:pPr>
      <w:r>
        <w:rPr>
          <w:rFonts w:ascii="Times New Roman" w:hAnsi="Times New Roman"/>
          <w:i/>
          <w:vertAlign w:val="superscript"/>
        </w:rPr>
        <w:t>b</w:t>
      </w:r>
      <w:r>
        <w:rPr>
          <w:rFonts w:ascii="Times New Roman" w:hAnsi="Times New Roman"/>
          <w:i/>
        </w:rPr>
        <w:t xml:space="preserve"> </w:t>
      </w:r>
      <w:r w:rsidR="00227D92">
        <w:rPr>
          <w:rFonts w:ascii="Times New Roman" w:hAnsi="Times New Roman" w:hint="eastAsia"/>
          <w:i/>
        </w:rPr>
        <w:t xml:space="preserve">Department of </w:t>
      </w:r>
      <w:r w:rsidR="00C76C9A">
        <w:rPr>
          <w:rFonts w:ascii="Times New Roman" w:hAnsi="Times New Roman" w:hint="eastAsia"/>
          <w:i/>
        </w:rPr>
        <w:t>Chemistry</w:t>
      </w:r>
      <w:r w:rsidR="00227D92">
        <w:rPr>
          <w:rFonts w:ascii="Times New Roman" w:hAnsi="Times New Roman" w:hint="eastAsia"/>
          <w:i/>
        </w:rPr>
        <w:t xml:space="preserve">, </w:t>
      </w:r>
      <w:r w:rsidR="00227D92">
        <w:rPr>
          <w:rFonts w:ascii="Times New Roman" w:hAnsi="Times New Roman"/>
          <w:i/>
        </w:rPr>
        <w:t>University</w:t>
      </w:r>
      <w:r w:rsidR="00227D92">
        <w:rPr>
          <w:rFonts w:ascii="Times New Roman" w:hAnsi="Times New Roman" w:hint="eastAsia"/>
          <w:i/>
        </w:rPr>
        <w:t xml:space="preserve"> of Miami</w:t>
      </w:r>
      <w:r w:rsidR="00227D92">
        <w:rPr>
          <w:rFonts w:ascii="Times New Roman" w:hAnsi="Times New Roman"/>
          <w:i/>
        </w:rPr>
        <w:t>, C</w:t>
      </w:r>
      <w:r w:rsidR="00227D92">
        <w:rPr>
          <w:rFonts w:ascii="Times New Roman" w:hAnsi="Times New Roman" w:hint="eastAsia"/>
          <w:i/>
        </w:rPr>
        <w:t>oral Gables</w:t>
      </w:r>
      <w:r w:rsidR="00227D92">
        <w:rPr>
          <w:rFonts w:ascii="Times New Roman" w:hAnsi="Times New Roman"/>
          <w:i/>
        </w:rPr>
        <w:t xml:space="preserve">, </w:t>
      </w:r>
      <w:r w:rsidR="00227D92">
        <w:rPr>
          <w:rFonts w:ascii="Times New Roman" w:hAnsi="Times New Roman" w:hint="eastAsia"/>
          <w:i/>
        </w:rPr>
        <w:t>Florida 33146, USA</w:t>
      </w:r>
    </w:p>
    <w:p w14:paraId="33098117" w14:textId="206F2887" w:rsidR="00227D92" w:rsidRDefault="00227D92" w:rsidP="00903C80">
      <w:pPr>
        <w:spacing w:after="0" w:line="480" w:lineRule="auto"/>
        <w:rPr>
          <w:rFonts w:ascii="Times New Roman" w:hAnsi="Times New Roman"/>
          <w:i/>
        </w:rPr>
      </w:pPr>
      <w:r>
        <w:rPr>
          <w:rFonts w:ascii="Times New Roman" w:hAnsi="Times New Roman" w:hint="eastAsia"/>
          <w:i/>
          <w:vertAlign w:val="superscript"/>
        </w:rPr>
        <w:t>c</w:t>
      </w:r>
      <w:r>
        <w:rPr>
          <w:rFonts w:ascii="Times New Roman" w:hAnsi="Times New Roman"/>
          <w:i/>
        </w:rPr>
        <w:t xml:space="preserve"> </w:t>
      </w:r>
      <w:r>
        <w:rPr>
          <w:rFonts w:ascii="Times New Roman" w:hAnsi="Times New Roman" w:hint="eastAsia"/>
          <w:i/>
        </w:rPr>
        <w:t>Department of</w:t>
      </w:r>
      <w:r w:rsidR="00C76C9A">
        <w:rPr>
          <w:rFonts w:ascii="Times New Roman" w:hAnsi="Times New Roman" w:hint="eastAsia"/>
          <w:i/>
        </w:rPr>
        <w:t xml:space="preserve"> Physics</w:t>
      </w:r>
      <w:r>
        <w:rPr>
          <w:rFonts w:ascii="Times New Roman" w:hAnsi="Times New Roman" w:hint="eastAsia"/>
          <w:i/>
        </w:rPr>
        <w:t xml:space="preserve">, </w:t>
      </w:r>
      <w:r>
        <w:rPr>
          <w:rFonts w:ascii="Times New Roman" w:hAnsi="Times New Roman"/>
          <w:i/>
        </w:rPr>
        <w:t>University</w:t>
      </w:r>
      <w:r>
        <w:rPr>
          <w:rFonts w:ascii="Times New Roman" w:hAnsi="Times New Roman" w:hint="eastAsia"/>
          <w:i/>
        </w:rPr>
        <w:t xml:space="preserve"> of Miami</w:t>
      </w:r>
      <w:r>
        <w:rPr>
          <w:rFonts w:ascii="Times New Roman" w:hAnsi="Times New Roman"/>
          <w:i/>
        </w:rPr>
        <w:t>, C</w:t>
      </w:r>
      <w:r>
        <w:rPr>
          <w:rFonts w:ascii="Times New Roman" w:hAnsi="Times New Roman" w:hint="eastAsia"/>
          <w:i/>
        </w:rPr>
        <w:t>oral Gables</w:t>
      </w:r>
      <w:r>
        <w:rPr>
          <w:rFonts w:ascii="Times New Roman" w:hAnsi="Times New Roman"/>
          <w:i/>
        </w:rPr>
        <w:t xml:space="preserve">, </w:t>
      </w:r>
      <w:r>
        <w:rPr>
          <w:rFonts w:ascii="Times New Roman" w:hAnsi="Times New Roman" w:hint="eastAsia"/>
          <w:i/>
        </w:rPr>
        <w:t>Florida 33146, USA</w:t>
      </w:r>
    </w:p>
    <w:p w14:paraId="2BC30809" w14:textId="77777777" w:rsidR="002F3A63" w:rsidRDefault="002F3A63" w:rsidP="00903C80">
      <w:pPr>
        <w:spacing w:after="0" w:line="480" w:lineRule="auto"/>
        <w:rPr>
          <w:rFonts w:ascii="Times New Roman" w:hAnsi="Times New Roman"/>
        </w:rPr>
      </w:pPr>
    </w:p>
    <w:p w14:paraId="04041719" w14:textId="23D133F5" w:rsidR="002F3A63" w:rsidRDefault="002F3A63" w:rsidP="00903C80">
      <w:pPr>
        <w:spacing w:after="0" w:line="480" w:lineRule="auto"/>
        <w:rPr>
          <w:rFonts w:ascii="Times New Roman" w:hAnsi="Times New Roman"/>
        </w:rPr>
      </w:pPr>
      <w:r>
        <w:rPr>
          <w:rFonts w:ascii="Times New Roman" w:hAnsi="Times New Roman"/>
        </w:rPr>
        <w:t>*: Corresponding authors</w:t>
      </w:r>
    </w:p>
    <w:p w14:paraId="654C8E82" w14:textId="375EA9E0" w:rsidR="008B3282" w:rsidRDefault="002F3A63" w:rsidP="00903C80">
      <w:pPr>
        <w:spacing w:after="0" w:line="480" w:lineRule="auto"/>
        <w:rPr>
          <w:rFonts w:ascii="Times New Roman" w:hAnsi="Times New Roman"/>
        </w:rPr>
      </w:pPr>
      <w:r>
        <w:rPr>
          <w:rFonts w:ascii="Times New Roman" w:hAnsi="Times New Roman"/>
        </w:rPr>
        <w:t xml:space="preserve">E-mail address: </w:t>
      </w:r>
      <w:hyperlink r:id="rId8" w:history="1">
        <w:r w:rsidRPr="00F533F6">
          <w:rPr>
            <w:rStyle w:val="Hyperlink"/>
            <w:rFonts w:ascii="Times New Roman" w:hAnsi="Times New Roman"/>
          </w:rPr>
          <w:t>xxs784@miami.edu</w:t>
        </w:r>
      </w:hyperlink>
    </w:p>
    <w:p w14:paraId="61614185" w14:textId="4CA42392" w:rsidR="00D87CA2" w:rsidRDefault="00E73ADF" w:rsidP="00903C80">
      <w:pPr>
        <w:spacing w:after="0" w:line="480" w:lineRule="auto"/>
        <w:rPr>
          <w:rFonts w:ascii="Times New Roman" w:hAnsi="Times New Roman"/>
        </w:rPr>
      </w:pPr>
      <w:r>
        <w:rPr>
          <w:rFonts w:ascii="Times New Roman" w:hAnsi="Times New Roman"/>
        </w:rPr>
        <w:br w:type="page"/>
      </w:r>
    </w:p>
    <w:p w14:paraId="7B0D6198" w14:textId="68C0A0B2" w:rsidR="00F93718" w:rsidRPr="00FB1AE3" w:rsidRDefault="00F93718" w:rsidP="009E4729">
      <w:pPr>
        <w:spacing w:after="0" w:line="480" w:lineRule="auto"/>
        <w:jc w:val="center"/>
        <w:rPr>
          <w:rFonts w:ascii="Times New Roman" w:hAnsi="Times New Roman" w:cs="Times New Roman"/>
          <w:b/>
          <w:bCs/>
        </w:rPr>
      </w:pPr>
      <w:r w:rsidRPr="00FB1AE3">
        <w:rPr>
          <w:rFonts w:ascii="Times New Roman" w:hAnsi="Times New Roman" w:cs="Times New Roman"/>
          <w:b/>
          <w:bCs/>
        </w:rPr>
        <w:lastRenderedPageBreak/>
        <w:t>Table of Contents</w:t>
      </w:r>
    </w:p>
    <w:p w14:paraId="7F65C202" w14:textId="054BA1B3" w:rsidR="006959DB" w:rsidRDefault="004503FB">
      <w:pPr>
        <w:pStyle w:val="TOC1"/>
        <w:tabs>
          <w:tab w:val="right" w:leader="dot" w:pos="8296"/>
        </w:tabs>
        <w:rPr>
          <w:noProof/>
        </w:rPr>
      </w:pPr>
      <w:r w:rsidRPr="0028017A">
        <w:rPr>
          <w:rFonts w:ascii="Times New Roman" w:hAnsi="Times New Roman" w:cs="Times New Roman"/>
        </w:rPr>
        <w:fldChar w:fldCharType="begin"/>
      </w:r>
      <w:r w:rsidRPr="0028017A">
        <w:rPr>
          <w:rFonts w:ascii="Times New Roman" w:hAnsi="Times New Roman" w:cs="Times New Roman"/>
        </w:rPr>
        <w:instrText xml:space="preserve"> TOC \o "1-3" \h \z \u </w:instrText>
      </w:r>
      <w:r w:rsidRPr="0028017A">
        <w:rPr>
          <w:rFonts w:ascii="Times New Roman" w:hAnsi="Times New Roman" w:cs="Times New Roman"/>
        </w:rPr>
        <w:fldChar w:fldCharType="separate"/>
      </w:r>
      <w:hyperlink w:anchor="_Toc224215279" w:history="1">
        <w:r w:rsidR="006959DB" w:rsidRPr="00C500D5">
          <w:rPr>
            <w:rStyle w:val="Hyperlink"/>
            <w:rFonts w:ascii="Times New Roman" w:hAnsi="Times New Roman" w:cs="Times New Roman"/>
            <w:b/>
            <w:bCs/>
            <w:noProof/>
          </w:rPr>
          <w:t>Fig. S1.</w:t>
        </w:r>
        <w:r w:rsidR="006959DB" w:rsidRPr="00C500D5">
          <w:rPr>
            <w:rStyle w:val="Hyperlink"/>
            <w:rFonts w:ascii="Times New Roman" w:hAnsi="Times New Roman" w:cs="Times New Roman"/>
            <w:noProof/>
          </w:rPr>
          <w:t xml:space="preserve"> Schematic illustration of the preparation procedure for the WS-biochar sample using the standard operating procedure (SOP) for grinding biochar</w:t>
        </w:r>
        <w:r w:rsidR="006959DB">
          <w:rPr>
            <w:noProof/>
            <w:webHidden/>
          </w:rPr>
          <w:tab/>
        </w:r>
        <w:r w:rsidR="006959DB">
          <w:rPr>
            <w:rFonts w:hint="eastAsia"/>
            <w:noProof/>
            <w:webHidden/>
          </w:rPr>
          <w:t>S</w:t>
        </w:r>
        <w:r w:rsidR="006959DB">
          <w:rPr>
            <w:noProof/>
            <w:webHidden/>
          </w:rPr>
          <w:fldChar w:fldCharType="begin"/>
        </w:r>
        <w:r w:rsidR="006959DB">
          <w:rPr>
            <w:noProof/>
            <w:webHidden/>
          </w:rPr>
          <w:instrText xml:space="preserve"> PAGEREF _Toc224215279 \h </w:instrText>
        </w:r>
        <w:r w:rsidR="006959DB">
          <w:rPr>
            <w:noProof/>
            <w:webHidden/>
          </w:rPr>
        </w:r>
        <w:r w:rsidR="006959DB">
          <w:rPr>
            <w:noProof/>
            <w:webHidden/>
          </w:rPr>
          <w:fldChar w:fldCharType="separate"/>
        </w:r>
        <w:r w:rsidR="006959DB">
          <w:rPr>
            <w:noProof/>
            <w:webHidden/>
          </w:rPr>
          <w:t>4</w:t>
        </w:r>
        <w:r w:rsidR="006959DB">
          <w:rPr>
            <w:noProof/>
            <w:webHidden/>
          </w:rPr>
          <w:fldChar w:fldCharType="end"/>
        </w:r>
      </w:hyperlink>
    </w:p>
    <w:p w14:paraId="7DD0CF51" w14:textId="6159A98D" w:rsidR="006959DB" w:rsidRDefault="006959DB">
      <w:pPr>
        <w:pStyle w:val="TOC1"/>
        <w:tabs>
          <w:tab w:val="right" w:leader="dot" w:pos="8296"/>
        </w:tabs>
        <w:rPr>
          <w:noProof/>
        </w:rPr>
      </w:pPr>
      <w:hyperlink w:anchor="_Toc224215280" w:history="1">
        <w:r w:rsidRPr="00C500D5">
          <w:rPr>
            <w:rStyle w:val="Hyperlink"/>
            <w:rFonts w:ascii="Times New Roman" w:hAnsi="Times New Roman" w:cs="Times New Roman"/>
            <w:b/>
            <w:bCs/>
            <w:noProof/>
          </w:rPr>
          <w:t>Fig. S2.</w:t>
        </w:r>
        <w:r w:rsidRPr="00C500D5">
          <w:rPr>
            <w:rStyle w:val="Hyperlink"/>
            <w:rFonts w:ascii="Times New Roman" w:hAnsi="Times New Roman" w:cs="Times New Roman"/>
            <w:noProof/>
          </w:rPr>
          <w:t xml:space="preserve"> Particle size distribution (PSD) of WS-biochar samples</w:t>
        </w:r>
        <w:r>
          <w:rPr>
            <w:noProof/>
            <w:webHidden/>
          </w:rPr>
          <w:tab/>
        </w:r>
        <w:r>
          <w:rPr>
            <w:rFonts w:hint="eastAsia"/>
            <w:noProof/>
            <w:webHidden/>
          </w:rPr>
          <w:t>S</w:t>
        </w:r>
        <w:r>
          <w:rPr>
            <w:noProof/>
            <w:webHidden/>
          </w:rPr>
          <w:fldChar w:fldCharType="begin"/>
        </w:r>
        <w:r>
          <w:rPr>
            <w:noProof/>
            <w:webHidden/>
          </w:rPr>
          <w:instrText xml:space="preserve"> PAGEREF _Toc224215280 \h </w:instrText>
        </w:r>
        <w:r>
          <w:rPr>
            <w:noProof/>
            <w:webHidden/>
          </w:rPr>
        </w:r>
        <w:r>
          <w:rPr>
            <w:noProof/>
            <w:webHidden/>
          </w:rPr>
          <w:fldChar w:fldCharType="separate"/>
        </w:r>
        <w:r>
          <w:rPr>
            <w:noProof/>
            <w:webHidden/>
          </w:rPr>
          <w:t>5</w:t>
        </w:r>
        <w:r>
          <w:rPr>
            <w:noProof/>
            <w:webHidden/>
          </w:rPr>
          <w:fldChar w:fldCharType="end"/>
        </w:r>
      </w:hyperlink>
    </w:p>
    <w:p w14:paraId="4EAE5BB9" w14:textId="47CA78CA" w:rsidR="006959DB" w:rsidRDefault="006959DB">
      <w:pPr>
        <w:pStyle w:val="TOC1"/>
        <w:tabs>
          <w:tab w:val="right" w:leader="dot" w:pos="8296"/>
        </w:tabs>
        <w:rPr>
          <w:noProof/>
        </w:rPr>
      </w:pPr>
      <w:hyperlink w:anchor="_Toc224215281" w:history="1">
        <w:r w:rsidRPr="00C500D5">
          <w:rPr>
            <w:rStyle w:val="Hyperlink"/>
            <w:rFonts w:ascii="Times New Roman" w:hAnsi="Times New Roman" w:cs="Times New Roman"/>
            <w:b/>
            <w:bCs/>
            <w:noProof/>
          </w:rPr>
          <w:t>Fig. S3.</w:t>
        </w:r>
        <w:r w:rsidRPr="00C500D5">
          <w:rPr>
            <w:rStyle w:val="Hyperlink"/>
            <w:rFonts w:ascii="Times New Roman" w:hAnsi="Times New Roman" w:cs="Times New Roman"/>
            <w:noProof/>
          </w:rPr>
          <w:t xml:space="preserve"> (a) The full-width-at-half-maximum (FWHM) values of the X-ray diffraction (XRD) C(002) peak and (b) the corresponding calculated dislocation densities for biochar-doped asphalt samples</w:t>
        </w:r>
        <w:r>
          <w:rPr>
            <w:noProof/>
            <w:webHidden/>
          </w:rPr>
          <w:tab/>
          <w:t>S</w:t>
        </w:r>
        <w:r>
          <w:rPr>
            <w:noProof/>
            <w:webHidden/>
          </w:rPr>
          <w:fldChar w:fldCharType="begin"/>
        </w:r>
        <w:r>
          <w:rPr>
            <w:noProof/>
            <w:webHidden/>
          </w:rPr>
          <w:instrText xml:space="preserve"> PAGEREF _Toc224215281 \h </w:instrText>
        </w:r>
        <w:r>
          <w:rPr>
            <w:noProof/>
            <w:webHidden/>
          </w:rPr>
        </w:r>
        <w:r>
          <w:rPr>
            <w:noProof/>
            <w:webHidden/>
          </w:rPr>
          <w:fldChar w:fldCharType="separate"/>
        </w:r>
        <w:r>
          <w:rPr>
            <w:noProof/>
            <w:webHidden/>
          </w:rPr>
          <w:t>6</w:t>
        </w:r>
        <w:r>
          <w:rPr>
            <w:noProof/>
            <w:webHidden/>
          </w:rPr>
          <w:fldChar w:fldCharType="end"/>
        </w:r>
      </w:hyperlink>
    </w:p>
    <w:p w14:paraId="1201A772" w14:textId="3D88ACCF" w:rsidR="006959DB" w:rsidRDefault="006959DB">
      <w:pPr>
        <w:pStyle w:val="TOC1"/>
        <w:tabs>
          <w:tab w:val="right" w:leader="dot" w:pos="8296"/>
        </w:tabs>
        <w:rPr>
          <w:noProof/>
        </w:rPr>
      </w:pPr>
      <w:hyperlink w:anchor="_Toc224215282" w:history="1">
        <w:r w:rsidRPr="00C500D5">
          <w:rPr>
            <w:rStyle w:val="Hyperlink"/>
            <w:rFonts w:ascii="Times New Roman" w:hAnsi="Times New Roman" w:cs="Times New Roman"/>
            <w:b/>
            <w:bCs/>
            <w:noProof/>
          </w:rPr>
          <w:t>Fig. S4.</w:t>
        </w:r>
        <w:r w:rsidRPr="00C500D5">
          <w:rPr>
            <w:rStyle w:val="Hyperlink"/>
            <w:rFonts w:ascii="Times New Roman" w:hAnsi="Times New Roman" w:cs="Times New Roman"/>
            <w:noProof/>
          </w:rPr>
          <w:t xml:space="preserve"> AFM images at 5 μm scan range of the PG70-10 asphalt with biochar doping levels of (a) 0 wt%, (b) 2 wt%, (c) 4 wt%, (d) 6 wt%, (e) 8 wt% and (f) 10 wt%</w:t>
        </w:r>
        <w:r>
          <w:rPr>
            <w:noProof/>
            <w:webHidden/>
          </w:rPr>
          <w:tab/>
          <w:t>S</w:t>
        </w:r>
        <w:r>
          <w:rPr>
            <w:noProof/>
            <w:webHidden/>
          </w:rPr>
          <w:fldChar w:fldCharType="begin"/>
        </w:r>
        <w:r>
          <w:rPr>
            <w:noProof/>
            <w:webHidden/>
          </w:rPr>
          <w:instrText xml:space="preserve"> PAGEREF _Toc224215282 \h </w:instrText>
        </w:r>
        <w:r>
          <w:rPr>
            <w:noProof/>
            <w:webHidden/>
          </w:rPr>
        </w:r>
        <w:r>
          <w:rPr>
            <w:noProof/>
            <w:webHidden/>
          </w:rPr>
          <w:fldChar w:fldCharType="separate"/>
        </w:r>
        <w:r>
          <w:rPr>
            <w:noProof/>
            <w:webHidden/>
          </w:rPr>
          <w:t>7</w:t>
        </w:r>
        <w:r>
          <w:rPr>
            <w:noProof/>
            <w:webHidden/>
          </w:rPr>
          <w:fldChar w:fldCharType="end"/>
        </w:r>
      </w:hyperlink>
    </w:p>
    <w:p w14:paraId="64816EB8" w14:textId="3F5A495B" w:rsidR="006959DB" w:rsidRDefault="006959DB">
      <w:pPr>
        <w:pStyle w:val="TOC1"/>
        <w:tabs>
          <w:tab w:val="right" w:leader="dot" w:pos="8296"/>
        </w:tabs>
        <w:rPr>
          <w:noProof/>
        </w:rPr>
      </w:pPr>
      <w:hyperlink w:anchor="_Toc224215283" w:history="1">
        <w:r w:rsidRPr="00C500D5">
          <w:rPr>
            <w:rStyle w:val="Hyperlink"/>
            <w:rFonts w:ascii="Times New Roman" w:hAnsi="Times New Roman" w:cs="Times New Roman"/>
            <w:b/>
            <w:bCs/>
            <w:noProof/>
          </w:rPr>
          <w:t>Fig. S5.</w:t>
        </w:r>
        <w:r w:rsidRPr="00C500D5">
          <w:rPr>
            <w:rStyle w:val="Hyperlink"/>
            <w:rFonts w:ascii="Times New Roman" w:hAnsi="Times New Roman" w:cs="Times New Roman"/>
            <w:noProof/>
          </w:rPr>
          <w:t xml:space="preserve"> Electrostatic potentials (ESP) on the molecular vdW surface (a), Molecular orbital energies and calculated HOMO-LUMO energy gap (b) of WS-biochar</w:t>
        </w:r>
        <w:r>
          <w:rPr>
            <w:noProof/>
            <w:webHidden/>
          </w:rPr>
          <w:tab/>
          <w:t>S</w:t>
        </w:r>
        <w:r>
          <w:rPr>
            <w:noProof/>
            <w:webHidden/>
          </w:rPr>
          <w:fldChar w:fldCharType="begin"/>
        </w:r>
        <w:r>
          <w:rPr>
            <w:noProof/>
            <w:webHidden/>
          </w:rPr>
          <w:instrText xml:space="preserve"> PAGEREF _Toc224215283 \h </w:instrText>
        </w:r>
        <w:r>
          <w:rPr>
            <w:noProof/>
            <w:webHidden/>
          </w:rPr>
        </w:r>
        <w:r>
          <w:rPr>
            <w:noProof/>
            <w:webHidden/>
          </w:rPr>
          <w:fldChar w:fldCharType="separate"/>
        </w:r>
        <w:r>
          <w:rPr>
            <w:noProof/>
            <w:webHidden/>
          </w:rPr>
          <w:t>8</w:t>
        </w:r>
        <w:r>
          <w:rPr>
            <w:noProof/>
            <w:webHidden/>
          </w:rPr>
          <w:fldChar w:fldCharType="end"/>
        </w:r>
      </w:hyperlink>
    </w:p>
    <w:p w14:paraId="54816C6C" w14:textId="05BCFED4" w:rsidR="006959DB" w:rsidRDefault="006959DB">
      <w:pPr>
        <w:pStyle w:val="TOC1"/>
        <w:tabs>
          <w:tab w:val="right" w:leader="dot" w:pos="8296"/>
        </w:tabs>
        <w:rPr>
          <w:noProof/>
        </w:rPr>
      </w:pPr>
      <w:hyperlink w:anchor="_Toc224215284" w:history="1">
        <w:r w:rsidRPr="00C500D5">
          <w:rPr>
            <w:rStyle w:val="Hyperlink"/>
            <w:rFonts w:ascii="Times New Roman" w:hAnsi="Times New Roman" w:cs="Times New Roman"/>
            <w:b/>
            <w:bCs/>
            <w:noProof/>
          </w:rPr>
          <w:t>Fig. S6.</w:t>
        </w:r>
        <w:r w:rsidRPr="00C500D5">
          <w:rPr>
            <w:rStyle w:val="Hyperlink"/>
            <w:rFonts w:ascii="Times New Roman" w:hAnsi="Times New Roman" w:cs="Times New Roman"/>
            <w:noProof/>
          </w:rPr>
          <w:t xml:space="preserve"> Electrostatic potentials (ESP) on the molecular vdW surface of WS-biochar doped asphalt molecules</w:t>
        </w:r>
        <w:r>
          <w:rPr>
            <w:noProof/>
            <w:webHidden/>
          </w:rPr>
          <w:tab/>
          <w:t>S</w:t>
        </w:r>
        <w:r>
          <w:rPr>
            <w:noProof/>
            <w:webHidden/>
          </w:rPr>
          <w:fldChar w:fldCharType="begin"/>
        </w:r>
        <w:r>
          <w:rPr>
            <w:noProof/>
            <w:webHidden/>
          </w:rPr>
          <w:instrText xml:space="preserve"> PAGEREF _Toc224215284 \h </w:instrText>
        </w:r>
        <w:r>
          <w:rPr>
            <w:noProof/>
            <w:webHidden/>
          </w:rPr>
        </w:r>
        <w:r>
          <w:rPr>
            <w:noProof/>
            <w:webHidden/>
          </w:rPr>
          <w:fldChar w:fldCharType="separate"/>
        </w:r>
        <w:r>
          <w:rPr>
            <w:noProof/>
            <w:webHidden/>
          </w:rPr>
          <w:t>9</w:t>
        </w:r>
        <w:r>
          <w:rPr>
            <w:noProof/>
            <w:webHidden/>
          </w:rPr>
          <w:fldChar w:fldCharType="end"/>
        </w:r>
      </w:hyperlink>
    </w:p>
    <w:p w14:paraId="04295470" w14:textId="3E88CB88" w:rsidR="006959DB" w:rsidRDefault="006959DB">
      <w:pPr>
        <w:pStyle w:val="TOC1"/>
        <w:tabs>
          <w:tab w:val="right" w:leader="dot" w:pos="8296"/>
        </w:tabs>
        <w:rPr>
          <w:noProof/>
        </w:rPr>
      </w:pPr>
      <w:hyperlink w:anchor="_Toc224215285" w:history="1">
        <w:r w:rsidRPr="00C500D5">
          <w:rPr>
            <w:rStyle w:val="Hyperlink"/>
            <w:rFonts w:ascii="Times New Roman" w:hAnsi="Times New Roman" w:cs="Times New Roman"/>
            <w:b/>
            <w:bCs/>
            <w:noProof/>
          </w:rPr>
          <w:t>Fig. S7.</w:t>
        </w:r>
        <w:r w:rsidRPr="00C500D5">
          <w:rPr>
            <w:rStyle w:val="Hyperlink"/>
            <w:rFonts w:ascii="Times New Roman" w:hAnsi="Times New Roman" w:cs="Times New Roman"/>
            <w:noProof/>
          </w:rPr>
          <w:t xml:space="preserve"> Molecular orbital energies and calculated HOMO-LUMO energy gap of twelve asphalt molecules</w:t>
        </w:r>
        <w:r>
          <w:rPr>
            <w:noProof/>
            <w:webHidden/>
          </w:rPr>
          <w:tab/>
          <w:t>S</w:t>
        </w:r>
        <w:r>
          <w:rPr>
            <w:noProof/>
            <w:webHidden/>
          </w:rPr>
          <w:fldChar w:fldCharType="begin"/>
        </w:r>
        <w:r>
          <w:rPr>
            <w:noProof/>
            <w:webHidden/>
          </w:rPr>
          <w:instrText xml:space="preserve"> PAGEREF _Toc224215285 \h </w:instrText>
        </w:r>
        <w:r>
          <w:rPr>
            <w:noProof/>
            <w:webHidden/>
          </w:rPr>
        </w:r>
        <w:r>
          <w:rPr>
            <w:noProof/>
            <w:webHidden/>
          </w:rPr>
          <w:fldChar w:fldCharType="separate"/>
        </w:r>
        <w:r>
          <w:rPr>
            <w:noProof/>
            <w:webHidden/>
          </w:rPr>
          <w:t>10</w:t>
        </w:r>
        <w:r>
          <w:rPr>
            <w:noProof/>
            <w:webHidden/>
          </w:rPr>
          <w:fldChar w:fldCharType="end"/>
        </w:r>
      </w:hyperlink>
    </w:p>
    <w:p w14:paraId="40990110" w14:textId="20F4E2F2" w:rsidR="006959DB" w:rsidRDefault="006959DB">
      <w:pPr>
        <w:pStyle w:val="TOC1"/>
        <w:tabs>
          <w:tab w:val="right" w:leader="dot" w:pos="8296"/>
        </w:tabs>
        <w:rPr>
          <w:noProof/>
        </w:rPr>
      </w:pPr>
      <w:hyperlink w:anchor="_Toc224215286" w:history="1">
        <w:r w:rsidRPr="00C500D5">
          <w:rPr>
            <w:rStyle w:val="Hyperlink"/>
            <w:rFonts w:ascii="Times New Roman" w:hAnsi="Times New Roman" w:cs="Times New Roman"/>
            <w:b/>
            <w:bCs/>
            <w:noProof/>
          </w:rPr>
          <w:t>Fig. S8.</w:t>
        </w:r>
        <w:r w:rsidRPr="00C500D5">
          <w:rPr>
            <w:rStyle w:val="Hyperlink"/>
            <w:rFonts w:ascii="Times New Roman" w:hAnsi="Times New Roman" w:cs="Times New Roman"/>
            <w:noProof/>
          </w:rPr>
          <w:t xml:space="preserve"> Molecular orbital energies and calculated HOMO-LUMO energy gap of WS-biochar doped asphalt systems</w:t>
        </w:r>
        <w:r>
          <w:rPr>
            <w:noProof/>
            <w:webHidden/>
          </w:rPr>
          <w:tab/>
          <w:t>S</w:t>
        </w:r>
        <w:r>
          <w:rPr>
            <w:noProof/>
            <w:webHidden/>
          </w:rPr>
          <w:fldChar w:fldCharType="begin"/>
        </w:r>
        <w:r>
          <w:rPr>
            <w:noProof/>
            <w:webHidden/>
          </w:rPr>
          <w:instrText xml:space="preserve"> PAGEREF _Toc224215286 \h </w:instrText>
        </w:r>
        <w:r>
          <w:rPr>
            <w:noProof/>
            <w:webHidden/>
          </w:rPr>
        </w:r>
        <w:r>
          <w:rPr>
            <w:noProof/>
            <w:webHidden/>
          </w:rPr>
          <w:fldChar w:fldCharType="separate"/>
        </w:r>
        <w:r>
          <w:rPr>
            <w:noProof/>
            <w:webHidden/>
          </w:rPr>
          <w:t>11</w:t>
        </w:r>
        <w:r>
          <w:rPr>
            <w:noProof/>
            <w:webHidden/>
          </w:rPr>
          <w:fldChar w:fldCharType="end"/>
        </w:r>
      </w:hyperlink>
    </w:p>
    <w:p w14:paraId="48CA9B61" w14:textId="6DB31CC7" w:rsidR="006959DB" w:rsidRDefault="006959DB">
      <w:pPr>
        <w:pStyle w:val="TOC1"/>
        <w:tabs>
          <w:tab w:val="right" w:leader="dot" w:pos="8296"/>
        </w:tabs>
        <w:rPr>
          <w:noProof/>
        </w:rPr>
      </w:pPr>
      <w:hyperlink w:anchor="_Toc224215287" w:history="1">
        <w:r w:rsidRPr="00C500D5">
          <w:rPr>
            <w:rStyle w:val="Hyperlink"/>
            <w:rFonts w:ascii="Times New Roman" w:hAnsi="Times New Roman" w:cs="Times New Roman"/>
            <w:b/>
            <w:bCs/>
            <w:noProof/>
          </w:rPr>
          <w:t>Fig. S9.</w:t>
        </w:r>
        <w:r w:rsidRPr="00C500D5">
          <w:rPr>
            <w:rStyle w:val="Hyperlink"/>
            <w:rFonts w:ascii="Times New Roman" w:hAnsi="Times New Roman" w:cs="Times New Roman"/>
            <w:noProof/>
          </w:rPr>
          <w:t xml:space="preserve"> Optimized geometries of WS-biochar-doped asphalt systems</w:t>
        </w:r>
        <w:r>
          <w:rPr>
            <w:noProof/>
            <w:webHidden/>
          </w:rPr>
          <w:tab/>
          <w:t>S</w:t>
        </w:r>
        <w:r>
          <w:rPr>
            <w:noProof/>
            <w:webHidden/>
          </w:rPr>
          <w:fldChar w:fldCharType="begin"/>
        </w:r>
        <w:r>
          <w:rPr>
            <w:noProof/>
            <w:webHidden/>
          </w:rPr>
          <w:instrText xml:space="preserve"> PAGEREF _Toc224215287 \h </w:instrText>
        </w:r>
        <w:r>
          <w:rPr>
            <w:noProof/>
            <w:webHidden/>
          </w:rPr>
        </w:r>
        <w:r>
          <w:rPr>
            <w:noProof/>
            <w:webHidden/>
          </w:rPr>
          <w:fldChar w:fldCharType="separate"/>
        </w:r>
        <w:r>
          <w:rPr>
            <w:noProof/>
            <w:webHidden/>
          </w:rPr>
          <w:t>12</w:t>
        </w:r>
        <w:r>
          <w:rPr>
            <w:noProof/>
            <w:webHidden/>
          </w:rPr>
          <w:fldChar w:fldCharType="end"/>
        </w:r>
      </w:hyperlink>
    </w:p>
    <w:p w14:paraId="1FB7A68A" w14:textId="0B63E759" w:rsidR="006959DB" w:rsidRDefault="006959DB">
      <w:pPr>
        <w:pStyle w:val="TOC1"/>
        <w:tabs>
          <w:tab w:val="right" w:leader="dot" w:pos="8296"/>
        </w:tabs>
        <w:rPr>
          <w:noProof/>
        </w:rPr>
      </w:pPr>
      <w:hyperlink w:anchor="_Toc224215288" w:history="1">
        <w:r w:rsidRPr="00C500D5">
          <w:rPr>
            <w:rStyle w:val="Hyperlink"/>
            <w:rFonts w:ascii="Times New Roman" w:hAnsi="Times New Roman" w:cs="Times New Roman"/>
            <w:b/>
            <w:bCs/>
            <w:noProof/>
          </w:rPr>
          <w:t>Table S1.</w:t>
        </w:r>
        <w:r w:rsidRPr="00C500D5">
          <w:rPr>
            <w:rStyle w:val="Hyperlink"/>
            <w:rFonts w:ascii="Times New Roman" w:hAnsi="Times New Roman" w:cs="Times New Roman"/>
            <w:noProof/>
          </w:rPr>
          <w:t xml:space="preserve"> Physical and chemical properties of biochar sample before grinding</w:t>
        </w:r>
        <w:r>
          <w:rPr>
            <w:noProof/>
            <w:webHidden/>
          </w:rPr>
          <w:tab/>
          <w:t>S</w:t>
        </w:r>
        <w:r>
          <w:rPr>
            <w:noProof/>
            <w:webHidden/>
          </w:rPr>
          <w:fldChar w:fldCharType="begin"/>
        </w:r>
        <w:r>
          <w:rPr>
            <w:noProof/>
            <w:webHidden/>
          </w:rPr>
          <w:instrText xml:space="preserve"> PAGEREF _Toc224215288 \h </w:instrText>
        </w:r>
        <w:r>
          <w:rPr>
            <w:noProof/>
            <w:webHidden/>
          </w:rPr>
        </w:r>
        <w:r>
          <w:rPr>
            <w:noProof/>
            <w:webHidden/>
          </w:rPr>
          <w:fldChar w:fldCharType="separate"/>
        </w:r>
        <w:r>
          <w:rPr>
            <w:noProof/>
            <w:webHidden/>
          </w:rPr>
          <w:t>13</w:t>
        </w:r>
        <w:r>
          <w:rPr>
            <w:noProof/>
            <w:webHidden/>
          </w:rPr>
          <w:fldChar w:fldCharType="end"/>
        </w:r>
      </w:hyperlink>
    </w:p>
    <w:p w14:paraId="637CCEDA" w14:textId="12AEE7C6" w:rsidR="006959DB" w:rsidRDefault="006959DB">
      <w:pPr>
        <w:pStyle w:val="TOC1"/>
        <w:tabs>
          <w:tab w:val="right" w:leader="dot" w:pos="8296"/>
        </w:tabs>
        <w:rPr>
          <w:noProof/>
        </w:rPr>
      </w:pPr>
      <w:hyperlink w:anchor="_Toc224215289" w:history="1">
        <w:r w:rsidRPr="00C500D5">
          <w:rPr>
            <w:rStyle w:val="Hyperlink"/>
            <w:rFonts w:ascii="Times New Roman" w:hAnsi="Times New Roman" w:cs="Times New Roman"/>
            <w:b/>
            <w:bCs/>
            <w:noProof/>
          </w:rPr>
          <w:t>Table S2.</w:t>
        </w:r>
        <w:r w:rsidRPr="00C500D5">
          <w:rPr>
            <w:rStyle w:val="Hyperlink"/>
            <w:rFonts w:ascii="Times New Roman" w:hAnsi="Times New Roman" w:cs="Times New Roman"/>
            <w:noProof/>
          </w:rPr>
          <w:t xml:space="preserve"> The X-ray photoelectron spectroscopy (XPS) analysis on element compositions of the WS-Biochar</w:t>
        </w:r>
        <w:r>
          <w:rPr>
            <w:noProof/>
            <w:webHidden/>
          </w:rPr>
          <w:tab/>
          <w:t>S</w:t>
        </w:r>
        <w:r>
          <w:rPr>
            <w:noProof/>
            <w:webHidden/>
          </w:rPr>
          <w:fldChar w:fldCharType="begin"/>
        </w:r>
        <w:r>
          <w:rPr>
            <w:noProof/>
            <w:webHidden/>
          </w:rPr>
          <w:instrText xml:space="preserve"> PAGEREF _Toc224215289 \h </w:instrText>
        </w:r>
        <w:r>
          <w:rPr>
            <w:noProof/>
            <w:webHidden/>
          </w:rPr>
        </w:r>
        <w:r>
          <w:rPr>
            <w:noProof/>
            <w:webHidden/>
          </w:rPr>
          <w:fldChar w:fldCharType="separate"/>
        </w:r>
        <w:r>
          <w:rPr>
            <w:noProof/>
            <w:webHidden/>
          </w:rPr>
          <w:t>14</w:t>
        </w:r>
        <w:r>
          <w:rPr>
            <w:noProof/>
            <w:webHidden/>
          </w:rPr>
          <w:fldChar w:fldCharType="end"/>
        </w:r>
      </w:hyperlink>
    </w:p>
    <w:p w14:paraId="46186F6A" w14:textId="5AFE515F" w:rsidR="006959DB" w:rsidRDefault="006959DB">
      <w:pPr>
        <w:pStyle w:val="TOC1"/>
        <w:tabs>
          <w:tab w:val="right" w:leader="dot" w:pos="8296"/>
        </w:tabs>
        <w:rPr>
          <w:noProof/>
        </w:rPr>
      </w:pPr>
      <w:hyperlink w:anchor="_Toc224215290" w:history="1">
        <w:r w:rsidRPr="00C500D5">
          <w:rPr>
            <w:rStyle w:val="Hyperlink"/>
            <w:rFonts w:ascii="Times New Roman" w:hAnsi="Times New Roman" w:cs="Times New Roman"/>
            <w:b/>
            <w:bCs/>
            <w:noProof/>
          </w:rPr>
          <w:t>Table S3.</w:t>
        </w:r>
        <w:r w:rsidRPr="00C500D5">
          <w:rPr>
            <w:rStyle w:val="Hyperlink"/>
            <w:rFonts w:ascii="Times New Roman" w:hAnsi="Times New Roman" w:cs="Times New Roman"/>
            <w:noProof/>
          </w:rPr>
          <w:t xml:space="preserve"> The X-ray photoelectron spectroscopy (XPS) analysis on C1s and O1s of the WS-Biochar</w:t>
        </w:r>
        <w:r>
          <w:rPr>
            <w:noProof/>
            <w:webHidden/>
          </w:rPr>
          <w:tab/>
          <w:t>S</w:t>
        </w:r>
        <w:r>
          <w:rPr>
            <w:noProof/>
            <w:webHidden/>
          </w:rPr>
          <w:fldChar w:fldCharType="begin"/>
        </w:r>
        <w:r>
          <w:rPr>
            <w:noProof/>
            <w:webHidden/>
          </w:rPr>
          <w:instrText xml:space="preserve"> PAGEREF _Toc224215290 \h </w:instrText>
        </w:r>
        <w:r>
          <w:rPr>
            <w:noProof/>
            <w:webHidden/>
          </w:rPr>
        </w:r>
        <w:r>
          <w:rPr>
            <w:noProof/>
            <w:webHidden/>
          </w:rPr>
          <w:fldChar w:fldCharType="separate"/>
        </w:r>
        <w:r>
          <w:rPr>
            <w:noProof/>
            <w:webHidden/>
          </w:rPr>
          <w:t>15</w:t>
        </w:r>
        <w:r>
          <w:rPr>
            <w:noProof/>
            <w:webHidden/>
          </w:rPr>
          <w:fldChar w:fldCharType="end"/>
        </w:r>
      </w:hyperlink>
    </w:p>
    <w:p w14:paraId="327716C4" w14:textId="69849D6C" w:rsidR="006959DB" w:rsidRDefault="006959DB">
      <w:pPr>
        <w:pStyle w:val="TOC1"/>
        <w:tabs>
          <w:tab w:val="right" w:leader="dot" w:pos="8296"/>
        </w:tabs>
        <w:rPr>
          <w:noProof/>
        </w:rPr>
      </w:pPr>
      <w:hyperlink w:anchor="_Toc224215291" w:history="1">
        <w:r w:rsidRPr="00C500D5">
          <w:rPr>
            <w:rStyle w:val="Hyperlink"/>
            <w:rFonts w:ascii="Times New Roman" w:hAnsi="Times New Roman" w:cs="Times New Roman"/>
            <w:b/>
            <w:bCs/>
            <w:noProof/>
          </w:rPr>
          <w:t>Table S4</w:t>
        </w:r>
        <w:r w:rsidRPr="00C500D5">
          <w:rPr>
            <w:rStyle w:val="Hyperlink"/>
            <w:rFonts w:ascii="Times New Roman" w:hAnsi="Times New Roman" w:cs="Times New Roman"/>
            <w:noProof/>
          </w:rPr>
          <w:t>. Summary of WS-biochar Model Features.</w:t>
        </w:r>
        <w:r>
          <w:rPr>
            <w:noProof/>
            <w:webHidden/>
          </w:rPr>
          <w:tab/>
          <w:t>S</w:t>
        </w:r>
        <w:r>
          <w:rPr>
            <w:noProof/>
            <w:webHidden/>
          </w:rPr>
          <w:fldChar w:fldCharType="begin"/>
        </w:r>
        <w:r>
          <w:rPr>
            <w:noProof/>
            <w:webHidden/>
          </w:rPr>
          <w:instrText xml:space="preserve"> PAGEREF _Toc224215291 \h </w:instrText>
        </w:r>
        <w:r>
          <w:rPr>
            <w:noProof/>
            <w:webHidden/>
          </w:rPr>
        </w:r>
        <w:r>
          <w:rPr>
            <w:noProof/>
            <w:webHidden/>
          </w:rPr>
          <w:fldChar w:fldCharType="separate"/>
        </w:r>
        <w:r>
          <w:rPr>
            <w:noProof/>
            <w:webHidden/>
          </w:rPr>
          <w:t>16</w:t>
        </w:r>
        <w:r>
          <w:rPr>
            <w:noProof/>
            <w:webHidden/>
          </w:rPr>
          <w:fldChar w:fldCharType="end"/>
        </w:r>
      </w:hyperlink>
    </w:p>
    <w:p w14:paraId="1DB12E34" w14:textId="1F98385D" w:rsidR="006959DB" w:rsidRDefault="006959DB">
      <w:pPr>
        <w:pStyle w:val="TOC1"/>
        <w:tabs>
          <w:tab w:val="right" w:leader="dot" w:pos="8296"/>
        </w:tabs>
        <w:rPr>
          <w:noProof/>
        </w:rPr>
      </w:pPr>
      <w:hyperlink w:anchor="_Toc224215292" w:history="1">
        <w:r w:rsidRPr="00C500D5">
          <w:rPr>
            <w:rStyle w:val="Hyperlink"/>
            <w:rFonts w:ascii="Times New Roman" w:hAnsi="Times New Roman" w:cs="Times New Roman"/>
            <w:b/>
            <w:bCs/>
            <w:noProof/>
          </w:rPr>
          <w:t>Table S5.</w:t>
        </w:r>
        <w:r w:rsidRPr="00C500D5">
          <w:rPr>
            <w:rStyle w:val="Hyperlink"/>
            <w:rFonts w:ascii="Times New Roman" w:hAnsi="Times New Roman" w:cs="Times New Roman"/>
            <w:noProof/>
          </w:rPr>
          <w:t xml:space="preserve"> The full-width-at-half-maximum (FWHM) values of the X-ray diffraction (XRD) C(002) peak and calculated dislocation densities for all the samples of biochar doped asphalt</w:t>
        </w:r>
        <w:r>
          <w:rPr>
            <w:noProof/>
            <w:webHidden/>
          </w:rPr>
          <w:tab/>
          <w:t>S</w:t>
        </w:r>
        <w:r>
          <w:rPr>
            <w:noProof/>
            <w:webHidden/>
          </w:rPr>
          <w:fldChar w:fldCharType="begin"/>
        </w:r>
        <w:r>
          <w:rPr>
            <w:noProof/>
            <w:webHidden/>
          </w:rPr>
          <w:instrText xml:space="preserve"> PAGEREF _Toc224215292 \h </w:instrText>
        </w:r>
        <w:r>
          <w:rPr>
            <w:noProof/>
            <w:webHidden/>
          </w:rPr>
        </w:r>
        <w:r>
          <w:rPr>
            <w:noProof/>
            <w:webHidden/>
          </w:rPr>
          <w:fldChar w:fldCharType="separate"/>
        </w:r>
        <w:r>
          <w:rPr>
            <w:noProof/>
            <w:webHidden/>
          </w:rPr>
          <w:t>17</w:t>
        </w:r>
        <w:r>
          <w:rPr>
            <w:noProof/>
            <w:webHidden/>
          </w:rPr>
          <w:fldChar w:fldCharType="end"/>
        </w:r>
      </w:hyperlink>
    </w:p>
    <w:p w14:paraId="314641EE" w14:textId="2DB7127D" w:rsidR="006959DB" w:rsidRDefault="006959DB">
      <w:pPr>
        <w:pStyle w:val="TOC1"/>
        <w:tabs>
          <w:tab w:val="right" w:leader="dot" w:pos="8296"/>
        </w:tabs>
        <w:rPr>
          <w:noProof/>
        </w:rPr>
      </w:pPr>
      <w:hyperlink w:anchor="_Toc224215293" w:history="1">
        <w:r w:rsidRPr="00C500D5">
          <w:rPr>
            <w:rStyle w:val="Hyperlink"/>
            <w:rFonts w:ascii="Times New Roman" w:hAnsi="Times New Roman" w:cs="Times New Roman"/>
            <w:b/>
            <w:bCs/>
            <w:noProof/>
          </w:rPr>
          <w:t>Table. S6.</w:t>
        </w:r>
        <w:r w:rsidRPr="00C500D5">
          <w:rPr>
            <w:rStyle w:val="Hyperlink"/>
            <w:rFonts w:ascii="Times New Roman" w:hAnsi="Times New Roman" w:cs="Times New Roman"/>
            <w:noProof/>
          </w:rPr>
          <w:t xml:space="preserve"> Statistical analysis of mechanical properties and coefficient of variation for all the samples of biochar doped asphalt</w:t>
        </w:r>
        <w:r>
          <w:rPr>
            <w:noProof/>
            <w:webHidden/>
          </w:rPr>
          <w:tab/>
          <w:t>S</w:t>
        </w:r>
        <w:r>
          <w:rPr>
            <w:noProof/>
            <w:webHidden/>
          </w:rPr>
          <w:fldChar w:fldCharType="begin"/>
        </w:r>
        <w:r>
          <w:rPr>
            <w:noProof/>
            <w:webHidden/>
          </w:rPr>
          <w:instrText xml:space="preserve"> PAGEREF _Toc224215293 \h </w:instrText>
        </w:r>
        <w:r>
          <w:rPr>
            <w:noProof/>
            <w:webHidden/>
          </w:rPr>
        </w:r>
        <w:r>
          <w:rPr>
            <w:noProof/>
            <w:webHidden/>
          </w:rPr>
          <w:fldChar w:fldCharType="separate"/>
        </w:r>
        <w:r>
          <w:rPr>
            <w:noProof/>
            <w:webHidden/>
          </w:rPr>
          <w:t>18</w:t>
        </w:r>
        <w:r>
          <w:rPr>
            <w:noProof/>
            <w:webHidden/>
          </w:rPr>
          <w:fldChar w:fldCharType="end"/>
        </w:r>
      </w:hyperlink>
    </w:p>
    <w:p w14:paraId="6F5C1469" w14:textId="634D22EB" w:rsidR="006959DB" w:rsidRDefault="006959DB">
      <w:pPr>
        <w:pStyle w:val="TOC1"/>
        <w:tabs>
          <w:tab w:val="right" w:leader="dot" w:pos="8296"/>
        </w:tabs>
        <w:rPr>
          <w:noProof/>
        </w:rPr>
      </w:pPr>
      <w:hyperlink w:anchor="_Toc224215294" w:history="1">
        <w:r w:rsidRPr="00C500D5">
          <w:rPr>
            <w:rStyle w:val="Hyperlink"/>
            <w:rFonts w:ascii="Times New Roman" w:hAnsi="Times New Roman" w:cs="Times New Roman"/>
            <w:b/>
            <w:bCs/>
            <w:noProof/>
          </w:rPr>
          <w:t>Table. S7.</w:t>
        </w:r>
        <w:r w:rsidRPr="00C500D5">
          <w:rPr>
            <w:rStyle w:val="Hyperlink"/>
            <w:rFonts w:ascii="Times New Roman" w:hAnsi="Times New Roman" w:cs="Times New Roman"/>
            <w:noProof/>
          </w:rPr>
          <w:t xml:space="preserve"> Statistical analysis of mechanical properties of the microstructures for all the samples of biochar doped asphalt</w:t>
        </w:r>
        <w:r>
          <w:rPr>
            <w:noProof/>
            <w:webHidden/>
          </w:rPr>
          <w:tab/>
          <w:t>S</w:t>
        </w:r>
        <w:r>
          <w:rPr>
            <w:noProof/>
            <w:webHidden/>
          </w:rPr>
          <w:fldChar w:fldCharType="begin"/>
        </w:r>
        <w:r>
          <w:rPr>
            <w:noProof/>
            <w:webHidden/>
          </w:rPr>
          <w:instrText xml:space="preserve"> PAGEREF _Toc224215294 \h </w:instrText>
        </w:r>
        <w:r>
          <w:rPr>
            <w:noProof/>
            <w:webHidden/>
          </w:rPr>
        </w:r>
        <w:r>
          <w:rPr>
            <w:noProof/>
            <w:webHidden/>
          </w:rPr>
          <w:fldChar w:fldCharType="separate"/>
        </w:r>
        <w:r>
          <w:rPr>
            <w:noProof/>
            <w:webHidden/>
          </w:rPr>
          <w:t>19</w:t>
        </w:r>
        <w:r>
          <w:rPr>
            <w:noProof/>
            <w:webHidden/>
          </w:rPr>
          <w:fldChar w:fldCharType="end"/>
        </w:r>
      </w:hyperlink>
    </w:p>
    <w:p w14:paraId="3A87EEE4" w14:textId="21418596" w:rsidR="006959DB" w:rsidRDefault="006959DB">
      <w:pPr>
        <w:pStyle w:val="TOC1"/>
        <w:tabs>
          <w:tab w:val="right" w:leader="dot" w:pos="8296"/>
        </w:tabs>
        <w:rPr>
          <w:noProof/>
        </w:rPr>
      </w:pPr>
      <w:hyperlink w:anchor="_Toc224215295" w:history="1">
        <w:r w:rsidRPr="00C500D5">
          <w:rPr>
            <w:rStyle w:val="Hyperlink"/>
            <w:rFonts w:ascii="Times New Roman" w:hAnsi="Times New Roman" w:cs="Times New Roman"/>
            <w:b/>
            <w:bCs/>
            <w:noProof/>
          </w:rPr>
          <w:t>Table. S8.</w:t>
        </w:r>
        <w:r w:rsidRPr="00C500D5">
          <w:rPr>
            <w:rStyle w:val="Hyperlink"/>
            <w:rFonts w:ascii="Times New Roman" w:hAnsi="Times New Roman" w:cs="Times New Roman"/>
            <w:noProof/>
          </w:rPr>
          <w:t xml:space="preserve"> Mechanical properties’ coefficient of variation (CV) of the microstructures for all the samples of biochar doped asphalt</w:t>
        </w:r>
        <w:r>
          <w:rPr>
            <w:noProof/>
            <w:webHidden/>
          </w:rPr>
          <w:tab/>
          <w:t>S</w:t>
        </w:r>
        <w:r>
          <w:rPr>
            <w:noProof/>
            <w:webHidden/>
          </w:rPr>
          <w:fldChar w:fldCharType="begin"/>
        </w:r>
        <w:r>
          <w:rPr>
            <w:noProof/>
            <w:webHidden/>
          </w:rPr>
          <w:instrText xml:space="preserve"> PAGEREF _Toc224215295 \h </w:instrText>
        </w:r>
        <w:r>
          <w:rPr>
            <w:noProof/>
            <w:webHidden/>
          </w:rPr>
        </w:r>
        <w:r>
          <w:rPr>
            <w:noProof/>
            <w:webHidden/>
          </w:rPr>
          <w:fldChar w:fldCharType="separate"/>
        </w:r>
        <w:r>
          <w:rPr>
            <w:noProof/>
            <w:webHidden/>
          </w:rPr>
          <w:t>20</w:t>
        </w:r>
        <w:r>
          <w:rPr>
            <w:noProof/>
            <w:webHidden/>
          </w:rPr>
          <w:fldChar w:fldCharType="end"/>
        </w:r>
      </w:hyperlink>
    </w:p>
    <w:p w14:paraId="0BE46624" w14:textId="69AE9AC4" w:rsidR="006959DB" w:rsidRDefault="006959DB">
      <w:pPr>
        <w:pStyle w:val="TOC1"/>
        <w:tabs>
          <w:tab w:val="right" w:leader="dot" w:pos="8296"/>
        </w:tabs>
        <w:rPr>
          <w:noProof/>
        </w:rPr>
      </w:pPr>
      <w:hyperlink w:anchor="_Toc224215296" w:history="1">
        <w:r w:rsidRPr="00C500D5">
          <w:rPr>
            <w:rStyle w:val="Hyperlink"/>
            <w:rFonts w:ascii="Times New Roman" w:hAnsi="Times New Roman" w:cs="Times New Roman"/>
            <w:b/>
            <w:bCs/>
            <w:noProof/>
          </w:rPr>
          <w:t>Table S9.</w:t>
        </w:r>
        <w:r w:rsidRPr="00C500D5">
          <w:rPr>
            <w:rStyle w:val="Hyperlink"/>
            <w:rFonts w:ascii="Times New Roman" w:hAnsi="Times New Roman" w:cs="Times New Roman"/>
            <w:noProof/>
          </w:rPr>
          <w:t xml:space="preserve"> HOMO-LUMO energy gaps of twelve asphalt molecules and their corresponding WS-biochar-asphalt complexes calculated by DFT</w:t>
        </w:r>
        <w:r>
          <w:rPr>
            <w:noProof/>
            <w:webHidden/>
          </w:rPr>
          <w:tab/>
          <w:t>S</w:t>
        </w:r>
        <w:r>
          <w:rPr>
            <w:noProof/>
            <w:webHidden/>
          </w:rPr>
          <w:fldChar w:fldCharType="begin"/>
        </w:r>
        <w:r>
          <w:rPr>
            <w:noProof/>
            <w:webHidden/>
          </w:rPr>
          <w:instrText xml:space="preserve"> PAGEREF _Toc224215296 \h </w:instrText>
        </w:r>
        <w:r>
          <w:rPr>
            <w:noProof/>
            <w:webHidden/>
          </w:rPr>
        </w:r>
        <w:r>
          <w:rPr>
            <w:noProof/>
            <w:webHidden/>
          </w:rPr>
          <w:fldChar w:fldCharType="separate"/>
        </w:r>
        <w:r>
          <w:rPr>
            <w:noProof/>
            <w:webHidden/>
          </w:rPr>
          <w:t>21</w:t>
        </w:r>
        <w:r>
          <w:rPr>
            <w:noProof/>
            <w:webHidden/>
          </w:rPr>
          <w:fldChar w:fldCharType="end"/>
        </w:r>
      </w:hyperlink>
    </w:p>
    <w:p w14:paraId="542F273A" w14:textId="6A7431C9" w:rsidR="006959DB" w:rsidRDefault="006959DB">
      <w:pPr>
        <w:pStyle w:val="TOC1"/>
        <w:tabs>
          <w:tab w:val="right" w:leader="dot" w:pos="8296"/>
        </w:tabs>
        <w:rPr>
          <w:noProof/>
        </w:rPr>
      </w:pPr>
      <w:hyperlink w:anchor="_Toc224215297" w:history="1">
        <w:r w:rsidRPr="00C500D5">
          <w:rPr>
            <w:rStyle w:val="Hyperlink"/>
            <w:rFonts w:ascii="Times New Roman" w:hAnsi="Times New Roman" w:cs="Times New Roman"/>
            <w:b/>
            <w:bCs/>
            <w:noProof/>
          </w:rPr>
          <w:t>Table S10.</w:t>
        </w:r>
        <w:r w:rsidRPr="00C500D5">
          <w:rPr>
            <w:rStyle w:val="Hyperlink"/>
            <w:rFonts w:ascii="Times New Roman" w:hAnsi="Times New Roman" w:cs="Times New Roman"/>
            <w:noProof/>
          </w:rPr>
          <w:t xml:space="preserve"> Calculated dipole moments of representative asphalt molecules and their corresponding WS-biochar-asphalt complexes obtained from DFT calculations</w:t>
        </w:r>
        <w:r>
          <w:rPr>
            <w:noProof/>
            <w:webHidden/>
          </w:rPr>
          <w:tab/>
          <w:t>S</w:t>
        </w:r>
        <w:r>
          <w:rPr>
            <w:noProof/>
            <w:webHidden/>
          </w:rPr>
          <w:fldChar w:fldCharType="begin"/>
        </w:r>
        <w:r>
          <w:rPr>
            <w:noProof/>
            <w:webHidden/>
          </w:rPr>
          <w:instrText xml:space="preserve"> PAGEREF _Toc224215297 \h </w:instrText>
        </w:r>
        <w:r>
          <w:rPr>
            <w:noProof/>
            <w:webHidden/>
          </w:rPr>
        </w:r>
        <w:r>
          <w:rPr>
            <w:noProof/>
            <w:webHidden/>
          </w:rPr>
          <w:fldChar w:fldCharType="separate"/>
        </w:r>
        <w:r>
          <w:rPr>
            <w:noProof/>
            <w:webHidden/>
          </w:rPr>
          <w:t>22</w:t>
        </w:r>
        <w:r>
          <w:rPr>
            <w:noProof/>
            <w:webHidden/>
          </w:rPr>
          <w:fldChar w:fldCharType="end"/>
        </w:r>
      </w:hyperlink>
    </w:p>
    <w:p w14:paraId="21D32B48" w14:textId="3000C618" w:rsidR="004503FB" w:rsidRDefault="004503FB" w:rsidP="00903C80">
      <w:pPr>
        <w:spacing w:after="0" w:line="480" w:lineRule="auto"/>
        <w:rPr>
          <w:rFonts w:ascii="Times New Roman" w:hAnsi="Times New Roman"/>
        </w:rPr>
      </w:pPr>
      <w:r w:rsidRPr="0028017A">
        <w:rPr>
          <w:rFonts w:ascii="Times New Roman" w:hAnsi="Times New Roman" w:cs="Times New Roman"/>
        </w:rPr>
        <w:fldChar w:fldCharType="end"/>
      </w:r>
    </w:p>
    <w:p w14:paraId="0A4BCCDE" w14:textId="77777777" w:rsidR="004503FB" w:rsidRDefault="004503FB" w:rsidP="00903C80">
      <w:pPr>
        <w:spacing w:after="0" w:line="480" w:lineRule="auto"/>
        <w:rPr>
          <w:rFonts w:ascii="Times New Roman" w:hAnsi="Times New Roman"/>
        </w:rPr>
      </w:pPr>
    </w:p>
    <w:p w14:paraId="459FE114" w14:textId="77777777" w:rsidR="004503FB" w:rsidRDefault="004503FB">
      <w:pPr>
        <w:rPr>
          <w:rFonts w:ascii="Times New Roman" w:hAnsi="Times New Roman"/>
        </w:rPr>
      </w:pPr>
    </w:p>
    <w:p w14:paraId="5BE3EF78" w14:textId="77777777" w:rsidR="004A3998" w:rsidRDefault="004A3998">
      <w:pPr>
        <w:rPr>
          <w:rFonts w:ascii="Times New Roman" w:hAnsi="Times New Roman"/>
        </w:rPr>
      </w:pPr>
    </w:p>
    <w:p w14:paraId="48E52A26" w14:textId="77777777" w:rsidR="004A3998" w:rsidRDefault="004A3998">
      <w:pPr>
        <w:rPr>
          <w:rFonts w:ascii="Times New Roman" w:hAnsi="Times New Roman"/>
        </w:rPr>
      </w:pPr>
    </w:p>
    <w:p w14:paraId="746579BF" w14:textId="77777777" w:rsidR="004A3998" w:rsidRDefault="004A3998">
      <w:pPr>
        <w:rPr>
          <w:rFonts w:ascii="Times New Roman" w:hAnsi="Times New Roman"/>
        </w:rPr>
      </w:pPr>
    </w:p>
    <w:p w14:paraId="3BA978EE" w14:textId="77777777" w:rsidR="004A3998" w:rsidRDefault="004A3998">
      <w:pPr>
        <w:rPr>
          <w:rFonts w:ascii="Times New Roman" w:hAnsi="Times New Roman"/>
        </w:rPr>
      </w:pPr>
    </w:p>
    <w:p w14:paraId="2D92C0AA" w14:textId="77777777" w:rsidR="004A3998" w:rsidRDefault="004A3998">
      <w:pPr>
        <w:rPr>
          <w:rFonts w:ascii="Times New Roman" w:hAnsi="Times New Roman"/>
        </w:rPr>
      </w:pPr>
    </w:p>
    <w:p w14:paraId="03AEDC0F" w14:textId="77777777" w:rsidR="004A3998" w:rsidRDefault="004A3998">
      <w:pPr>
        <w:rPr>
          <w:rFonts w:ascii="Times New Roman" w:hAnsi="Times New Roman"/>
        </w:rPr>
      </w:pPr>
    </w:p>
    <w:p w14:paraId="4663D13D" w14:textId="77777777" w:rsidR="004A3998" w:rsidRDefault="004A3998">
      <w:pPr>
        <w:rPr>
          <w:rFonts w:ascii="Times New Roman" w:hAnsi="Times New Roman"/>
        </w:rPr>
      </w:pPr>
    </w:p>
    <w:p w14:paraId="1961BC93" w14:textId="77777777" w:rsidR="004A3998" w:rsidRDefault="004A3998">
      <w:pPr>
        <w:rPr>
          <w:rFonts w:ascii="Times New Roman" w:hAnsi="Times New Roman"/>
        </w:rPr>
      </w:pPr>
    </w:p>
    <w:p w14:paraId="7732FFF1" w14:textId="77777777" w:rsidR="004A3998" w:rsidRDefault="004A3998">
      <w:pPr>
        <w:rPr>
          <w:rFonts w:ascii="Times New Roman" w:hAnsi="Times New Roman"/>
        </w:rPr>
      </w:pPr>
    </w:p>
    <w:p w14:paraId="450F78B0" w14:textId="77777777" w:rsidR="004A3998" w:rsidRDefault="004A3998">
      <w:pPr>
        <w:rPr>
          <w:rFonts w:ascii="Times New Roman" w:hAnsi="Times New Roman"/>
        </w:rPr>
      </w:pPr>
    </w:p>
    <w:p w14:paraId="76E5993D" w14:textId="77777777" w:rsidR="004A3998" w:rsidRDefault="004A3998">
      <w:pPr>
        <w:rPr>
          <w:rFonts w:ascii="Times New Roman" w:hAnsi="Times New Roman"/>
        </w:rPr>
      </w:pPr>
    </w:p>
    <w:p w14:paraId="3DEEBF96" w14:textId="77777777" w:rsidR="004A3998" w:rsidRDefault="004A3998">
      <w:pPr>
        <w:rPr>
          <w:rFonts w:ascii="Times New Roman" w:hAnsi="Times New Roman"/>
        </w:rPr>
      </w:pPr>
    </w:p>
    <w:p w14:paraId="1814FE1E" w14:textId="77777777" w:rsidR="004A3998" w:rsidRDefault="004A3998">
      <w:pPr>
        <w:rPr>
          <w:rFonts w:ascii="Times New Roman" w:hAnsi="Times New Roman"/>
        </w:rPr>
      </w:pPr>
    </w:p>
    <w:p w14:paraId="682C6805" w14:textId="77777777" w:rsidR="004A3998" w:rsidRDefault="004A3998">
      <w:pPr>
        <w:rPr>
          <w:rFonts w:ascii="Times New Roman" w:hAnsi="Times New Roman"/>
        </w:rPr>
      </w:pPr>
    </w:p>
    <w:p w14:paraId="20C56C72" w14:textId="77777777" w:rsidR="004A3998" w:rsidRDefault="004A3998">
      <w:pPr>
        <w:rPr>
          <w:rFonts w:ascii="Times New Roman" w:hAnsi="Times New Roman"/>
        </w:rPr>
      </w:pPr>
    </w:p>
    <w:p w14:paraId="723A5BCE" w14:textId="77777777" w:rsidR="004A3998" w:rsidRDefault="004A3998">
      <w:pPr>
        <w:rPr>
          <w:rFonts w:ascii="Times New Roman" w:hAnsi="Times New Roman"/>
        </w:rPr>
      </w:pPr>
    </w:p>
    <w:p w14:paraId="25F39493" w14:textId="77777777" w:rsidR="004A3998" w:rsidRDefault="004A3998">
      <w:pPr>
        <w:rPr>
          <w:rFonts w:ascii="Times New Roman" w:hAnsi="Times New Roman"/>
        </w:rPr>
      </w:pPr>
    </w:p>
    <w:p w14:paraId="2BA62701" w14:textId="77777777" w:rsidR="004A3998" w:rsidRDefault="004A3998">
      <w:pPr>
        <w:rPr>
          <w:rFonts w:ascii="Times New Roman" w:hAnsi="Times New Roman"/>
        </w:rPr>
      </w:pPr>
    </w:p>
    <w:p w14:paraId="6615DB2C" w14:textId="77777777" w:rsidR="004A3998" w:rsidRDefault="004A3998">
      <w:pPr>
        <w:rPr>
          <w:rFonts w:ascii="Times New Roman" w:hAnsi="Times New Roman"/>
        </w:rPr>
      </w:pPr>
    </w:p>
    <w:p w14:paraId="6F6C5F45" w14:textId="62A4B899" w:rsidR="004A3998" w:rsidRDefault="004A3998" w:rsidP="004A3998">
      <w:pPr>
        <w:spacing w:after="0" w:line="480" w:lineRule="auto"/>
        <w:rPr>
          <w:rFonts w:ascii="Times New Roman" w:hAnsi="Times New Roman"/>
          <w:b/>
          <w:bCs/>
        </w:rPr>
      </w:pPr>
      <w:r>
        <w:rPr>
          <w:rFonts w:ascii="Times New Roman" w:hAnsi="Times New Roman" w:hint="eastAsia"/>
          <w:b/>
          <w:bCs/>
        </w:rPr>
        <w:t>Preparation of WS-biochar sample</w:t>
      </w:r>
    </w:p>
    <w:p w14:paraId="2B8FC883" w14:textId="77777777" w:rsidR="004A3998" w:rsidRDefault="004A3998" w:rsidP="004A3998">
      <w:pPr>
        <w:spacing w:after="0" w:line="480" w:lineRule="auto"/>
        <w:ind w:firstLine="240"/>
        <w:jc w:val="both"/>
        <w:rPr>
          <w:rFonts w:ascii="Times New Roman" w:hAnsi="Times New Roman" w:cs="Times New Roman"/>
        </w:rPr>
      </w:pPr>
      <w:r w:rsidRPr="007C1061">
        <w:rPr>
          <w:rFonts w:ascii="Times New Roman" w:hAnsi="Times New Roman" w:cs="Times New Roman"/>
        </w:rPr>
        <w:t xml:space="preserve">The standard operating procedure (SOP) for obtaining the ground biochar includes four steps. The first step is to weigh </w:t>
      </w:r>
      <w:r w:rsidRPr="005607CB">
        <w:rPr>
          <w:rFonts w:ascii="Times New Roman" w:hAnsi="Times New Roman" w:cs="Times New Roman"/>
        </w:rPr>
        <w:t>250</w:t>
      </w:r>
      <w:r w:rsidRPr="007C1061">
        <w:rPr>
          <w:rFonts w:ascii="Times New Roman" w:hAnsi="Times New Roman" w:cs="Times New Roman"/>
        </w:rPr>
        <w:t xml:space="preserve"> grams of raw biochar, place it in the grinder, and close the lid by tightening all the three bolts. The second step is turning the switch of the grinder on and start the countdown of grinding time simultaneously. The third step is to turn off the grinder and collect the ground biochar in a Ziploc bag with a soft brush after waiting for two minutes for the settle down of tiny particles.</w:t>
      </w:r>
    </w:p>
    <w:p w14:paraId="460C1963" w14:textId="27DB457B" w:rsidR="004A3998" w:rsidRDefault="00C36FE0" w:rsidP="00C36FE0">
      <w:pPr>
        <w:spacing w:line="480" w:lineRule="auto"/>
        <w:jc w:val="center"/>
        <w:rPr>
          <w:rFonts w:ascii="Times New Roman" w:hAnsi="Times New Roman"/>
          <w:b/>
          <w:bCs/>
        </w:rPr>
      </w:pPr>
      <w:r>
        <w:rPr>
          <w:rFonts w:ascii="Times New Roman" w:hAnsi="Times New Roman"/>
          <w:b/>
          <w:bCs/>
          <w:noProof/>
        </w:rPr>
        <w:drawing>
          <wp:inline distT="0" distB="0" distL="0" distR="0" wp14:anchorId="2205358F" wp14:editId="05A32D7D">
            <wp:extent cx="5274310" cy="2693670"/>
            <wp:effectExtent l="0" t="0" r="0" b="0"/>
            <wp:docPr id="1895391324" name="Picture 1" descr="A few different types of pow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91324" name="Picture 1" descr="A few different types of powder&#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2693670"/>
                    </a:xfrm>
                    <a:prstGeom prst="rect">
                      <a:avLst/>
                    </a:prstGeom>
                  </pic:spPr>
                </pic:pic>
              </a:graphicData>
            </a:graphic>
          </wp:inline>
        </w:drawing>
      </w:r>
    </w:p>
    <w:p w14:paraId="5936D5F6" w14:textId="2AA04C88" w:rsidR="004A3998" w:rsidRPr="00160A99" w:rsidRDefault="004A3998" w:rsidP="004A3998">
      <w:pPr>
        <w:spacing w:after="0" w:line="480" w:lineRule="auto"/>
        <w:jc w:val="both"/>
        <w:rPr>
          <w:rFonts w:ascii="Times New Roman" w:hAnsi="Times New Roman" w:cs="Times New Roman"/>
        </w:rPr>
      </w:pPr>
      <w:bookmarkStart w:id="0" w:name="_Toc224215279"/>
      <w:r w:rsidRPr="004A3998">
        <w:rPr>
          <w:rStyle w:val="Heading1Char"/>
          <w:rFonts w:ascii="Times New Roman" w:hAnsi="Times New Roman" w:cs="Times New Roman"/>
          <w:b/>
          <w:bCs/>
          <w:color w:val="000000" w:themeColor="text1"/>
          <w:sz w:val="24"/>
          <w:szCs w:val="24"/>
        </w:rPr>
        <w:t>Fig. S1.</w:t>
      </w:r>
      <w:r w:rsidRPr="004A3998">
        <w:rPr>
          <w:rStyle w:val="Heading1Char"/>
          <w:rFonts w:ascii="Times New Roman" w:hAnsi="Times New Roman" w:cs="Times New Roman"/>
          <w:color w:val="000000" w:themeColor="text1"/>
          <w:sz w:val="24"/>
          <w:szCs w:val="24"/>
        </w:rPr>
        <w:t xml:space="preserve"> Schematic illustration of the preparation procedure for the WS-biochar sample using the standard operating procedure (SOP) for grinding biochar</w:t>
      </w:r>
      <w:bookmarkEnd w:id="0"/>
      <w:r>
        <w:rPr>
          <w:rFonts w:ascii="Times New Roman" w:hAnsi="Times New Roman" w:cs="Times New Roman" w:hint="eastAsia"/>
        </w:rPr>
        <w:t>.</w:t>
      </w:r>
    </w:p>
    <w:p w14:paraId="06AEA43A" w14:textId="77777777" w:rsidR="004A3998" w:rsidRDefault="004A3998">
      <w:pPr>
        <w:rPr>
          <w:rFonts w:ascii="Times New Roman" w:hAnsi="Times New Roman"/>
        </w:rPr>
      </w:pPr>
    </w:p>
    <w:p w14:paraId="2B02CCBD" w14:textId="77777777" w:rsidR="004A3998" w:rsidRDefault="004A3998">
      <w:pPr>
        <w:rPr>
          <w:rFonts w:ascii="Times New Roman" w:hAnsi="Times New Roman"/>
        </w:rPr>
      </w:pPr>
    </w:p>
    <w:p w14:paraId="3AFE66F3" w14:textId="08B3AE25" w:rsidR="004A3998" w:rsidRDefault="004A3998">
      <w:pPr>
        <w:rPr>
          <w:rFonts w:ascii="Times New Roman" w:hAnsi="Times New Roman"/>
        </w:rPr>
        <w:sectPr w:rsidR="004A3998" w:rsidSect="00892318">
          <w:footerReference w:type="even" r:id="rId10"/>
          <w:footerReference w:type="default" r:id="rId11"/>
          <w:pgSz w:w="11906" w:h="16838"/>
          <w:pgMar w:top="1440" w:right="1800" w:bottom="1440" w:left="1800" w:header="851" w:footer="992" w:gutter="0"/>
          <w:cols w:space="425"/>
          <w:docGrid w:type="lines" w:linePitch="326"/>
        </w:sectPr>
      </w:pPr>
    </w:p>
    <w:p w14:paraId="3ED65FDF" w14:textId="6E0D9A2A" w:rsidR="00C92D30" w:rsidRDefault="006B3ABC" w:rsidP="00903C80">
      <w:pPr>
        <w:spacing w:after="0" w:line="480" w:lineRule="auto"/>
        <w:jc w:val="both"/>
        <w:rPr>
          <w:rFonts w:ascii="Times New Roman" w:hAnsi="Times New Roman"/>
          <w:b/>
          <w:bCs/>
        </w:rPr>
      </w:pPr>
      <w:r w:rsidRPr="006B3ABC">
        <w:rPr>
          <w:rFonts w:ascii="Times New Roman" w:hAnsi="Times New Roman"/>
          <w:b/>
          <w:bCs/>
          <w:noProof/>
        </w:rPr>
        <w:lastRenderedPageBreak/>
        <w:drawing>
          <wp:inline distT="0" distB="0" distL="0" distR="0" wp14:anchorId="1AE03479" wp14:editId="5915EB86">
            <wp:extent cx="5274310" cy="2023110"/>
            <wp:effectExtent l="0" t="0" r="0" b="0"/>
            <wp:docPr id="930932761" name="Picture 1" descr="A comparison of a mixture of pow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32761" name="Picture 1" descr="A comparison of a mixture of powder&#10;&#10;Description automatically generated"/>
                    <pic:cNvPicPr/>
                  </pic:nvPicPr>
                  <pic:blipFill>
                    <a:blip r:embed="rId12"/>
                    <a:stretch>
                      <a:fillRect/>
                    </a:stretch>
                  </pic:blipFill>
                  <pic:spPr>
                    <a:xfrm>
                      <a:off x="0" y="0"/>
                      <a:ext cx="5274310" cy="2023110"/>
                    </a:xfrm>
                    <a:prstGeom prst="rect">
                      <a:avLst/>
                    </a:prstGeom>
                  </pic:spPr>
                </pic:pic>
              </a:graphicData>
            </a:graphic>
          </wp:inline>
        </w:drawing>
      </w:r>
    </w:p>
    <w:p w14:paraId="53C930CC" w14:textId="4CC7851F" w:rsidR="00A23E3A" w:rsidRPr="00A23E3A" w:rsidRDefault="00423B6E" w:rsidP="00903C80">
      <w:pPr>
        <w:spacing w:after="0" w:line="480" w:lineRule="auto"/>
        <w:jc w:val="both"/>
        <w:rPr>
          <w:rFonts w:ascii="Times New Roman" w:hAnsi="Times New Roman"/>
          <w:b/>
          <w:bCs/>
        </w:rPr>
      </w:pPr>
      <w:bookmarkStart w:id="1" w:name="_Toc224215280"/>
      <w:r w:rsidRPr="004503FB">
        <w:rPr>
          <w:rStyle w:val="Heading1Char"/>
          <w:rFonts w:ascii="Times New Roman" w:hAnsi="Times New Roman" w:cs="Times New Roman"/>
          <w:b/>
          <w:bCs/>
          <w:color w:val="000000" w:themeColor="text1"/>
          <w:sz w:val="24"/>
          <w:szCs w:val="24"/>
        </w:rPr>
        <w:t>Fig.</w:t>
      </w:r>
      <w:r w:rsidR="007A6339" w:rsidRPr="004503FB">
        <w:rPr>
          <w:rStyle w:val="Heading1Char"/>
          <w:rFonts w:ascii="Times New Roman" w:hAnsi="Times New Roman" w:cs="Times New Roman"/>
          <w:b/>
          <w:bCs/>
          <w:color w:val="000000" w:themeColor="text1"/>
          <w:sz w:val="24"/>
          <w:szCs w:val="24"/>
        </w:rPr>
        <w:t xml:space="preserve"> </w:t>
      </w:r>
      <w:r w:rsidRPr="004503FB">
        <w:rPr>
          <w:rStyle w:val="Heading1Char"/>
          <w:rFonts w:ascii="Times New Roman" w:hAnsi="Times New Roman" w:cs="Times New Roman"/>
          <w:b/>
          <w:bCs/>
          <w:color w:val="000000" w:themeColor="text1"/>
          <w:sz w:val="24"/>
          <w:szCs w:val="24"/>
        </w:rPr>
        <w:t>S</w:t>
      </w:r>
      <w:r w:rsidR="004A3998">
        <w:rPr>
          <w:rStyle w:val="Heading1Char"/>
          <w:rFonts w:ascii="Times New Roman" w:hAnsi="Times New Roman" w:cs="Times New Roman" w:hint="eastAsia"/>
          <w:b/>
          <w:bCs/>
          <w:color w:val="000000" w:themeColor="text1"/>
          <w:sz w:val="24"/>
          <w:szCs w:val="24"/>
        </w:rPr>
        <w:t>2</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Particle size distribution (PSD) of WS-biochar samples</w:t>
      </w:r>
      <w:bookmarkEnd w:id="1"/>
      <w:r>
        <w:rPr>
          <w:rFonts w:ascii="Times New Roman" w:hAnsi="Times New Roman" w:cs="Times New Roman" w:hint="eastAsia"/>
        </w:rPr>
        <w:t xml:space="preserve">. </w:t>
      </w:r>
      <w:r w:rsidR="00EA12A3">
        <w:rPr>
          <w:rFonts w:ascii="Times New Roman" w:hAnsi="Times New Roman" w:cs="Times New Roman" w:hint="eastAsia"/>
        </w:rPr>
        <w:t>(</w:t>
      </w:r>
      <w:r w:rsidR="006B3ABC">
        <w:rPr>
          <w:rFonts w:ascii="Times New Roman" w:hAnsi="Times New Roman" w:cs="Times New Roman"/>
        </w:rPr>
        <w:t>a</w:t>
      </w:r>
      <w:r w:rsidR="00EA12A3">
        <w:rPr>
          <w:rFonts w:ascii="Times New Roman" w:hAnsi="Times New Roman" w:cs="Times New Roman" w:hint="eastAsia"/>
        </w:rPr>
        <w:t xml:space="preserve">) </w:t>
      </w:r>
      <w:r>
        <w:rPr>
          <w:rFonts w:ascii="Times New Roman" w:hAnsi="Times New Roman" w:cs="Times New Roman" w:hint="eastAsia"/>
        </w:rPr>
        <w:t xml:space="preserve">PSD </w:t>
      </w:r>
      <w:r w:rsidRPr="002250E2">
        <w:rPr>
          <w:rFonts w:ascii="Times New Roman" w:hAnsi="Times New Roman" w:cs="Times New Roman"/>
        </w:rPr>
        <w:t>before grinding</w:t>
      </w:r>
      <w:r>
        <w:rPr>
          <w:rFonts w:ascii="Times New Roman" w:hAnsi="Times New Roman" w:cs="Times New Roman" w:hint="eastAsia"/>
        </w:rPr>
        <w:t xml:space="preserve">, tested </w:t>
      </w:r>
      <w:bookmarkStart w:id="2" w:name="OLE_LINK1"/>
      <w:bookmarkStart w:id="3" w:name="OLE_LINK2"/>
      <w:r>
        <w:rPr>
          <w:rFonts w:ascii="Times New Roman" w:hAnsi="Times New Roman" w:cs="Times New Roman" w:hint="eastAsia"/>
        </w:rPr>
        <w:t xml:space="preserve">as part of the </w:t>
      </w:r>
      <w:r w:rsidRPr="002250E2">
        <w:rPr>
          <w:rFonts w:ascii="Times New Roman" w:hAnsi="Times New Roman" w:cs="Times New Roman"/>
        </w:rPr>
        <w:t>International Biochar Initiative (IBI) Laboratory Tests for Certification Program, conducted by Control Laboratories, Watsonville, CA 95076, USA (</w:t>
      </w:r>
      <w:hyperlink r:id="rId13" w:history="1">
        <w:r w:rsidRPr="00CD7DF9">
          <w:rPr>
            <w:rStyle w:val="Hyperlink"/>
            <w:rFonts w:ascii="Times New Roman" w:hAnsi="Times New Roman" w:cs="Times New Roman" w:hint="eastAsia"/>
          </w:rPr>
          <w:t>www.biocharlab.com</w:t>
        </w:r>
      </w:hyperlink>
      <w:r w:rsidRPr="002250E2">
        <w:rPr>
          <w:rFonts w:ascii="Times New Roman" w:hAnsi="Times New Roman" w:cs="Times New Roman"/>
        </w:rPr>
        <w:t>).</w:t>
      </w:r>
      <w:bookmarkEnd w:id="2"/>
      <w:bookmarkEnd w:id="3"/>
      <w:r>
        <w:rPr>
          <w:rFonts w:ascii="Times New Roman" w:hAnsi="Times New Roman" w:cs="Times New Roman" w:hint="eastAsia"/>
        </w:rPr>
        <w:t xml:space="preserve"> </w:t>
      </w:r>
      <w:r w:rsidR="00EA12A3">
        <w:rPr>
          <w:rFonts w:ascii="Times New Roman" w:hAnsi="Times New Roman" w:cs="Times New Roman" w:hint="eastAsia"/>
        </w:rPr>
        <w:t>(</w:t>
      </w:r>
      <w:r w:rsidR="006B3ABC">
        <w:rPr>
          <w:rFonts w:ascii="Times New Roman" w:hAnsi="Times New Roman" w:cs="Times New Roman"/>
        </w:rPr>
        <w:t>b</w:t>
      </w:r>
      <w:r w:rsidR="00EA12A3">
        <w:rPr>
          <w:rFonts w:ascii="Times New Roman" w:hAnsi="Times New Roman" w:cs="Times New Roman" w:hint="eastAsia"/>
        </w:rPr>
        <w:t xml:space="preserve">) </w:t>
      </w:r>
      <w:r w:rsidRPr="009A5D4B">
        <w:rPr>
          <w:rFonts w:ascii="Times New Roman" w:hAnsi="Times New Roman" w:cs="Times New Roman" w:hint="eastAsia"/>
        </w:rPr>
        <w:t>P</w:t>
      </w:r>
      <w:r>
        <w:rPr>
          <w:rFonts w:ascii="Times New Roman" w:hAnsi="Times New Roman" w:cs="Times New Roman" w:hint="eastAsia"/>
        </w:rPr>
        <w:t>SD</w:t>
      </w:r>
      <w:r w:rsidRPr="009A5D4B">
        <w:rPr>
          <w:rFonts w:ascii="Times New Roman" w:hAnsi="Times New Roman" w:cs="Times New Roman" w:hint="eastAsia"/>
        </w:rPr>
        <w:t xml:space="preserve"> </w:t>
      </w:r>
      <w:r>
        <w:rPr>
          <w:rFonts w:ascii="Times New Roman" w:hAnsi="Times New Roman" w:cs="Times New Roman" w:hint="eastAsia"/>
        </w:rPr>
        <w:t>after</w:t>
      </w:r>
      <w:r w:rsidRPr="009A5D4B">
        <w:rPr>
          <w:rFonts w:ascii="Times New Roman" w:hAnsi="Times New Roman" w:cs="Times New Roman" w:hint="eastAsia"/>
        </w:rPr>
        <w:t xml:space="preserve"> grinding</w:t>
      </w:r>
      <w:r>
        <w:rPr>
          <w:rFonts w:ascii="Times New Roman" w:hAnsi="Times New Roman" w:cs="Times New Roman" w:hint="eastAsia"/>
        </w:rPr>
        <w:t>, using the Microtrac S3500.</w:t>
      </w:r>
    </w:p>
    <w:p w14:paraId="6754CC5E" w14:textId="77777777" w:rsidR="00497CD5" w:rsidRDefault="00497CD5" w:rsidP="00903C80">
      <w:pPr>
        <w:spacing w:after="0" w:line="480" w:lineRule="auto"/>
        <w:jc w:val="both"/>
        <w:rPr>
          <w:rFonts w:ascii="Times New Roman" w:hAnsi="Times New Roman" w:cs="Times New Roman"/>
        </w:rPr>
      </w:pPr>
    </w:p>
    <w:p w14:paraId="20B104F4" w14:textId="77777777" w:rsidR="00497CD5" w:rsidRDefault="00497CD5" w:rsidP="00903C80">
      <w:pPr>
        <w:spacing w:after="0" w:line="480" w:lineRule="auto"/>
        <w:jc w:val="both"/>
        <w:rPr>
          <w:rFonts w:ascii="Times New Roman" w:hAnsi="Times New Roman" w:cs="Times New Roman"/>
        </w:rPr>
        <w:sectPr w:rsidR="00497CD5" w:rsidSect="00892318">
          <w:pgSz w:w="11906" w:h="16838"/>
          <w:pgMar w:top="1440" w:right="1800" w:bottom="1440" w:left="1800" w:header="851" w:footer="992" w:gutter="0"/>
          <w:cols w:space="425"/>
          <w:docGrid w:type="lines" w:linePitch="326"/>
        </w:sectPr>
      </w:pPr>
    </w:p>
    <w:p w14:paraId="4787950A" w14:textId="4D9CB981" w:rsidR="00DD04E7" w:rsidRPr="002A4D34" w:rsidRDefault="00DD04E7" w:rsidP="00903C80">
      <w:pPr>
        <w:spacing w:after="0" w:line="480" w:lineRule="auto"/>
        <w:rPr>
          <w:rFonts w:ascii="Times New Roman" w:hAnsi="Times New Roman" w:cs="Times New Roman"/>
          <w:b/>
          <w:bCs/>
        </w:rPr>
      </w:pPr>
      <w:r w:rsidRPr="002A4D34">
        <w:rPr>
          <w:rFonts w:ascii="Times New Roman" w:hAnsi="Times New Roman" w:cs="Times New Roman" w:hint="eastAsia"/>
          <w:b/>
          <w:bCs/>
        </w:rPr>
        <w:lastRenderedPageBreak/>
        <w:t>Calculation</w:t>
      </w:r>
      <w:r w:rsidR="00FC7FBE">
        <w:rPr>
          <w:rFonts w:ascii="Times New Roman" w:hAnsi="Times New Roman" w:cs="Times New Roman"/>
          <w:b/>
          <w:bCs/>
        </w:rPr>
        <w:t>s</w:t>
      </w:r>
      <w:r w:rsidRPr="002A4D34">
        <w:rPr>
          <w:rFonts w:ascii="Times New Roman" w:hAnsi="Times New Roman" w:cs="Times New Roman" w:hint="eastAsia"/>
          <w:b/>
          <w:bCs/>
        </w:rPr>
        <w:t xml:space="preserve"> of </w:t>
      </w:r>
      <w:r w:rsidR="00FC7FBE">
        <w:rPr>
          <w:rFonts w:ascii="Times New Roman" w:hAnsi="Times New Roman" w:cs="Times New Roman"/>
          <w:b/>
          <w:bCs/>
        </w:rPr>
        <w:t xml:space="preserve">FWHM and </w:t>
      </w:r>
      <w:r w:rsidRPr="002A4D34">
        <w:rPr>
          <w:rFonts w:ascii="Times New Roman" w:hAnsi="Times New Roman" w:cs="Times New Roman" w:hint="eastAsia"/>
          <w:b/>
          <w:bCs/>
        </w:rPr>
        <w:t>dislocation density from XRD data</w:t>
      </w:r>
    </w:p>
    <w:p w14:paraId="376D8590" w14:textId="7A8A6163" w:rsidR="00DD04E7" w:rsidRDefault="00DD04E7" w:rsidP="00903C80">
      <w:pPr>
        <w:spacing w:after="0" w:line="480" w:lineRule="auto"/>
        <w:jc w:val="both"/>
        <w:rPr>
          <w:rFonts w:ascii="Times New Roman" w:hAnsi="Times New Roman" w:cs="Times New Roman"/>
        </w:rPr>
      </w:pPr>
      <w:r w:rsidRPr="002A4D34">
        <w:rPr>
          <w:rFonts w:ascii="Times New Roman" w:hAnsi="Times New Roman" w:cs="Times New Roman"/>
        </w:rPr>
        <w:t>The dislocation density (δ) was estimated from the full width at half maximum (FWHM)</w:t>
      </w:r>
      <w:r w:rsidR="00412A4C">
        <w:rPr>
          <w:rFonts w:ascii="Times New Roman" w:hAnsi="Times New Roman" w:cs="Times New Roman"/>
        </w:rPr>
        <w:fldChar w:fldCharType="begin"/>
      </w:r>
      <w:r w:rsidR="00FD280D">
        <w:rPr>
          <w:rFonts w:ascii="Times New Roman" w:hAnsi="Times New Roman" w:cs="Times New Roman"/>
        </w:rPr>
        <w:instrText xml:space="preserve"> ADDIN ZOTERO_ITEM CSL_CITATION {"citationID":"s7YReVKY","properties":{"formattedCitation":"[1,2]","plainCitation":"[1,2]","noteIndex":0},"citationItems":[{"id":2783,"uris":["http://zotero.org/users/10352488/items/8564IJTG"],"itemData":{"id":2783,"type":"article-journal","abstract":"Asphalt binder research papers characterized by X-ray diffraction are reviewed. The Xray results reveal the aromaticity and crystallite size parameters of asphaltene in asphalt binders as reported in the research literature. The research data is","container-title":"Innovations in Corrosion and Materials Science (Formerly Recent Patents on Corrosion Science)","DOI":"10.2174/2352094909666190401205036","ISSN":"2352-0949","issue":"1","page":"28","source":"www.academia.edu","title":"A Review of Asphalt Binders Characterized by X-ray Diffraction","volume":"9","author":[{"family":"Shirokoff","given":"John"},{"family":"Lye","given":"Leonard"}],"issued":{"date-parts":[["2019"]]}}},{"id":2782,"uris":["http://zotero.org/users/10352488/items/A4YF7XB6"],"itemData":{"id":2782,"type":"article-journal","abstract":"Computer controlled X-ray diffraction (XRD) spectra of asphalt binders were studied with respect to X-ray background type, profile fit and dimensional analysis. Four different background (linear, parabolic, 3rd and 4th order polynomial) types were used in order to assess profile fit (precision, residual error) the precision of fit and residual error of fit. Pearson VII, pseudo-Voigt, generalized Fermi mathematical functions were employed in this analysis.","container-title":"Nanoparticle","ISSN":"2767-0171","issue":"1","language":"en","license":"© 2018 Nanoparticle Journal","note":"publisher: Nanoparticle","page":"1-4","source":"www.jnanoparticle.com","title":"Nanosize Asphaltene in Asphalt Binders Characterized by X-ray Diffraction","volume":"1","author":[{"family":"Alshammari","given":"Jawaher"},{"family":"Alshammari","given":"Jihan"},{"family":"Lewis","given":"John K. C."},{"family":"Shirokoff","given":"John"}],"issued":{"date-parts":[["2019",11,26]]}}}],"schema":"https://github.com/citation-style-language/schema/raw/master/csl-citation.json"} </w:instrText>
      </w:r>
      <w:r w:rsidR="00412A4C">
        <w:rPr>
          <w:rFonts w:ascii="Times New Roman" w:hAnsi="Times New Roman" w:cs="Times New Roman"/>
        </w:rPr>
        <w:fldChar w:fldCharType="separate"/>
      </w:r>
      <w:r w:rsidR="00FD280D">
        <w:rPr>
          <w:rFonts w:ascii="Times New Roman" w:hAnsi="Times New Roman" w:cs="Times New Roman"/>
          <w:noProof/>
        </w:rPr>
        <w:t>[1,2]</w:t>
      </w:r>
      <w:r w:rsidR="00412A4C">
        <w:rPr>
          <w:rFonts w:ascii="Times New Roman" w:hAnsi="Times New Roman" w:cs="Times New Roman"/>
        </w:rPr>
        <w:fldChar w:fldCharType="end"/>
      </w:r>
      <w:r w:rsidRPr="002A4D34">
        <w:rPr>
          <w:rFonts w:ascii="Times New Roman" w:hAnsi="Times New Roman" w:cs="Times New Roman"/>
        </w:rPr>
        <w:t xml:space="preserve"> of the C(002) diffraction peak using the Scherrer equation to obtain the crystallite size (D):</w:t>
      </w:r>
      <w:r>
        <w:rPr>
          <w:rFonts w:ascii="Times New Roman" w:hAnsi="Times New Roman" w:cs="Times New Roman" w:hint="eastAsia"/>
        </w:rPr>
        <w:t xml:space="preserve"> </w:t>
      </w:r>
    </w:p>
    <w:p w14:paraId="7FA9B27C" w14:textId="77777777" w:rsidR="00DD04E7" w:rsidRPr="002A4D34" w:rsidRDefault="00DD04E7" w:rsidP="00903C80">
      <w:pPr>
        <w:spacing w:after="0" w:line="480" w:lineRule="auto"/>
        <w:jc w:val="both"/>
        <w:rPr>
          <w:rFonts w:ascii="Times New Roman" w:hAnsi="Times New Roman" w:cs="Times New Roman"/>
          <w:i/>
        </w:rPr>
      </w:pPr>
      <m:oMathPara>
        <m:oMath>
          <m:r>
            <w:rPr>
              <w:rFonts w:ascii="Cambria Math" w:hAnsi="Cambria Math" w:cs="Times New Roman"/>
            </w:rPr>
            <m:t>D=</m:t>
          </m:r>
          <m:f>
            <m:fPr>
              <m:ctrlPr>
                <w:rPr>
                  <w:rFonts w:ascii="Cambria Math" w:hAnsi="Cambria Math" w:cs="Times New Roman"/>
                  <w:i/>
                </w:rPr>
              </m:ctrlPr>
            </m:fPr>
            <m:num>
              <m:r>
                <w:rPr>
                  <w:rFonts w:ascii="Cambria Math" w:hAnsi="Cambria Math" w:cs="Times New Roman"/>
                </w:rPr>
                <m:t>K</m:t>
              </m:r>
              <m:r>
                <w:rPr>
                  <w:rFonts w:ascii="Cambria Math" w:hAnsi="Cambria Math" w:cs="Times New Roman"/>
                  <w:i/>
                </w:rPr>
                <w:sym w:font="Symbol" w:char="F06C"/>
              </m:r>
            </m:num>
            <m:den>
              <m:r>
                <w:rPr>
                  <w:rFonts w:ascii="Cambria Math" w:hAnsi="Cambria Math" w:cs="Times New Roman"/>
                  <w:i/>
                </w:rPr>
                <w:sym w:font="Symbol" w:char="F062"/>
              </m:r>
              <m:func>
                <m:funcPr>
                  <m:ctrlPr>
                    <w:rPr>
                      <w:rFonts w:ascii="Cambria Math" w:hAnsi="Cambria Math" w:cs="Times New Roman"/>
                      <w:i/>
                    </w:rPr>
                  </m:ctrlPr>
                </m:funcPr>
                <m:fName>
                  <m:r>
                    <m:rPr>
                      <m:sty m:val="p"/>
                    </m:rPr>
                    <w:rPr>
                      <w:rFonts w:ascii="Cambria Math" w:hAnsi="Cambria Math" w:cs="Times New Roman"/>
                    </w:rPr>
                    <m:t>cos</m:t>
                  </m:r>
                </m:fName>
                <m:e>
                  <m:r>
                    <w:rPr>
                      <w:rFonts w:ascii="Cambria Math" w:hAnsi="Cambria Math" w:cs="Times New Roman"/>
                    </w:rPr>
                    <m:t>θ</m:t>
                  </m:r>
                </m:e>
              </m:func>
            </m:den>
          </m:f>
        </m:oMath>
      </m:oMathPara>
    </w:p>
    <w:p w14:paraId="2C3142B3" w14:textId="77777777" w:rsidR="00DD04E7" w:rsidRDefault="00DD04E7" w:rsidP="00903C80">
      <w:pPr>
        <w:spacing w:after="0" w:line="480" w:lineRule="auto"/>
        <w:jc w:val="both"/>
        <w:rPr>
          <w:rFonts w:ascii="Times New Roman" w:hAnsi="Times New Roman" w:cs="Times New Roman"/>
        </w:rPr>
      </w:pPr>
      <w:r w:rsidRPr="002A4D34">
        <w:rPr>
          <w:rFonts w:ascii="Times New Roman" w:hAnsi="Times New Roman" w:cs="Times New Roman"/>
        </w:rPr>
        <w:t xml:space="preserve">where </w:t>
      </w:r>
      <w:r w:rsidRPr="002A4D34">
        <w:rPr>
          <w:rFonts w:ascii="Times New Roman" w:hAnsi="Times New Roman" w:cs="Times New Roman"/>
          <w:i/>
          <w:iCs/>
        </w:rPr>
        <w:t>K</w:t>
      </w:r>
      <w:r w:rsidRPr="002A4D34">
        <w:rPr>
          <w:rFonts w:ascii="Times New Roman" w:hAnsi="Times New Roman" w:cs="Times New Roman"/>
        </w:rPr>
        <w:t xml:space="preserve"> is the shape factor (taken as 0.9), </w:t>
      </w:r>
      <w:r w:rsidRPr="002A4D34">
        <w:rPr>
          <w:rFonts w:ascii="Times New Roman" w:hAnsi="Times New Roman" w:cs="Times New Roman"/>
          <w:i/>
          <w:iCs/>
        </w:rPr>
        <w:t>λ</w:t>
      </w:r>
      <w:r w:rsidRPr="002A4D34">
        <w:rPr>
          <w:rFonts w:ascii="Times New Roman" w:hAnsi="Times New Roman" w:cs="Times New Roman"/>
        </w:rPr>
        <w:t xml:space="preserve"> is the X-ray wavelength of Cu Kα radiation (1.5406 Å), β is the FWHM (in radians) corrected for instrumental broadening, and </w:t>
      </w:r>
      <w:r w:rsidRPr="002A4D34">
        <w:rPr>
          <w:rFonts w:ascii="Times New Roman" w:hAnsi="Times New Roman" w:cs="Times New Roman"/>
          <w:i/>
          <w:iCs/>
        </w:rPr>
        <w:t>θ</w:t>
      </w:r>
      <w:r w:rsidRPr="002A4D34">
        <w:rPr>
          <w:rFonts w:ascii="Times New Roman" w:hAnsi="Times New Roman" w:cs="Times New Roman"/>
        </w:rPr>
        <w:t xml:space="preserve"> is the Bragg angle (≈13.25° for the C(002) reflection at 2</w:t>
      </w:r>
      <w:r w:rsidRPr="002A4D34">
        <w:rPr>
          <w:rFonts w:ascii="Times New Roman" w:hAnsi="Times New Roman" w:cs="Times New Roman"/>
          <w:i/>
          <w:iCs/>
        </w:rPr>
        <w:t xml:space="preserve">θ </w:t>
      </w:r>
      <w:r w:rsidRPr="002A4D34">
        <w:rPr>
          <w:rFonts w:ascii="Times New Roman" w:hAnsi="Times New Roman" w:cs="Times New Roman"/>
        </w:rPr>
        <w:t>≈ 26.5°).</w:t>
      </w:r>
    </w:p>
    <w:p w14:paraId="78D8860B" w14:textId="44D14147" w:rsidR="00DD04E7" w:rsidRDefault="00DD04E7" w:rsidP="00903C80">
      <w:pPr>
        <w:spacing w:after="0" w:line="480" w:lineRule="auto"/>
        <w:jc w:val="both"/>
        <w:rPr>
          <w:rFonts w:ascii="Times New Roman" w:hAnsi="Times New Roman" w:cs="Times New Roman"/>
        </w:rPr>
      </w:pPr>
      <w:r w:rsidRPr="002A4D34">
        <w:rPr>
          <w:rFonts w:ascii="Times New Roman" w:hAnsi="Times New Roman" w:cs="Times New Roman"/>
        </w:rPr>
        <w:t>The dislocation density</w:t>
      </w:r>
      <w:r w:rsidR="00412A4C">
        <w:rPr>
          <w:rFonts w:ascii="Times New Roman" w:hAnsi="Times New Roman" w:cs="Times New Roman"/>
        </w:rPr>
        <w:fldChar w:fldCharType="begin"/>
      </w:r>
      <w:r w:rsidR="00412A4C">
        <w:rPr>
          <w:rFonts w:ascii="Times New Roman" w:hAnsi="Times New Roman" w:cs="Times New Roman"/>
        </w:rPr>
        <w:instrText xml:space="preserve"> ADDIN ZOTERO_ITEM CSL_CITATION {"citationID":"dpKikAqX","properties":{"formattedCitation":"[3\\uc0\\u8211{}5]","plainCitation":"[3–5]","noteIndex":0},"citationItems":[{"id":2780,"uris":["http://zotero.org/users/10352488/items/3EGEWZ3X"],"itemData":{"id":</w:instrText>
      </w:r>
      <w:r w:rsidR="00412A4C">
        <w:rPr>
          <w:rFonts w:ascii="Times New Roman" w:hAnsi="Times New Roman" w:cs="Times New Roman" w:hint="eastAsia"/>
        </w:rPr>
        <w:instrText>2780,"type":"article-journal","abstract":"The anisotropic broadening of the X-ray diffraction (XRD) peaks of shear deformed martensite (</w:instrText>
      </w:r>
      <w:r w:rsidR="00412A4C">
        <w:rPr>
          <w:rFonts w:ascii="Times New Roman" w:hAnsi="Times New Roman" w:cs="Times New Roman" w:hint="eastAsia"/>
        </w:rPr>
        <w:instrText>α′</w:instrText>
      </w:r>
      <w:r w:rsidR="00412A4C">
        <w:rPr>
          <w:rFonts w:ascii="Times New Roman" w:hAnsi="Times New Roman" w:cs="Times New Roman" w:hint="eastAsia"/>
        </w:rPr>
        <w:instrText>-Fe), using both full-width at half-maximum (FWHM) and integral breadth (IB), has been studied following conventional and modified Williamson-Hall (WH) and Warren-Averbach (WA) analysis. The crystallographic study reveals limited plastic deformation of martensite (</w:instrText>
      </w:r>
      <w:r w:rsidR="00412A4C">
        <w:rPr>
          <w:rFonts w:ascii="Times New Roman" w:hAnsi="Times New Roman" w:cs="Times New Roman" w:hint="eastAsia"/>
        </w:rPr>
        <w:instrText>α′</w:instrText>
      </w:r>
      <w:r w:rsidR="00412A4C">
        <w:rPr>
          <w:rFonts w:ascii="Times New Roman" w:hAnsi="Times New Roman" w:cs="Times New Roman" w:hint="eastAsia"/>
        </w:rPr>
        <w:instrText xml:space="preserve">) within a shallow depth from the shear surface, as indicated by marginal change in the character and density of dislocation, showing the inability of the </w:instrText>
      </w:r>
      <w:r w:rsidR="00412A4C">
        <w:rPr>
          <w:rFonts w:ascii="Times New Roman" w:hAnsi="Times New Roman" w:cs="Times New Roman" w:hint="eastAsia"/>
        </w:rPr>
        <w:instrText>α′</w:instrText>
      </w:r>
      <w:r w:rsidR="00412A4C">
        <w:rPr>
          <w:rFonts w:ascii="Times New Roman" w:hAnsi="Times New Roman" w:cs="Times New Roman" w:hint="eastAsia"/>
        </w:rPr>
        <w:instrText>-phase to accommodate the strain energy of shear deformation. More importantly, the study reveals significant perturbation of modified-WH and WA model, when IB is considered for size and strain analysis,</w:instrText>
      </w:r>
      <w:r w:rsidR="00412A4C">
        <w:rPr>
          <w:rFonts w:ascii="Times New Roman" w:hAnsi="Times New Roman" w:cs="Times New Roman"/>
        </w:rPr>
        <w:instrText xml:space="preserve"> especially for higher order peaks, whereas, FWHM shows reasonably good agreement with the above mentioned models for the range of diffraction spectrum considered.","container-title":"Materials Characterization","DOI":"10.1016/j.matchar.2018.05.018","ISSN</w:instrText>
      </w:r>
      <w:r w:rsidR="00412A4C">
        <w:rPr>
          <w:rFonts w:ascii="Times New Roman" w:hAnsi="Times New Roman" w:cs="Times New Roman" w:hint="eastAsia"/>
        </w:rPr>
        <w:instrText>":"1044-5803","journalAbbreviation":"Materials Characterization","page":"144-153","source":"ScienceDirect","title":"Anisotropic broadening of XRD peaks of &lt;i&gt;</w:instrText>
      </w:r>
      <w:r w:rsidR="00412A4C">
        <w:rPr>
          <w:rFonts w:ascii="Times New Roman" w:hAnsi="Times New Roman" w:cs="Times New Roman" w:hint="eastAsia"/>
        </w:rPr>
        <w:instrText>α′</w:instrText>
      </w:r>
      <w:r w:rsidR="00412A4C">
        <w:rPr>
          <w:rFonts w:ascii="Times New Roman" w:hAnsi="Times New Roman" w:cs="Times New Roman" w:hint="eastAsia"/>
        </w:rPr>
        <w:instrText>&lt;/i&gt;-Fe: Williamson-Hall and Warren-Averbach analysis using full width at half maximum (FWHM) and integral breadth (IB)","title-short":"Anisotropic broadening of XRD peaks of &lt;i&gt;</w:instrText>
      </w:r>
      <w:r w:rsidR="00412A4C">
        <w:rPr>
          <w:rFonts w:ascii="Times New Roman" w:hAnsi="Times New Roman" w:cs="Times New Roman" w:hint="eastAsia"/>
        </w:rPr>
        <w:instrText>α′</w:instrText>
      </w:r>
      <w:r w:rsidR="00412A4C">
        <w:rPr>
          <w:rFonts w:ascii="Times New Roman" w:hAnsi="Times New Roman" w:cs="Times New Roman" w:hint="eastAsia"/>
        </w:rPr>
        <w:instrText>&lt;/i&gt;-Fe","volume":"142","author":[{"family":"Das Bakshi","given":"S."},{"family":"Sinha","given":"D."},{"family":"Ghosh Chowdhury","given":"S."}],"issued":{"date-parts":[</w:instrText>
      </w:r>
      <w:r w:rsidR="00412A4C">
        <w:rPr>
          <w:rFonts w:ascii="Times New Roman" w:hAnsi="Times New Roman" w:cs="Times New Roman"/>
        </w:rPr>
        <w:instrText>["2018",8,1]]}}},{"id":2778,"uris":["http://zotero.org/users/10352488/items/2EPD5VR6"],"itemData":{"id":2778,"type":"article-journal","abstract":"Dislocations play a central role in determining strength and flow properties of metals and alloys. Diffusionl</w:instrText>
      </w:r>
      <w:r w:rsidR="00412A4C">
        <w:rPr>
          <w:rFonts w:ascii="Times New Roman" w:hAnsi="Times New Roman" w:cs="Times New Roman" w:hint="eastAsia"/>
        </w:rPr>
        <w:instrText xml:space="preserve">ess phase transformation of </w:instrText>
      </w:r>
      <w:r w:rsidR="00412A4C">
        <w:rPr>
          <w:rFonts w:ascii="Times New Roman" w:hAnsi="Times New Roman" w:cs="Times New Roman" w:hint="eastAsia"/>
        </w:rPr>
        <w:instrText>β→α</w:instrText>
      </w:r>
      <w:r w:rsidR="00412A4C">
        <w:rPr>
          <w:rFonts w:ascii="Times New Roman" w:hAnsi="Times New Roman" w:cs="Times New Roman" w:hint="eastAsia"/>
        </w:rPr>
        <w:instrText xml:space="preserve"> in Ti6Al4V during the Direct Metal Laser Sintering (DMLS) process produces martensitic microstructures with high dislocation densities. However, heat treatment, such as stress relieving and annealing, can be applied to redu</w:instrText>
      </w:r>
      <w:r w:rsidR="00412A4C">
        <w:rPr>
          <w:rFonts w:ascii="Times New Roman" w:hAnsi="Times New Roman" w:cs="Times New Roman"/>
        </w:rPr>
        <w:instrText xml:space="preserve">ce the volume of these dislocations. In the present study, an analysis of the X-ray diffraction (XRD) profiles of the non-heat-treated and heat-treated microstructures of DMLS Ti6Al4V(ELI) was carried out to determine the level of defects in these microstructures. The modified Williamson–Hall and modified Warren–Averbach methods of analysis were used to evaluate the dislocation densities in these microstructures. The results obtained showed a 73% reduction of dislocation density in DMLS Ti6Al4V(ELI) upon </w:instrText>
      </w:r>
      <w:r w:rsidR="00412A4C">
        <w:rPr>
          <w:rFonts w:ascii="Times New Roman" w:hAnsi="Times New Roman" w:cs="Times New Roman" w:hint="eastAsia"/>
        </w:rPr>
        <w:instrText xml:space="preserve">stress relieving heat treatment. The density of dislocations further declined in microstructures that were annealed at elevated temperatures, with the microstructures that were heat-treated just below the </w:instrText>
      </w:r>
      <w:r w:rsidR="00412A4C">
        <w:rPr>
          <w:rFonts w:ascii="Times New Roman" w:hAnsi="Times New Roman" w:cs="Times New Roman" w:hint="eastAsia"/>
        </w:rPr>
        <w:instrText>β→α</w:instrText>
      </w:r>
      <w:r w:rsidR="00412A4C">
        <w:rPr>
          <w:rFonts w:ascii="Times New Roman" w:hAnsi="Times New Roman" w:cs="Times New Roman" w:hint="eastAsia"/>
        </w:rPr>
        <w:instrText xml:space="preserve"> recording the lowest dislocation densities.","</w:instrText>
      </w:r>
      <w:r w:rsidR="00412A4C">
        <w:rPr>
          <w:rFonts w:ascii="Times New Roman" w:hAnsi="Times New Roman" w:cs="Times New Roman"/>
        </w:rPr>
        <w:instrText xml:space="preserve">container-title":"Materials","DOI":"10.3390/ma13235355","ISSN":"1996-1944","issue":"23","language":"en","license":"http://creativecommons.org/licenses/by/3.0/","note":"publisher: Multidisciplinary Digital Publishing Institute","page":"5355","source":"www.mdpi.com","title":"Evaluation of Dislocation Densities in Various Microstructures of Additively Manufactured Ti6Al4V (Eli) by the Method of X-ray Diffraction","volume":"13","author":[{"family":"Muiruri","given":"Amos"},{"family":"Maringa","given":"Maina"},{"family":"Preez","given":"Willie","non-dropping-particle":"du"}],"issued":{"date-parts":[["2020",1]]}}},{"id":2776,"uris":["http://zotero.org/users/10352488/items/QEWKIA6M"],"itemData":{"id":2776,"type":"article-journal","abstract":"Nanocrystalline CdSe has been synthesized via a wet chemical technique followed by characterized using XRD and HRTEM. Classical (CWH) and modified Williamson Hall (MWH) techniques have been used for the determination of microstructures based on the X-ray diffraction peak profile analysis (XDPPA). Rietveld refinement of the experimental XRD pattern provides the refined full width at half maximum (FWHM) of CdSe nanocrystals. Here, the output structural information as obtained from the Rietveld refinement method has been fed into the Quantum Espresso (QE) code for the determination of elastic constants of CdSe using the first principles method. Both the FWHM and elastic constants are used in CWH and MWH analysis. Since the MWH method considers the strain anisotropy of the crystals, it can provide a better fit than the CWH method. In addition to this, the MWH method has been used to find out the dislocations character present in the CdSe nanocrystals. Dislocations are important because these are responsible for inducing strain in the nanocrystals.","container-title":"Physica E: Low-dimensional Systems and Nanostructures","DOI":"10.1016/j.physe.2022.115376","ISSN":"1386-9477","journalAbbreviation":"Physica E: Low-dimensional Systems and Nanostructures","page":"115376","source":"ScienceDirect","title":"Assessing the dislocation density in CdSe nanocrystals from XRD peak profile analysis (XDPPA) assisted by first principles method","volume":"144","author":[{"family":"Nath","given":"Debojyoti"},{"family":"Das","given":"Ratan"}],"issued":{"date-parts":[["2022",10,1]]}}}],"schema":"https://github.com/citation-style-language/schema/raw/master/csl-citation.json"} </w:instrText>
      </w:r>
      <w:r w:rsidR="00412A4C">
        <w:rPr>
          <w:rFonts w:ascii="Times New Roman" w:hAnsi="Times New Roman" w:cs="Times New Roman"/>
        </w:rPr>
        <w:fldChar w:fldCharType="separate"/>
      </w:r>
      <w:r w:rsidR="00412A4C" w:rsidRPr="00412A4C">
        <w:rPr>
          <w:rFonts w:ascii="Times New Roman" w:hAnsi="Times New Roman" w:cs="Times New Roman"/>
          <w:kern w:val="0"/>
        </w:rPr>
        <w:t>[3–5]</w:t>
      </w:r>
      <w:r w:rsidR="00412A4C">
        <w:rPr>
          <w:rFonts w:ascii="Times New Roman" w:hAnsi="Times New Roman" w:cs="Times New Roman"/>
        </w:rPr>
        <w:fldChar w:fldCharType="end"/>
      </w:r>
      <w:r w:rsidRPr="002A4D34">
        <w:rPr>
          <w:rFonts w:ascii="Times New Roman" w:hAnsi="Times New Roman" w:cs="Times New Roman"/>
        </w:rPr>
        <w:t xml:space="preserve"> was then approximated using the Williamson</w:t>
      </w:r>
      <w:r w:rsidR="00926566">
        <w:rPr>
          <w:rFonts w:ascii="Times New Roman" w:hAnsi="Times New Roman" w:cs="Times New Roman" w:hint="eastAsia"/>
        </w:rPr>
        <w:t>-</w:t>
      </w:r>
      <w:r w:rsidRPr="002A4D34">
        <w:rPr>
          <w:rFonts w:ascii="Times New Roman" w:hAnsi="Times New Roman" w:cs="Times New Roman"/>
        </w:rPr>
        <w:t>Smallman</w:t>
      </w:r>
      <w:r w:rsidR="00412A4C">
        <w:rPr>
          <w:rFonts w:ascii="Times New Roman" w:hAnsi="Times New Roman" w:cs="Times New Roman"/>
        </w:rPr>
        <w:fldChar w:fldCharType="begin"/>
      </w:r>
      <w:r w:rsidR="00412A4C">
        <w:rPr>
          <w:rFonts w:ascii="Times New Roman" w:hAnsi="Times New Roman" w:cs="Times New Roman"/>
        </w:rPr>
        <w:instrText xml:space="preserve"> ADDIN ZOTERO_ITEM CSL_CITATION {"citationID":"AQfVoCgA","properties":{"formattedCitation":"[6]","plainCitation":"[6]","noteIndex":0},"citationItems":[{"id":2785,"uris":["http://zotero.org/users/10352488/items/6TFRZ7EL"],"itemData":{"id":2785,"type":"article-journal","abstract":"Methods of analysis previously used in the interpretation of line broadening are discussed and are shown to be inadequate; more reliable methods being outlined. An analysis of published results using one of these methods suggests that the observed effects can be attributed to simultaneous small particle size and strain broadening. Measurements of the changes in intensity distribution have been made, using a Geiger counter spectrometer, in the spectra of cold worked aluminium and wolfram. The line breadths may be attributed to simultaneous small particle size and strain broadening, the latter predominating, particularly at the higher Bragg angles, and it is shown that the observed effects are produced by dislocations or some similar structural fault. The observed rise in the breadths of the high angle lines from annealed materials suggests that some dislocations remain after annealing. Fourier analysis of the line shapes in general merely confirm the results of the analysis of the line breadths, but in the case of the recovered specimens it suggests that the dislocations form into walls (“polygonization”).\nRésumé\nLes méthodes utilisées auparavant dans l'interprétation de l'élargissement des raies sont discutées et il est montré qu'elles sont inadéquates; des méthodes plus correctes sont indiquées. L'examen des résultats publiés, obtenus au moyen d'une des ces méthodes, fait croire que les effets observés peuvent être attribués en même temps à la petitesse des particules et à l'élargissement dû à la déformation. Les variations de la distribution d'intensité dans les spectres d'aluminium et de tungstène ont été mesurées au moyen d'un spectromètre à compteur Geiger. Les largeurs des raies peuvent être attribuées simultanéinent à la petitesse des particules et à l'élargissement dû à la déformation, cette dernière étant la plus importante, surtout aux plus grands angles de Bragg, il est aussi démontré que les effets observés sont dûs aux dislocations ou à un autre défaut structural, similaire. L'augmentation observée dans la largeur des raies à grand angle obtenues des matériaux recuits, fait croire, qu'une partie des dislocations reste après recuit. L'analyse de Fourier de la forme des raies confirme en général les résultats d'analyse de la largeur des raies, mais dans le cas des échantillons qui ont subi un recuit de restauration, cela conduit plutôt à la conclusion que les dislocations se rangent en plans (polygonisation).\nZusammenfassung\nDie analytischen Methoden, die bisher zur Auswertung von Messungen der Linienverbreiterung von Röntgeninterferenzen benutzt wurden, werden diskutiert. Es wird gezeigt, dass sie unzureichend sind, und zuverlässige Methoden werden beschrieben. Analysiert man die in der Literatur veröffentlichten Daten nach einer dieser Methoden, so scheint die beobachtete Verbreiterung sowohl auf den Effekt der kleinen Teilchengrösse als auch auf innere Spannungen zurück zu gehen. Veränderungen in der Intensitätsyerteilung der Feinstrukturdiagramme von kaltbearbeitetem Aluminium und Wolfram wurden mit Hilfe eines Zählrohr-Spektronometers gemessen. Die Linienverbreiterung kann auf die gleichzeitig vorhandenen Effekte kleiner Teilchengrösse und innerer Spannungen zurückgeführt werden; der Einfluss der Spannungen überwiegt, vor allem bei grossen Reflexionswinkeln. Es wird gezeigt, dass die beobachteten Effekte durch Versetzungen (“dislocations”) oder ähnliche Kristallbaufehler hervorgerufen werden. Die beobachtete Verbreiterung der Linien grosser Reflexionswinkel in geglühten Materialien deutet darauf hin, dass nach der Glühung noch einige Versetzungen (“dislocations”) im Material zurückbleiben. Fourieranalyse der allgemeinen Linienform bestätigt nur die Resultate der Analyse der Linienverbreiterung. Allein bei erholten Proben deutet sie darauf hin, dass sich die Versetzungen (“dislocations”) zu Wänden zusammenschliessen (“Polygonisation”).","container-title":"Acta Metallurgica","DOI":"10.1016/0001-6160(53)90006-6","ISSN":"0001-6160","issue":"1","journalAbbreviation":"Acta Metallurgica","page":"22-31","source":"ScienceDirect","title":"X-ray line broadening from filed aluminium and wolfram","volume":"1","author":[{"family":"Williamson","given":"G. K"},{"family":"Hall","given":"W. H"}],"issued":{"date-parts":[["1953",1,1]]}}}],"schema":"https://github.com/citation-style-language/schema/raw/master/csl-citation.json"} </w:instrText>
      </w:r>
      <w:r w:rsidR="00412A4C">
        <w:rPr>
          <w:rFonts w:ascii="Times New Roman" w:hAnsi="Times New Roman" w:cs="Times New Roman"/>
        </w:rPr>
        <w:fldChar w:fldCharType="separate"/>
      </w:r>
      <w:r w:rsidR="00412A4C">
        <w:rPr>
          <w:rFonts w:ascii="Times New Roman" w:hAnsi="Times New Roman" w:cs="Times New Roman"/>
          <w:noProof/>
        </w:rPr>
        <w:t>[6]</w:t>
      </w:r>
      <w:r w:rsidR="00412A4C">
        <w:rPr>
          <w:rFonts w:ascii="Times New Roman" w:hAnsi="Times New Roman" w:cs="Times New Roman"/>
        </w:rPr>
        <w:fldChar w:fldCharType="end"/>
      </w:r>
      <w:r w:rsidRPr="002A4D34">
        <w:rPr>
          <w:rFonts w:ascii="Times New Roman" w:hAnsi="Times New Roman" w:cs="Times New Roman"/>
        </w:rPr>
        <w:t xml:space="preserve"> relation:</w:t>
      </w:r>
    </w:p>
    <w:p w14:paraId="259B5CF8" w14:textId="77777777" w:rsidR="00DD04E7" w:rsidRPr="002A4D34" w:rsidRDefault="00DD04E7" w:rsidP="00903C80">
      <w:pPr>
        <w:spacing w:after="0" w:line="480" w:lineRule="auto"/>
        <w:rPr>
          <w:rFonts w:ascii="Times New Roman" w:hAnsi="Times New Roman" w:cs="Times New Roman"/>
          <w:i/>
        </w:rPr>
      </w:pPr>
      <m:oMathPara>
        <m:oMath>
          <m:r>
            <w:rPr>
              <w:rFonts w:ascii="Cambria Math" w:hAnsi="Cambria Math" w:cs="Times New Roman"/>
            </w:rPr>
            <m:t>δ≈</m:t>
          </m:r>
          <m:f>
            <m:fPr>
              <m:ctrlPr>
                <w:rPr>
                  <w:rFonts w:ascii="Cambria Math" w:hAnsi="Cambria Math" w:cs="Times New Roman"/>
                  <w:i/>
                </w:rPr>
              </m:ctrlPr>
            </m:fPr>
            <m:num>
              <m:r>
                <w:rPr>
                  <w:rFonts w:ascii="Cambria Math" w:hAnsi="Cambria Math" w:cs="Times New Roman"/>
                </w:rPr>
                <m:t>1</m:t>
              </m:r>
            </m:num>
            <m:den>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den>
          </m:f>
        </m:oMath>
      </m:oMathPara>
    </w:p>
    <w:p w14:paraId="544A4B11" w14:textId="77777777" w:rsidR="00DD04E7" w:rsidRDefault="00DD04E7" w:rsidP="00903C80">
      <w:pPr>
        <w:spacing w:after="0" w:line="480" w:lineRule="auto"/>
        <w:rPr>
          <w:rFonts w:ascii="Times New Roman" w:hAnsi="Times New Roman" w:cs="Times New Roman"/>
        </w:rPr>
      </w:pPr>
      <w:r w:rsidRPr="002A4D34">
        <w:rPr>
          <w:rFonts w:ascii="Times New Roman" w:hAnsi="Times New Roman" w:cs="Times New Roman"/>
        </w:rPr>
        <w:t>This approach provides an upper-limit estimate of dislocation density if instrumental broadening is not subtracted.</w:t>
      </w:r>
    </w:p>
    <w:p w14:paraId="412EB520" w14:textId="3C52B900" w:rsidR="00DD04E7" w:rsidRDefault="00EA12A3" w:rsidP="00903C80">
      <w:pPr>
        <w:spacing w:after="0" w:line="480" w:lineRule="auto"/>
        <w:jc w:val="center"/>
        <w:rPr>
          <w:rFonts w:ascii="Times New Roman" w:hAnsi="Times New Roman" w:cs="Times New Roman"/>
        </w:rPr>
      </w:pPr>
      <w:r w:rsidRPr="00EA12A3">
        <w:rPr>
          <w:rFonts w:ascii="Times New Roman" w:hAnsi="Times New Roman" w:cs="Times New Roman"/>
          <w:noProof/>
        </w:rPr>
        <w:drawing>
          <wp:inline distT="0" distB="0" distL="0" distR="0" wp14:anchorId="4C8FF8A9" wp14:editId="3EDBC847">
            <wp:extent cx="5171893" cy="2078891"/>
            <wp:effectExtent l="0" t="0" r="0" b="4445"/>
            <wp:docPr id="1119100586" name="Picture 1" descr="A graph of a dislocated blochar and a percen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100586" name="Picture 1" descr="A graph of a dislocated blochar and a percentage&#10;&#10;Description automatically generated"/>
                    <pic:cNvPicPr/>
                  </pic:nvPicPr>
                  <pic:blipFill rotWithShape="1">
                    <a:blip r:embed="rId14"/>
                    <a:srcRect l="1327" t="2143" r="581" b="2237"/>
                    <a:stretch/>
                  </pic:blipFill>
                  <pic:spPr bwMode="auto">
                    <a:xfrm>
                      <a:off x="0" y="0"/>
                      <a:ext cx="5173726" cy="2079628"/>
                    </a:xfrm>
                    <a:prstGeom prst="rect">
                      <a:avLst/>
                    </a:prstGeom>
                    <a:ln>
                      <a:noFill/>
                    </a:ln>
                    <a:extLst>
                      <a:ext uri="{53640926-AAD7-44D8-BBD7-CCE9431645EC}">
                        <a14:shadowObscured xmlns:a14="http://schemas.microsoft.com/office/drawing/2010/main"/>
                      </a:ext>
                    </a:extLst>
                  </pic:spPr>
                </pic:pic>
              </a:graphicData>
            </a:graphic>
          </wp:inline>
        </w:drawing>
      </w:r>
    </w:p>
    <w:p w14:paraId="123E2E17" w14:textId="59B10C08" w:rsidR="002C4E50" w:rsidRDefault="00DD04E7" w:rsidP="00903C80">
      <w:pPr>
        <w:spacing w:after="0" w:line="480" w:lineRule="auto"/>
        <w:jc w:val="both"/>
        <w:rPr>
          <w:rFonts w:ascii="Times New Roman" w:hAnsi="Times New Roman" w:cs="Times New Roman"/>
        </w:rPr>
      </w:pPr>
      <w:bookmarkStart w:id="4" w:name="_Toc224215281"/>
      <w:r w:rsidRPr="004503FB">
        <w:rPr>
          <w:rStyle w:val="Heading1Char"/>
          <w:rFonts w:ascii="Times New Roman" w:hAnsi="Times New Roman" w:cs="Times New Roman"/>
          <w:b/>
          <w:bCs/>
          <w:color w:val="000000" w:themeColor="text1"/>
          <w:sz w:val="24"/>
          <w:szCs w:val="24"/>
        </w:rPr>
        <w:t>Fig. S</w:t>
      </w:r>
      <w:r w:rsidR="004A3998">
        <w:rPr>
          <w:rStyle w:val="Heading1Char"/>
          <w:rFonts w:ascii="Times New Roman" w:hAnsi="Times New Roman" w:cs="Times New Roman" w:hint="eastAsia"/>
          <w:b/>
          <w:bCs/>
          <w:color w:val="000000" w:themeColor="text1"/>
          <w:sz w:val="24"/>
          <w:szCs w:val="24"/>
        </w:rPr>
        <w:t>3</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w:t>
      </w:r>
      <w:r w:rsidR="00EA12A3" w:rsidRPr="004503FB">
        <w:rPr>
          <w:rStyle w:val="Heading1Char"/>
          <w:rFonts w:ascii="Times New Roman" w:hAnsi="Times New Roman" w:cs="Times New Roman"/>
          <w:color w:val="000000" w:themeColor="text1"/>
          <w:sz w:val="24"/>
          <w:szCs w:val="24"/>
        </w:rPr>
        <w:t xml:space="preserve">(a) </w:t>
      </w:r>
      <w:r w:rsidRPr="004503FB">
        <w:rPr>
          <w:rStyle w:val="Heading1Char"/>
          <w:rFonts w:ascii="Times New Roman" w:hAnsi="Times New Roman" w:cs="Times New Roman"/>
          <w:color w:val="000000" w:themeColor="text1"/>
          <w:sz w:val="24"/>
          <w:szCs w:val="24"/>
        </w:rPr>
        <w:t xml:space="preserve">The full-width-at-half-maximum (FWHM) values of the X-ray diffraction (XRD) C(002) peak and </w:t>
      </w:r>
      <w:r w:rsidR="00EA12A3" w:rsidRPr="004503FB">
        <w:rPr>
          <w:rStyle w:val="Heading1Char"/>
          <w:rFonts w:ascii="Times New Roman" w:hAnsi="Times New Roman" w:cs="Times New Roman"/>
          <w:color w:val="000000" w:themeColor="text1"/>
          <w:sz w:val="24"/>
          <w:szCs w:val="24"/>
        </w:rPr>
        <w:t xml:space="preserve">(b) </w:t>
      </w:r>
      <w:r w:rsidRPr="004503FB">
        <w:rPr>
          <w:rStyle w:val="Heading1Char"/>
          <w:rFonts w:ascii="Times New Roman" w:hAnsi="Times New Roman" w:cs="Times New Roman"/>
          <w:color w:val="000000" w:themeColor="text1"/>
          <w:sz w:val="24"/>
          <w:szCs w:val="24"/>
        </w:rPr>
        <w:t>the corresponding calculated dislocation densities for biochar-doped asphalt samples</w:t>
      </w:r>
      <w:bookmarkEnd w:id="4"/>
      <w:r>
        <w:rPr>
          <w:rFonts w:ascii="Times New Roman" w:hAnsi="Times New Roman" w:cs="Times New Roman" w:hint="eastAsia"/>
        </w:rPr>
        <w:t>.</w:t>
      </w:r>
    </w:p>
    <w:p w14:paraId="2F9D710B" w14:textId="77777777" w:rsidR="00E443DC" w:rsidRDefault="00E443DC" w:rsidP="00903C80">
      <w:pPr>
        <w:spacing w:after="0" w:line="480" w:lineRule="auto"/>
        <w:jc w:val="both"/>
        <w:rPr>
          <w:rFonts w:ascii="Times New Roman" w:hAnsi="Times New Roman" w:cs="Times New Roman"/>
        </w:rPr>
        <w:sectPr w:rsidR="00E443DC" w:rsidSect="00892318">
          <w:pgSz w:w="11906" w:h="16838"/>
          <w:pgMar w:top="1440" w:right="1800" w:bottom="1440" w:left="1800" w:header="851" w:footer="992" w:gutter="0"/>
          <w:cols w:space="425"/>
          <w:docGrid w:type="lines" w:linePitch="326"/>
        </w:sectPr>
      </w:pPr>
    </w:p>
    <w:p w14:paraId="019B3ED8" w14:textId="010BDEB1" w:rsidR="002C4E50" w:rsidRDefault="00BE2AD5" w:rsidP="00903C80">
      <w:pPr>
        <w:spacing w:after="0" w:line="480" w:lineRule="auto"/>
        <w:jc w:val="both"/>
        <w:rPr>
          <w:rFonts w:ascii="Times New Roman" w:hAnsi="Times New Roman" w:cs="Times New Roman"/>
        </w:rPr>
      </w:pPr>
      <w:r>
        <w:rPr>
          <w:rFonts w:ascii="Times New Roman" w:hAnsi="Times New Roman" w:cs="Times New Roman" w:hint="eastAsia"/>
          <w:noProof/>
        </w:rPr>
        <w:lastRenderedPageBreak/>
        <w:drawing>
          <wp:inline distT="0" distB="0" distL="0" distR="0" wp14:anchorId="3F6ACD0B" wp14:editId="79780C73">
            <wp:extent cx="5274310" cy="3171825"/>
            <wp:effectExtent l="0" t="0" r="0" b="3175"/>
            <wp:docPr id="1533980811" name="Picture 2" descr="A collage of images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980811" name="Picture 2" descr="A collage of images of a cell&#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3171825"/>
                    </a:xfrm>
                    <a:prstGeom prst="rect">
                      <a:avLst/>
                    </a:prstGeom>
                  </pic:spPr>
                </pic:pic>
              </a:graphicData>
            </a:graphic>
          </wp:inline>
        </w:drawing>
      </w:r>
    </w:p>
    <w:p w14:paraId="521D0E54" w14:textId="1B51B468" w:rsidR="00E443DC" w:rsidRDefault="00A10ED5" w:rsidP="00903C80">
      <w:pPr>
        <w:spacing w:after="0" w:line="480" w:lineRule="auto"/>
        <w:rPr>
          <w:rFonts w:ascii="Times New Roman" w:hAnsi="Times New Roman" w:cs="Times New Roman"/>
        </w:rPr>
      </w:pPr>
      <w:bookmarkStart w:id="5" w:name="_Toc224215282"/>
      <w:r w:rsidRPr="004503FB">
        <w:rPr>
          <w:rStyle w:val="Heading1Char"/>
          <w:rFonts w:ascii="Times New Roman" w:hAnsi="Times New Roman" w:cs="Times New Roman"/>
          <w:b/>
          <w:bCs/>
          <w:color w:val="000000" w:themeColor="text1"/>
          <w:sz w:val="24"/>
          <w:szCs w:val="24"/>
        </w:rPr>
        <w:t>Fig</w:t>
      </w:r>
      <w:r w:rsidR="003379FF"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b/>
          <w:bCs/>
          <w:color w:val="000000" w:themeColor="text1"/>
          <w:sz w:val="24"/>
          <w:szCs w:val="24"/>
        </w:rPr>
        <w:t xml:space="preserve"> S</w:t>
      </w:r>
      <w:r w:rsidR="004A3998">
        <w:rPr>
          <w:rStyle w:val="Heading1Char"/>
          <w:rFonts w:ascii="Times New Roman" w:hAnsi="Times New Roman" w:cs="Times New Roman" w:hint="eastAsia"/>
          <w:b/>
          <w:bCs/>
          <w:color w:val="000000" w:themeColor="text1"/>
          <w:sz w:val="24"/>
          <w:szCs w:val="24"/>
        </w:rPr>
        <w:t>4</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AFM images at </w:t>
      </w:r>
      <w:r w:rsidR="002B42E4" w:rsidRPr="004503FB">
        <w:rPr>
          <w:rStyle w:val="Heading1Char"/>
          <w:rFonts w:ascii="Times New Roman" w:hAnsi="Times New Roman" w:cs="Times New Roman"/>
          <w:color w:val="000000" w:themeColor="text1"/>
          <w:sz w:val="24"/>
          <w:szCs w:val="24"/>
        </w:rPr>
        <w:t xml:space="preserve">5 μm scan range </w:t>
      </w:r>
      <w:r w:rsidRPr="004503FB">
        <w:rPr>
          <w:rStyle w:val="Heading1Char"/>
          <w:rFonts w:ascii="Times New Roman" w:hAnsi="Times New Roman" w:cs="Times New Roman"/>
          <w:color w:val="000000" w:themeColor="text1"/>
          <w:sz w:val="24"/>
          <w:szCs w:val="24"/>
        </w:rPr>
        <w:t>of the PG70-10 asphalt with biochar doping levels of (a) 0 wt%, (b) 2 wt%, (c) 4 wt%, (d) 6 wt%, (e) 8 wt% and (f) 10 wt%</w:t>
      </w:r>
      <w:bookmarkEnd w:id="5"/>
      <w:r>
        <w:rPr>
          <w:rFonts w:ascii="Times New Roman" w:hAnsi="Times New Roman" w:cs="Times New Roman" w:hint="eastAsia"/>
        </w:rPr>
        <w:t>.</w:t>
      </w:r>
    </w:p>
    <w:p w14:paraId="18ED196C" w14:textId="77777777" w:rsidR="00E443DC" w:rsidRDefault="00E443DC" w:rsidP="00903C80">
      <w:pPr>
        <w:spacing w:after="0" w:line="480" w:lineRule="auto"/>
        <w:jc w:val="both"/>
        <w:rPr>
          <w:rFonts w:ascii="Times New Roman" w:hAnsi="Times New Roman" w:cs="Times New Roman"/>
        </w:rPr>
      </w:pPr>
    </w:p>
    <w:p w14:paraId="044581FB" w14:textId="77777777" w:rsidR="00E443DC" w:rsidRDefault="00E443DC" w:rsidP="00903C80">
      <w:pPr>
        <w:spacing w:after="0" w:line="480" w:lineRule="auto"/>
        <w:jc w:val="both"/>
        <w:rPr>
          <w:rFonts w:ascii="Times New Roman" w:hAnsi="Times New Roman" w:cs="Times New Roman"/>
        </w:rPr>
      </w:pPr>
    </w:p>
    <w:p w14:paraId="1485B8E5" w14:textId="77777777" w:rsidR="00E443DC" w:rsidRDefault="00E443DC" w:rsidP="00903C80">
      <w:pPr>
        <w:spacing w:after="0" w:line="480" w:lineRule="auto"/>
        <w:jc w:val="both"/>
        <w:rPr>
          <w:rFonts w:ascii="Times New Roman" w:hAnsi="Times New Roman" w:cs="Times New Roman"/>
        </w:rPr>
        <w:sectPr w:rsidR="00E443DC" w:rsidSect="00892318">
          <w:pgSz w:w="11906" w:h="16838"/>
          <w:pgMar w:top="1440" w:right="1800" w:bottom="1440" w:left="1800" w:header="851" w:footer="992" w:gutter="0"/>
          <w:cols w:space="425"/>
          <w:docGrid w:type="lines" w:linePitch="326"/>
        </w:sectPr>
      </w:pPr>
    </w:p>
    <w:p w14:paraId="767AEFE9" w14:textId="588D346F" w:rsidR="002C4E50" w:rsidRDefault="006355C3" w:rsidP="00903C80">
      <w:pPr>
        <w:spacing w:after="0" w:line="480" w:lineRule="auto"/>
        <w:jc w:val="center"/>
        <w:rPr>
          <w:rFonts w:ascii="Times New Roman" w:hAnsi="Times New Roman"/>
          <w:b/>
          <w:bCs/>
          <w:color w:val="000000" w:themeColor="text1"/>
        </w:rPr>
      </w:pPr>
      <w:r>
        <w:rPr>
          <w:rFonts w:ascii="Times New Roman" w:hAnsi="Times New Roman"/>
          <w:b/>
          <w:bCs/>
          <w:noProof/>
          <w:color w:val="000000" w:themeColor="text1"/>
        </w:rPr>
        <w:lastRenderedPageBreak/>
        <w:drawing>
          <wp:inline distT="0" distB="0" distL="0" distR="0" wp14:anchorId="3C2172D2" wp14:editId="02E0AC76">
            <wp:extent cx="4989227" cy="2056079"/>
            <wp:effectExtent l="0" t="0" r="1905" b="1905"/>
            <wp:docPr id="1362558890" name="Picture 1"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558890" name="Picture 1" descr="A diagram of a molecul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29490" cy="2072672"/>
                    </a:xfrm>
                    <a:prstGeom prst="rect">
                      <a:avLst/>
                    </a:prstGeom>
                  </pic:spPr>
                </pic:pic>
              </a:graphicData>
            </a:graphic>
          </wp:inline>
        </w:drawing>
      </w:r>
    </w:p>
    <w:p w14:paraId="6552A964" w14:textId="38EFC6A2" w:rsidR="002C4E50" w:rsidRPr="004303EB" w:rsidRDefault="002C4E50" w:rsidP="00903C80">
      <w:pPr>
        <w:spacing w:after="0" w:line="480" w:lineRule="auto"/>
        <w:jc w:val="both"/>
        <w:rPr>
          <w:rFonts w:ascii="Times New Roman" w:eastAsia="SimSun" w:hAnsi="Times New Roman" w:cs="Times New Roman"/>
          <w:b/>
          <w:bCs/>
        </w:rPr>
      </w:pPr>
      <w:bookmarkStart w:id="6" w:name="_Toc224215283"/>
      <w:r w:rsidRPr="004503FB">
        <w:rPr>
          <w:rStyle w:val="Heading1Char"/>
          <w:rFonts w:ascii="Times New Roman" w:hAnsi="Times New Roman" w:cs="Times New Roman"/>
          <w:b/>
          <w:bCs/>
          <w:color w:val="000000" w:themeColor="text1"/>
          <w:sz w:val="24"/>
          <w:szCs w:val="24"/>
        </w:rPr>
        <w:t>Fig. S</w:t>
      </w:r>
      <w:r w:rsidR="004A3998">
        <w:rPr>
          <w:rStyle w:val="Heading1Char"/>
          <w:rFonts w:ascii="Times New Roman" w:hAnsi="Times New Roman" w:cs="Times New Roman" w:hint="eastAsia"/>
          <w:b/>
          <w:bCs/>
          <w:color w:val="000000" w:themeColor="text1"/>
          <w:sz w:val="24"/>
          <w:szCs w:val="24"/>
        </w:rPr>
        <w:t>5</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Electrostatic potentials (ESP) on the molecular vdW surface (</w:t>
      </w:r>
      <w:r w:rsidR="006B3ABC" w:rsidRPr="004503FB">
        <w:rPr>
          <w:rStyle w:val="Heading1Char"/>
          <w:rFonts w:ascii="Times New Roman" w:hAnsi="Times New Roman" w:cs="Times New Roman"/>
          <w:color w:val="000000" w:themeColor="text1"/>
          <w:sz w:val="24"/>
          <w:szCs w:val="24"/>
        </w:rPr>
        <w:t>a</w:t>
      </w:r>
      <w:r w:rsidRPr="004503FB">
        <w:rPr>
          <w:rStyle w:val="Heading1Char"/>
          <w:rFonts w:ascii="Times New Roman" w:hAnsi="Times New Roman" w:cs="Times New Roman"/>
          <w:color w:val="000000" w:themeColor="text1"/>
          <w:sz w:val="24"/>
          <w:szCs w:val="24"/>
        </w:rPr>
        <w:t>), Molecular orbital energies and calculated HOMO-LUMO energy gap (</w:t>
      </w:r>
      <w:r w:rsidR="006B3ABC" w:rsidRPr="004503FB">
        <w:rPr>
          <w:rStyle w:val="Heading1Char"/>
          <w:rFonts w:ascii="Times New Roman" w:hAnsi="Times New Roman" w:cs="Times New Roman"/>
          <w:color w:val="000000" w:themeColor="text1"/>
          <w:sz w:val="24"/>
          <w:szCs w:val="24"/>
        </w:rPr>
        <w:t>b</w:t>
      </w:r>
      <w:r w:rsidRPr="004503FB">
        <w:rPr>
          <w:rStyle w:val="Heading1Char"/>
          <w:rFonts w:ascii="Times New Roman" w:hAnsi="Times New Roman" w:cs="Times New Roman"/>
          <w:color w:val="000000" w:themeColor="text1"/>
          <w:sz w:val="24"/>
          <w:szCs w:val="24"/>
        </w:rPr>
        <w:t>) of WS-biochar</w:t>
      </w:r>
      <w:bookmarkEnd w:id="6"/>
      <w:r>
        <w:rPr>
          <w:rFonts w:ascii="Times New Roman" w:eastAsia="SimSun" w:hAnsi="Times New Roman" w:cs="Times New Roman"/>
        </w:rPr>
        <w:t>.</w:t>
      </w:r>
    </w:p>
    <w:p w14:paraId="00BF676E" w14:textId="77777777" w:rsidR="002C4E50" w:rsidRDefault="002C4E50" w:rsidP="00903C80">
      <w:pPr>
        <w:spacing w:after="0" w:line="480" w:lineRule="auto"/>
        <w:jc w:val="both"/>
        <w:rPr>
          <w:rFonts w:ascii="Times New Roman" w:hAnsi="Times New Roman" w:cs="Times New Roman"/>
        </w:rPr>
      </w:pPr>
    </w:p>
    <w:p w14:paraId="04DFB093" w14:textId="77777777" w:rsidR="002C4E50" w:rsidRDefault="002C4E50" w:rsidP="00903C80">
      <w:pPr>
        <w:spacing w:after="0" w:line="480" w:lineRule="auto"/>
        <w:jc w:val="both"/>
        <w:rPr>
          <w:rFonts w:ascii="Times New Roman" w:hAnsi="Times New Roman" w:cs="Times New Roman"/>
        </w:rPr>
      </w:pPr>
    </w:p>
    <w:p w14:paraId="4E53180C" w14:textId="77777777" w:rsidR="002C4E50" w:rsidRDefault="002C4E50" w:rsidP="00903C80">
      <w:pPr>
        <w:spacing w:after="0" w:line="480" w:lineRule="auto"/>
        <w:jc w:val="both"/>
        <w:rPr>
          <w:rFonts w:ascii="Times New Roman" w:hAnsi="Times New Roman" w:cs="Times New Roman"/>
        </w:rPr>
        <w:sectPr w:rsidR="002C4E50" w:rsidSect="00892318">
          <w:pgSz w:w="11906" w:h="16838"/>
          <w:pgMar w:top="1440" w:right="1800" w:bottom="1440" w:left="1800" w:header="851" w:footer="992" w:gutter="0"/>
          <w:cols w:space="425"/>
          <w:docGrid w:type="lines" w:linePitch="326"/>
        </w:sectPr>
      </w:pPr>
    </w:p>
    <w:p w14:paraId="08D47C27" w14:textId="56327AC2" w:rsidR="002C4E50" w:rsidRDefault="00627C58" w:rsidP="00903C80">
      <w:pPr>
        <w:spacing w:after="0" w:line="480" w:lineRule="auto"/>
        <w:jc w:val="center"/>
        <w:rPr>
          <w:rFonts w:ascii="Times New Roman" w:hAnsi="Times New Roman"/>
          <w:b/>
          <w:bCs/>
          <w:color w:val="000000" w:themeColor="text1"/>
        </w:rPr>
      </w:pPr>
      <w:r>
        <w:rPr>
          <w:rFonts w:ascii="Times New Roman" w:hAnsi="Times New Roman"/>
          <w:b/>
          <w:bCs/>
          <w:noProof/>
          <w:color w:val="000000" w:themeColor="text1"/>
        </w:rPr>
        <w:lastRenderedPageBreak/>
        <w:drawing>
          <wp:inline distT="0" distB="0" distL="0" distR="0" wp14:anchorId="699C3B64" wp14:editId="1D015788">
            <wp:extent cx="5274310" cy="4665980"/>
            <wp:effectExtent l="0" t="0" r="0" b="0"/>
            <wp:docPr id="291448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48736" name="Picture 29144873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4665980"/>
                    </a:xfrm>
                    <a:prstGeom prst="rect">
                      <a:avLst/>
                    </a:prstGeom>
                  </pic:spPr>
                </pic:pic>
              </a:graphicData>
            </a:graphic>
          </wp:inline>
        </w:drawing>
      </w:r>
    </w:p>
    <w:p w14:paraId="5AABA6A1" w14:textId="69F79A75" w:rsidR="002C4E50" w:rsidRPr="00F85344" w:rsidRDefault="002C4E50" w:rsidP="00903C80">
      <w:pPr>
        <w:spacing w:after="0" w:line="480" w:lineRule="auto"/>
        <w:jc w:val="both"/>
        <w:rPr>
          <w:rFonts w:ascii="Times New Roman" w:hAnsi="Times New Roman" w:cs="Times New Roman"/>
        </w:rPr>
      </w:pPr>
      <w:bookmarkStart w:id="7" w:name="_Toc224215284"/>
      <w:r w:rsidRPr="004503FB">
        <w:rPr>
          <w:rStyle w:val="Heading1Char"/>
          <w:rFonts w:ascii="Times New Roman" w:hAnsi="Times New Roman" w:cs="Times New Roman"/>
          <w:b/>
          <w:bCs/>
          <w:color w:val="000000" w:themeColor="text1"/>
          <w:sz w:val="24"/>
          <w:szCs w:val="24"/>
        </w:rPr>
        <w:t>Fig. S</w:t>
      </w:r>
      <w:r w:rsidR="004A3998">
        <w:rPr>
          <w:rStyle w:val="Heading1Char"/>
          <w:rFonts w:ascii="Times New Roman" w:hAnsi="Times New Roman" w:cs="Times New Roman" w:hint="eastAsia"/>
          <w:b/>
          <w:bCs/>
          <w:color w:val="000000" w:themeColor="text1"/>
          <w:sz w:val="24"/>
          <w:szCs w:val="24"/>
        </w:rPr>
        <w:t>6</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Electrostatic potentials (ESP) on the molecular vdW surface of WS-biochar doped asphalt molecules</w:t>
      </w:r>
      <w:bookmarkEnd w:id="7"/>
      <w:r>
        <w:rPr>
          <w:rFonts w:ascii="Times New Roman" w:hAnsi="Times New Roman" w:cs="Times New Roman" w:hint="eastAsia"/>
        </w:rPr>
        <w:t xml:space="preserve"> with Resin (</w:t>
      </w:r>
      <w:r w:rsidR="004503FB">
        <w:rPr>
          <w:rFonts w:ascii="Times New Roman" w:hAnsi="Times New Roman" w:cs="Times New Roman"/>
        </w:rPr>
        <w:t>a</w:t>
      </w:r>
      <w:r>
        <w:rPr>
          <w:rFonts w:ascii="Times New Roman" w:hAnsi="Times New Roman" w:cs="Times New Roman" w:hint="eastAsia"/>
        </w:rPr>
        <w:t xml:space="preserve">, </w:t>
      </w:r>
      <w:r w:rsidR="004503FB">
        <w:rPr>
          <w:rFonts w:ascii="Times New Roman" w:hAnsi="Times New Roman" w:cs="Times New Roman"/>
        </w:rPr>
        <w:t>b</w:t>
      </w:r>
      <w:r>
        <w:rPr>
          <w:rFonts w:ascii="Times New Roman" w:hAnsi="Times New Roman" w:cs="Times New Roman" w:hint="eastAsia"/>
        </w:rPr>
        <w:t xml:space="preserve">, </w:t>
      </w:r>
      <w:r w:rsidR="004503FB">
        <w:rPr>
          <w:rFonts w:ascii="Times New Roman" w:hAnsi="Times New Roman" w:cs="Times New Roman"/>
        </w:rPr>
        <w:t>c</w:t>
      </w:r>
      <w:r>
        <w:rPr>
          <w:rFonts w:ascii="Times New Roman" w:hAnsi="Times New Roman" w:cs="Times New Roman" w:hint="eastAsia"/>
        </w:rPr>
        <w:t xml:space="preserve">, </w:t>
      </w:r>
      <w:r w:rsidR="004503FB">
        <w:rPr>
          <w:rFonts w:ascii="Times New Roman" w:hAnsi="Times New Roman" w:cs="Times New Roman"/>
        </w:rPr>
        <w:t>d</w:t>
      </w:r>
      <w:r>
        <w:rPr>
          <w:rFonts w:ascii="Times New Roman" w:hAnsi="Times New Roman" w:cs="Times New Roman" w:hint="eastAsia"/>
        </w:rPr>
        <w:t xml:space="preserve"> and </w:t>
      </w:r>
      <w:r w:rsidR="004503FB">
        <w:rPr>
          <w:rFonts w:ascii="Times New Roman" w:hAnsi="Times New Roman" w:cs="Times New Roman"/>
        </w:rPr>
        <w:t>e</w:t>
      </w:r>
      <w:r>
        <w:rPr>
          <w:rFonts w:ascii="Times New Roman" w:hAnsi="Times New Roman" w:cs="Times New Roman" w:hint="eastAsia"/>
        </w:rPr>
        <w:t xml:space="preserve">), Naphthene </w:t>
      </w:r>
      <w:r>
        <w:rPr>
          <w:rFonts w:ascii="Times New Roman" w:hAnsi="Times New Roman" w:cs="Times New Roman"/>
        </w:rPr>
        <w:t>Aromatics</w:t>
      </w:r>
      <w:r>
        <w:rPr>
          <w:rFonts w:ascii="Times New Roman" w:hAnsi="Times New Roman" w:cs="Times New Roman" w:hint="eastAsia"/>
        </w:rPr>
        <w:t xml:space="preserve"> (</w:t>
      </w:r>
      <w:r w:rsidR="004503FB">
        <w:rPr>
          <w:rFonts w:ascii="Times New Roman" w:hAnsi="Times New Roman" w:cs="Times New Roman"/>
        </w:rPr>
        <w:t>f</w:t>
      </w:r>
      <w:r>
        <w:rPr>
          <w:rFonts w:ascii="Times New Roman" w:hAnsi="Times New Roman" w:cs="Times New Roman" w:hint="eastAsia"/>
        </w:rPr>
        <w:t xml:space="preserve">, </w:t>
      </w:r>
      <w:r w:rsidR="004503FB">
        <w:rPr>
          <w:rFonts w:ascii="Times New Roman" w:hAnsi="Times New Roman" w:cs="Times New Roman"/>
        </w:rPr>
        <w:t>g</w:t>
      </w:r>
      <w:r>
        <w:rPr>
          <w:rFonts w:ascii="Times New Roman" w:hAnsi="Times New Roman" w:cs="Times New Roman" w:hint="eastAsia"/>
        </w:rPr>
        <w:t>), Saturates (</w:t>
      </w:r>
      <w:r w:rsidR="004503FB">
        <w:rPr>
          <w:rFonts w:ascii="Times New Roman" w:hAnsi="Times New Roman" w:cs="Times New Roman"/>
        </w:rPr>
        <w:t>h</w:t>
      </w:r>
      <w:r>
        <w:rPr>
          <w:rFonts w:ascii="Times New Roman" w:hAnsi="Times New Roman" w:cs="Times New Roman" w:hint="eastAsia"/>
        </w:rPr>
        <w:t xml:space="preserve">, </w:t>
      </w:r>
      <w:r w:rsidR="004503FB">
        <w:rPr>
          <w:rFonts w:ascii="Times New Roman" w:hAnsi="Times New Roman" w:cs="Times New Roman"/>
        </w:rPr>
        <w:t>i</w:t>
      </w:r>
      <w:r>
        <w:rPr>
          <w:rFonts w:ascii="Times New Roman" w:hAnsi="Times New Roman" w:cs="Times New Roman" w:hint="eastAsia"/>
        </w:rPr>
        <w:t>), and Asphaltenes (</w:t>
      </w:r>
      <w:r w:rsidR="004503FB">
        <w:rPr>
          <w:rFonts w:ascii="Times New Roman" w:hAnsi="Times New Roman" w:cs="Times New Roman"/>
        </w:rPr>
        <w:t>j</w:t>
      </w:r>
      <w:r>
        <w:rPr>
          <w:rFonts w:ascii="Times New Roman" w:hAnsi="Times New Roman" w:cs="Times New Roman" w:hint="eastAsia"/>
        </w:rPr>
        <w:t xml:space="preserve"> and </w:t>
      </w:r>
      <w:r w:rsidR="004503FB">
        <w:rPr>
          <w:rFonts w:ascii="Times New Roman" w:hAnsi="Times New Roman" w:cs="Times New Roman"/>
        </w:rPr>
        <w:t>k</w:t>
      </w:r>
      <w:r>
        <w:rPr>
          <w:rFonts w:ascii="Times New Roman" w:hAnsi="Times New Roman" w:cs="Times New Roman" w:hint="eastAsia"/>
        </w:rPr>
        <w:t>)</w:t>
      </w:r>
      <w:r w:rsidRPr="00F85344">
        <w:rPr>
          <w:rFonts w:ascii="Times New Roman" w:hAnsi="Times New Roman" w:cs="Times New Roman"/>
        </w:rPr>
        <w:t xml:space="preserve">. All the ESP calculations are performed at the level of B3LYP/6-31G (d, p). Yellow and </w:t>
      </w:r>
      <w:r>
        <w:rPr>
          <w:rFonts w:ascii="Times New Roman" w:hAnsi="Times New Roman" w:cs="Times New Roman"/>
        </w:rPr>
        <w:t>cyan</w:t>
      </w:r>
      <w:r w:rsidRPr="00F85344">
        <w:rPr>
          <w:rFonts w:ascii="Times New Roman" w:hAnsi="Times New Roman" w:cs="Times New Roman"/>
        </w:rPr>
        <w:t xml:space="preserve"> spheres denote the surface local maxima and minima of the ESP values.</w:t>
      </w:r>
    </w:p>
    <w:p w14:paraId="6E6DE086" w14:textId="77777777" w:rsidR="002C4E50" w:rsidRDefault="002C4E50" w:rsidP="00903C80">
      <w:pPr>
        <w:spacing w:after="0" w:line="480" w:lineRule="auto"/>
        <w:jc w:val="both"/>
        <w:rPr>
          <w:rFonts w:ascii="Times New Roman" w:hAnsi="Times New Roman" w:cs="Times New Roman"/>
        </w:rPr>
      </w:pPr>
    </w:p>
    <w:p w14:paraId="57A75D62" w14:textId="77777777" w:rsidR="002C4E50" w:rsidRPr="00DD04E7" w:rsidRDefault="002C4E50" w:rsidP="00903C80">
      <w:pPr>
        <w:spacing w:after="0" w:line="480" w:lineRule="auto"/>
        <w:jc w:val="both"/>
        <w:rPr>
          <w:rFonts w:ascii="Times New Roman" w:hAnsi="Times New Roman" w:cs="Times New Roman"/>
        </w:rPr>
      </w:pPr>
    </w:p>
    <w:p w14:paraId="096BEB29" w14:textId="77777777" w:rsidR="00892318" w:rsidRDefault="00892318" w:rsidP="00903C80">
      <w:pPr>
        <w:spacing w:after="0" w:line="480" w:lineRule="auto"/>
        <w:rPr>
          <w:rFonts w:ascii="Times New Roman" w:hAnsi="Times New Roman"/>
          <w:b/>
          <w:bCs/>
          <w:color w:val="000000" w:themeColor="text1"/>
        </w:rPr>
        <w:sectPr w:rsidR="00892318" w:rsidSect="00892318">
          <w:pgSz w:w="11906" w:h="16838"/>
          <w:pgMar w:top="1440" w:right="1800" w:bottom="1440" w:left="1800" w:header="851" w:footer="992" w:gutter="0"/>
          <w:cols w:space="425"/>
          <w:docGrid w:type="lines" w:linePitch="326"/>
        </w:sectPr>
      </w:pPr>
      <w:bookmarkStart w:id="8" w:name="_Hlk153909641"/>
    </w:p>
    <w:p w14:paraId="21D4BE8C" w14:textId="5E77FEE7" w:rsidR="00ED3B23" w:rsidRDefault="00E952B7" w:rsidP="00903C80">
      <w:pPr>
        <w:spacing w:after="0" w:line="480" w:lineRule="auto"/>
        <w:rPr>
          <w:rFonts w:ascii="Times New Roman" w:hAnsi="Times New Roman"/>
          <w:b/>
          <w:bCs/>
          <w:color w:val="000000" w:themeColor="text1"/>
        </w:rPr>
      </w:pPr>
      <w:r>
        <w:rPr>
          <w:rFonts w:ascii="Times New Roman" w:hAnsi="Times New Roman"/>
          <w:b/>
          <w:bCs/>
          <w:noProof/>
          <w:color w:val="000000" w:themeColor="text1"/>
        </w:rPr>
        <w:lastRenderedPageBreak/>
        <w:drawing>
          <wp:inline distT="0" distB="0" distL="0" distR="0" wp14:anchorId="3C7AC34D" wp14:editId="7DD29081">
            <wp:extent cx="5143500" cy="5943600"/>
            <wp:effectExtent l="0" t="0" r="0" b="0"/>
            <wp:docPr id="1146354117" name="Picture 5" descr="A group of molecules with number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54117" name="Picture 5" descr="A group of molecules with numbers and symbols&#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43500" cy="5943600"/>
                    </a:xfrm>
                    <a:prstGeom prst="rect">
                      <a:avLst/>
                    </a:prstGeom>
                  </pic:spPr>
                </pic:pic>
              </a:graphicData>
            </a:graphic>
          </wp:inline>
        </w:drawing>
      </w:r>
    </w:p>
    <w:p w14:paraId="6D8D0D67" w14:textId="6333074E" w:rsidR="00ED3B23" w:rsidRPr="001944C6" w:rsidRDefault="00ED3B23" w:rsidP="00903C80">
      <w:pPr>
        <w:spacing w:after="0" w:line="480" w:lineRule="auto"/>
        <w:jc w:val="both"/>
        <w:rPr>
          <w:rFonts w:ascii="Times New Roman" w:eastAsia="SimSun" w:hAnsi="Times New Roman" w:cs="Times New Roman"/>
          <w:b/>
          <w:bCs/>
        </w:rPr>
      </w:pPr>
      <w:bookmarkStart w:id="9" w:name="_Toc224215285"/>
      <w:r w:rsidRPr="004503FB">
        <w:rPr>
          <w:rStyle w:val="Heading1Char"/>
          <w:rFonts w:ascii="Times New Roman" w:hAnsi="Times New Roman" w:cs="Times New Roman"/>
          <w:b/>
          <w:bCs/>
          <w:color w:val="000000" w:themeColor="text1"/>
          <w:sz w:val="24"/>
          <w:szCs w:val="24"/>
        </w:rPr>
        <w:t>Fig. S</w:t>
      </w:r>
      <w:r w:rsidR="004A3998">
        <w:rPr>
          <w:rStyle w:val="Heading1Char"/>
          <w:rFonts w:ascii="Times New Roman" w:hAnsi="Times New Roman" w:cs="Times New Roman" w:hint="eastAsia"/>
          <w:b/>
          <w:bCs/>
          <w:color w:val="000000" w:themeColor="text1"/>
          <w:sz w:val="24"/>
          <w:szCs w:val="24"/>
        </w:rPr>
        <w:t>7</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Molecular orbital energies </w:t>
      </w:r>
      <w:r w:rsidR="00187D39" w:rsidRPr="004503FB">
        <w:rPr>
          <w:rStyle w:val="Heading1Char"/>
          <w:rFonts w:ascii="Times New Roman" w:hAnsi="Times New Roman" w:cs="Times New Roman"/>
          <w:color w:val="000000" w:themeColor="text1"/>
          <w:sz w:val="24"/>
          <w:szCs w:val="24"/>
        </w:rPr>
        <w:t xml:space="preserve">and calculated HOMO-LUMO energy gap </w:t>
      </w:r>
      <w:r w:rsidRPr="004503FB">
        <w:rPr>
          <w:rStyle w:val="Heading1Char"/>
          <w:rFonts w:ascii="Times New Roman" w:hAnsi="Times New Roman" w:cs="Times New Roman"/>
          <w:color w:val="000000" w:themeColor="text1"/>
          <w:sz w:val="24"/>
          <w:szCs w:val="24"/>
        </w:rPr>
        <w:t xml:space="preserve">of </w:t>
      </w:r>
      <w:r w:rsidR="00187D39" w:rsidRPr="004503FB">
        <w:rPr>
          <w:rStyle w:val="Heading1Char"/>
          <w:rFonts w:ascii="Times New Roman" w:hAnsi="Times New Roman" w:cs="Times New Roman"/>
          <w:color w:val="000000" w:themeColor="text1"/>
          <w:sz w:val="24"/>
          <w:szCs w:val="24"/>
        </w:rPr>
        <w:t>twelve asphalt molecules</w:t>
      </w:r>
      <w:bookmarkEnd w:id="9"/>
      <w:r w:rsidR="00187D39">
        <w:rPr>
          <w:rFonts w:ascii="Times New Roman" w:eastAsia="SimSun" w:hAnsi="Times New Roman" w:cs="Times New Roman"/>
        </w:rPr>
        <w:t>.</w:t>
      </w:r>
    </w:p>
    <w:p w14:paraId="5AA10015" w14:textId="77777777" w:rsidR="00ED3B23" w:rsidRDefault="00ED3B23" w:rsidP="00903C80">
      <w:pPr>
        <w:spacing w:after="0" w:line="480" w:lineRule="auto"/>
        <w:rPr>
          <w:rFonts w:ascii="Times New Roman" w:hAnsi="Times New Roman"/>
          <w:b/>
          <w:bCs/>
          <w:color w:val="000000" w:themeColor="text1"/>
        </w:rPr>
      </w:pPr>
    </w:p>
    <w:p w14:paraId="225547A9" w14:textId="77777777" w:rsidR="00ED3B23" w:rsidRDefault="00ED3B23" w:rsidP="00903C80">
      <w:pPr>
        <w:spacing w:after="0" w:line="480" w:lineRule="auto"/>
        <w:rPr>
          <w:rFonts w:ascii="Times New Roman" w:hAnsi="Times New Roman"/>
          <w:b/>
          <w:bCs/>
          <w:color w:val="000000" w:themeColor="text1"/>
        </w:rPr>
        <w:sectPr w:rsidR="00ED3B23" w:rsidSect="00ED3B23">
          <w:pgSz w:w="11906" w:h="16838"/>
          <w:pgMar w:top="1440" w:right="1800" w:bottom="1440" w:left="1800" w:header="851" w:footer="992" w:gutter="0"/>
          <w:cols w:space="425"/>
          <w:docGrid w:type="lines" w:linePitch="326"/>
        </w:sectPr>
      </w:pPr>
    </w:p>
    <w:p w14:paraId="35E33F43" w14:textId="5E9D5497" w:rsidR="00FC6FE8" w:rsidRDefault="00D96B39" w:rsidP="00903C80">
      <w:pPr>
        <w:spacing w:after="0" w:line="480" w:lineRule="auto"/>
        <w:jc w:val="center"/>
        <w:rPr>
          <w:rFonts w:ascii="Times New Roman" w:hAnsi="Times New Roman"/>
          <w:b/>
          <w:bCs/>
          <w:color w:val="000000" w:themeColor="text1"/>
        </w:rPr>
      </w:pPr>
      <w:r>
        <w:rPr>
          <w:rFonts w:ascii="Times New Roman" w:hAnsi="Times New Roman"/>
          <w:b/>
          <w:bCs/>
          <w:noProof/>
          <w:color w:val="000000" w:themeColor="text1"/>
        </w:rPr>
        <w:lastRenderedPageBreak/>
        <w:drawing>
          <wp:inline distT="0" distB="0" distL="0" distR="0" wp14:anchorId="54C30C7B" wp14:editId="6ADAA7E9">
            <wp:extent cx="5143500" cy="5943600"/>
            <wp:effectExtent l="0" t="0" r="0" b="0"/>
            <wp:docPr id="1464908422" name="Picture 4" descr="A group of molecules with number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08422" name="Picture 4" descr="A group of molecules with numbers and symbols&#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43500" cy="5943600"/>
                    </a:xfrm>
                    <a:prstGeom prst="rect">
                      <a:avLst/>
                    </a:prstGeom>
                  </pic:spPr>
                </pic:pic>
              </a:graphicData>
            </a:graphic>
          </wp:inline>
        </w:drawing>
      </w:r>
    </w:p>
    <w:p w14:paraId="64475BD5" w14:textId="60EBA30D" w:rsidR="002C4E50" w:rsidRPr="00FC6FE8" w:rsidRDefault="00FC6FE8" w:rsidP="00903C80">
      <w:pPr>
        <w:spacing w:after="0" w:line="480" w:lineRule="auto"/>
        <w:jc w:val="both"/>
        <w:rPr>
          <w:rFonts w:ascii="Times New Roman" w:eastAsia="SimSun" w:hAnsi="Times New Roman" w:cs="Times New Roman"/>
          <w:b/>
          <w:bCs/>
        </w:rPr>
      </w:pPr>
      <w:bookmarkStart w:id="10" w:name="_Toc224215286"/>
      <w:r w:rsidRPr="004503FB">
        <w:rPr>
          <w:rStyle w:val="Heading1Char"/>
          <w:rFonts w:ascii="Times New Roman" w:hAnsi="Times New Roman" w:cs="Times New Roman"/>
          <w:b/>
          <w:bCs/>
          <w:color w:val="000000" w:themeColor="text1"/>
          <w:sz w:val="24"/>
          <w:szCs w:val="24"/>
        </w:rPr>
        <w:t>Fig. S</w:t>
      </w:r>
      <w:r w:rsidR="004A3998">
        <w:rPr>
          <w:rStyle w:val="Heading1Char"/>
          <w:rFonts w:ascii="Times New Roman" w:hAnsi="Times New Roman" w:cs="Times New Roman" w:hint="eastAsia"/>
          <w:b/>
          <w:bCs/>
          <w:color w:val="000000" w:themeColor="text1"/>
          <w:sz w:val="24"/>
          <w:szCs w:val="24"/>
        </w:rPr>
        <w:t>8</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Molecular orbital energies and calculated HOMO-LUMO energy gap of WS-biochar doped asphalt systems</w:t>
      </w:r>
      <w:bookmarkEnd w:id="10"/>
      <w:r>
        <w:rPr>
          <w:rFonts w:ascii="Times New Roman" w:eastAsia="SimSun" w:hAnsi="Times New Roman" w:cs="Times New Roman"/>
        </w:rPr>
        <w:t>.</w:t>
      </w:r>
    </w:p>
    <w:p w14:paraId="71D45718" w14:textId="77777777" w:rsidR="002C4E50" w:rsidRDefault="002C4E50" w:rsidP="00903C80">
      <w:pPr>
        <w:spacing w:after="0" w:line="480" w:lineRule="auto"/>
        <w:rPr>
          <w:rFonts w:ascii="Times New Roman" w:hAnsi="Times New Roman"/>
          <w:b/>
          <w:bCs/>
          <w:color w:val="000000" w:themeColor="text1"/>
        </w:rPr>
      </w:pPr>
    </w:p>
    <w:p w14:paraId="73A3B783" w14:textId="77777777" w:rsidR="002C4E50" w:rsidRDefault="002C4E50" w:rsidP="00903C80">
      <w:pPr>
        <w:spacing w:after="0" w:line="480" w:lineRule="auto"/>
        <w:rPr>
          <w:rFonts w:ascii="Times New Roman" w:hAnsi="Times New Roman"/>
          <w:b/>
          <w:bCs/>
          <w:color w:val="000000" w:themeColor="text1"/>
        </w:rPr>
      </w:pPr>
    </w:p>
    <w:p w14:paraId="467A6A1E" w14:textId="77777777" w:rsidR="00187D39" w:rsidRDefault="00187D39" w:rsidP="00903C80">
      <w:pPr>
        <w:spacing w:after="0" w:line="480" w:lineRule="auto"/>
        <w:rPr>
          <w:rFonts w:ascii="Times New Roman" w:hAnsi="Times New Roman"/>
          <w:b/>
          <w:bCs/>
          <w:color w:val="000000" w:themeColor="text1"/>
        </w:rPr>
        <w:sectPr w:rsidR="00187D39" w:rsidSect="00ED3B23">
          <w:pgSz w:w="11906" w:h="16838"/>
          <w:pgMar w:top="1440" w:right="1800" w:bottom="1440" w:left="1800" w:header="851" w:footer="992" w:gutter="0"/>
          <w:cols w:space="425"/>
          <w:docGrid w:type="lines" w:linePitch="326"/>
        </w:sectPr>
      </w:pPr>
    </w:p>
    <w:p w14:paraId="1F280826" w14:textId="011D9741" w:rsidR="00D9371A" w:rsidRDefault="00E952B7" w:rsidP="00903C80">
      <w:pPr>
        <w:spacing w:after="0" w:line="480" w:lineRule="auto"/>
        <w:jc w:val="center"/>
        <w:rPr>
          <w:rFonts w:ascii="Times New Roman" w:hAnsi="Times New Roman"/>
          <w:b/>
          <w:bCs/>
          <w:color w:val="000000" w:themeColor="text1"/>
        </w:rPr>
      </w:pPr>
      <w:r>
        <w:rPr>
          <w:rFonts w:ascii="Times New Roman" w:hAnsi="Times New Roman"/>
          <w:b/>
          <w:bCs/>
          <w:noProof/>
          <w:color w:val="000000" w:themeColor="text1"/>
        </w:rPr>
        <w:lastRenderedPageBreak/>
        <w:drawing>
          <wp:inline distT="0" distB="0" distL="0" distR="0" wp14:anchorId="67405527" wp14:editId="6B56D913">
            <wp:extent cx="5274310" cy="5274310"/>
            <wp:effectExtent l="0" t="0" r="0" b="0"/>
            <wp:docPr id="1481187106" name="Picture 6" descr="A group of molecules with red and blue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87106" name="Picture 6" descr="A group of molecules with red and blue dots&#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14:paraId="0ED1C570" w14:textId="515DA361" w:rsidR="00D9371A" w:rsidRPr="00AA01BA" w:rsidRDefault="00D9371A" w:rsidP="00903C80">
      <w:pPr>
        <w:spacing w:after="0" w:line="480" w:lineRule="auto"/>
        <w:jc w:val="both"/>
        <w:rPr>
          <w:rFonts w:ascii="Times New Roman" w:eastAsia="SimSun" w:hAnsi="Times New Roman" w:cs="Times New Roman"/>
          <w:b/>
          <w:bCs/>
        </w:rPr>
      </w:pPr>
      <w:bookmarkStart w:id="11" w:name="_Toc224215287"/>
      <w:r w:rsidRPr="004503FB">
        <w:rPr>
          <w:rStyle w:val="Heading1Char"/>
          <w:rFonts w:ascii="Times New Roman" w:hAnsi="Times New Roman" w:cs="Times New Roman"/>
          <w:b/>
          <w:bCs/>
          <w:color w:val="000000" w:themeColor="text1"/>
          <w:sz w:val="24"/>
          <w:szCs w:val="24"/>
        </w:rPr>
        <w:t>Fig. S</w:t>
      </w:r>
      <w:r w:rsidR="004A3998">
        <w:rPr>
          <w:rStyle w:val="Heading1Char"/>
          <w:rFonts w:ascii="Times New Roman" w:hAnsi="Times New Roman" w:cs="Times New Roman" w:hint="eastAsia"/>
          <w:b/>
          <w:bCs/>
          <w:color w:val="000000" w:themeColor="text1"/>
          <w:sz w:val="24"/>
          <w:szCs w:val="24"/>
        </w:rPr>
        <w:t>9</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Optimized geometries of WS-biochar-doped asphalt systems</w:t>
      </w:r>
      <w:bookmarkEnd w:id="11"/>
      <w:r w:rsidRPr="002249CF">
        <w:rPr>
          <w:rFonts w:ascii="Times New Roman" w:hAnsi="Times New Roman" w:cs="Times New Roman"/>
        </w:rPr>
        <w:t>.</w:t>
      </w:r>
    </w:p>
    <w:p w14:paraId="4F8DC756" w14:textId="77777777" w:rsidR="00D9371A" w:rsidRDefault="00D9371A" w:rsidP="00903C80">
      <w:pPr>
        <w:spacing w:after="0" w:line="480" w:lineRule="auto"/>
        <w:rPr>
          <w:rFonts w:ascii="Times New Roman" w:hAnsi="Times New Roman"/>
          <w:b/>
          <w:bCs/>
          <w:color w:val="000000" w:themeColor="text1"/>
        </w:rPr>
      </w:pPr>
    </w:p>
    <w:p w14:paraId="291CE95C" w14:textId="77777777" w:rsidR="00A16AE5" w:rsidRDefault="00A16AE5" w:rsidP="00903C80">
      <w:pPr>
        <w:spacing w:after="0" w:line="480" w:lineRule="auto"/>
        <w:rPr>
          <w:rFonts w:ascii="Times New Roman" w:hAnsi="Times New Roman"/>
          <w:b/>
          <w:bCs/>
          <w:color w:val="000000" w:themeColor="text1"/>
        </w:rPr>
        <w:sectPr w:rsidR="00A16AE5" w:rsidSect="00ED3B23">
          <w:pgSz w:w="11906" w:h="16838"/>
          <w:pgMar w:top="1440" w:right="1800" w:bottom="1440" w:left="1800" w:header="851" w:footer="992" w:gutter="0"/>
          <w:cols w:space="425"/>
          <w:docGrid w:type="lines" w:linePitch="326"/>
        </w:sectPr>
      </w:pPr>
    </w:p>
    <w:p w14:paraId="103377FF" w14:textId="56EF24BD" w:rsidR="0051224A" w:rsidRDefault="0051224A" w:rsidP="00903C80">
      <w:pPr>
        <w:spacing w:after="0" w:line="480" w:lineRule="auto"/>
        <w:rPr>
          <w:rFonts w:ascii="Times New Roman" w:eastAsia="KaiTi" w:hAnsi="Times New Roman"/>
          <w:color w:val="1C1D1E"/>
          <w:shd w:val="clear" w:color="auto" w:fill="FFFFFF"/>
        </w:rPr>
      </w:pPr>
      <w:bookmarkStart w:id="12" w:name="_Toc224215288"/>
      <w:r w:rsidRPr="004503FB">
        <w:rPr>
          <w:rStyle w:val="Heading1Char"/>
          <w:rFonts w:ascii="Times New Roman" w:hAnsi="Times New Roman" w:cs="Times New Roman"/>
          <w:b/>
          <w:bCs/>
          <w:color w:val="000000" w:themeColor="text1"/>
          <w:sz w:val="24"/>
          <w:szCs w:val="24"/>
        </w:rPr>
        <w:lastRenderedPageBreak/>
        <w:t>Table S</w:t>
      </w:r>
      <w:bookmarkEnd w:id="8"/>
      <w:r w:rsidRPr="004503FB">
        <w:rPr>
          <w:rStyle w:val="Heading1Char"/>
          <w:rFonts w:ascii="Times New Roman" w:hAnsi="Times New Roman" w:cs="Times New Roman"/>
          <w:b/>
          <w:bCs/>
          <w:color w:val="000000" w:themeColor="text1"/>
          <w:sz w:val="24"/>
          <w:szCs w:val="24"/>
        </w:rPr>
        <w:t>1.</w:t>
      </w:r>
      <w:r w:rsidRPr="004503FB">
        <w:rPr>
          <w:rStyle w:val="Heading1Char"/>
          <w:rFonts w:ascii="Times New Roman" w:hAnsi="Times New Roman" w:cs="Times New Roman"/>
          <w:color w:val="000000" w:themeColor="text1"/>
          <w:sz w:val="24"/>
          <w:szCs w:val="24"/>
        </w:rPr>
        <w:t xml:space="preserve"> Phys</w:t>
      </w:r>
      <w:r w:rsidR="00E874AC" w:rsidRPr="004503FB">
        <w:rPr>
          <w:rStyle w:val="Heading1Char"/>
          <w:rFonts w:ascii="Times New Roman" w:hAnsi="Times New Roman" w:cs="Times New Roman"/>
          <w:color w:val="000000" w:themeColor="text1"/>
          <w:sz w:val="24"/>
          <w:szCs w:val="24"/>
        </w:rPr>
        <w:t xml:space="preserve">ical and chemical </w:t>
      </w:r>
      <w:r w:rsidRPr="004503FB">
        <w:rPr>
          <w:rStyle w:val="Heading1Char"/>
          <w:rFonts w:ascii="Times New Roman" w:hAnsi="Times New Roman" w:cs="Times New Roman"/>
          <w:color w:val="000000" w:themeColor="text1"/>
          <w:sz w:val="24"/>
          <w:szCs w:val="24"/>
        </w:rPr>
        <w:t>properties of biochar sample before grinding</w:t>
      </w:r>
      <w:bookmarkEnd w:id="12"/>
      <w:r w:rsidRPr="00333E00">
        <w:rPr>
          <w:rFonts w:ascii="Times New Roman" w:hAnsi="Times New Roman" w:cs="Times New Roman"/>
        </w:rPr>
        <w:t>. Results obtained from the International Biochar Initiative (IBI) Laboratory Tests for Certification Program, conducted by Control Laboratories, Watsonville, CA 95076, USA (</w:t>
      </w:r>
      <w:hyperlink r:id="rId21" w:tgtFrame="_new" w:history="1">
        <w:r w:rsidRPr="00333E00">
          <w:rPr>
            <w:rStyle w:val="Hyperlink"/>
            <w:rFonts w:ascii="Times New Roman" w:hAnsi="Times New Roman" w:cs="Times New Roman"/>
          </w:rPr>
          <w:t>www.biocharlab.com</w:t>
        </w:r>
      </w:hyperlink>
      <w:r w:rsidRPr="00333E00">
        <w:rPr>
          <w:rFonts w:ascii="Times New Roman" w:hAnsi="Times New Roman" w:cs="Times New Roman"/>
        </w:rPr>
        <w:t>)</w:t>
      </w:r>
    </w:p>
    <w:tbl>
      <w:tblPr>
        <w:tblStyle w:val="TableGrid"/>
        <w:tblW w:w="5078" w:type="pct"/>
        <w:tblInd w:w="-142"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3833"/>
        <w:gridCol w:w="2158"/>
        <w:gridCol w:w="3422"/>
        <w:gridCol w:w="4763"/>
      </w:tblGrid>
      <w:tr w:rsidR="0051224A" w14:paraId="15690E54" w14:textId="77777777" w:rsidTr="00067339">
        <w:tc>
          <w:tcPr>
            <w:tcW w:w="1352" w:type="pct"/>
            <w:tcBorders>
              <w:top w:val="single" w:sz="12" w:space="0" w:color="auto"/>
              <w:bottom w:val="single" w:sz="8" w:space="0" w:color="auto"/>
            </w:tcBorders>
            <w:vAlign w:val="center"/>
          </w:tcPr>
          <w:p w14:paraId="218F324D" w14:textId="6CCE3BFA"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kern w:val="0"/>
              </w:rPr>
              <w:t>Properties</w:t>
            </w:r>
          </w:p>
        </w:tc>
        <w:tc>
          <w:tcPr>
            <w:tcW w:w="761" w:type="pct"/>
            <w:tcBorders>
              <w:top w:val="single" w:sz="12" w:space="0" w:color="auto"/>
              <w:bottom w:val="single" w:sz="8" w:space="0" w:color="auto"/>
            </w:tcBorders>
            <w:vAlign w:val="center"/>
          </w:tcPr>
          <w:p w14:paraId="0D898473" w14:textId="39E7E81B"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kern w:val="0"/>
              </w:rPr>
              <w:t>Range</w:t>
            </w:r>
          </w:p>
        </w:tc>
        <w:tc>
          <w:tcPr>
            <w:tcW w:w="1207" w:type="pct"/>
            <w:tcBorders>
              <w:top w:val="single" w:sz="12" w:space="0" w:color="auto"/>
              <w:bottom w:val="single" w:sz="8" w:space="0" w:color="auto"/>
            </w:tcBorders>
            <w:vAlign w:val="center"/>
          </w:tcPr>
          <w:p w14:paraId="0A55C0DB" w14:textId="23417641"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kern w:val="0"/>
              </w:rPr>
              <w:t>Units</w:t>
            </w:r>
          </w:p>
        </w:tc>
        <w:tc>
          <w:tcPr>
            <w:tcW w:w="1680" w:type="pct"/>
            <w:tcBorders>
              <w:top w:val="single" w:sz="12" w:space="0" w:color="auto"/>
              <w:bottom w:val="single" w:sz="8" w:space="0" w:color="auto"/>
            </w:tcBorders>
            <w:vAlign w:val="center"/>
          </w:tcPr>
          <w:p w14:paraId="434A5343" w14:textId="6648BCE0"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kern w:val="0"/>
              </w:rPr>
              <w:t>Method</w:t>
            </w:r>
          </w:p>
        </w:tc>
      </w:tr>
      <w:tr w:rsidR="0051224A" w14:paraId="432B92C5" w14:textId="77777777" w:rsidTr="00067339">
        <w:trPr>
          <w:trHeight w:val="567"/>
        </w:trPr>
        <w:tc>
          <w:tcPr>
            <w:tcW w:w="1352" w:type="pct"/>
            <w:tcBorders>
              <w:top w:val="single" w:sz="8" w:space="0" w:color="auto"/>
            </w:tcBorders>
          </w:tcPr>
          <w:p w14:paraId="7A576FF3" w14:textId="14B528DE"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Moisture (time of analysis)</w:t>
            </w:r>
          </w:p>
        </w:tc>
        <w:tc>
          <w:tcPr>
            <w:tcW w:w="761" w:type="pct"/>
            <w:tcBorders>
              <w:top w:val="single" w:sz="8" w:space="0" w:color="auto"/>
            </w:tcBorders>
          </w:tcPr>
          <w:p w14:paraId="076EA967" w14:textId="5980234C"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7.0</w:t>
            </w:r>
          </w:p>
        </w:tc>
        <w:tc>
          <w:tcPr>
            <w:tcW w:w="1207" w:type="pct"/>
            <w:tcBorders>
              <w:top w:val="single" w:sz="8" w:space="0" w:color="auto"/>
            </w:tcBorders>
          </w:tcPr>
          <w:p w14:paraId="41BC269F" w14:textId="6D27050D" w:rsidR="0051224A" w:rsidRPr="00067339" w:rsidRDefault="0051224A" w:rsidP="00903C80">
            <w:pPr>
              <w:spacing w:line="480" w:lineRule="auto"/>
              <w:jc w:val="center"/>
              <w:rPr>
                <w:rFonts w:ascii="Times New Roman" w:hAnsi="Times New Roman" w:cs="Times New Roman"/>
                <w:kern w:val="0"/>
              </w:rPr>
            </w:pPr>
            <w:r w:rsidRPr="00390D44">
              <w:rPr>
                <w:rFonts w:ascii="Times New Roman" w:hAnsi="Times New Roman" w:cs="Times New Roman"/>
              </w:rPr>
              <w:t>% wet wt.</w:t>
            </w:r>
          </w:p>
        </w:tc>
        <w:tc>
          <w:tcPr>
            <w:tcW w:w="1680" w:type="pct"/>
            <w:tcBorders>
              <w:top w:val="single" w:sz="8" w:space="0" w:color="auto"/>
            </w:tcBorders>
          </w:tcPr>
          <w:p w14:paraId="52348051" w14:textId="4A6C6FB4" w:rsidR="0051224A" w:rsidRPr="00067339" w:rsidRDefault="0051224A" w:rsidP="00903C80">
            <w:pPr>
              <w:spacing w:line="480" w:lineRule="auto"/>
              <w:jc w:val="center"/>
              <w:rPr>
                <w:rFonts w:ascii="Times New Roman" w:hAnsi="Times New Roman" w:cs="Times New Roman"/>
                <w:kern w:val="0"/>
              </w:rPr>
            </w:pPr>
            <w:r w:rsidRPr="00390D44">
              <w:rPr>
                <w:rFonts w:ascii="Times New Roman" w:hAnsi="Times New Roman" w:cs="Times New Roman"/>
              </w:rPr>
              <w:t>ASTM D1762-84 (105c)</w:t>
            </w:r>
          </w:p>
        </w:tc>
      </w:tr>
      <w:tr w:rsidR="0051224A" w14:paraId="76DF8C2A" w14:textId="77777777" w:rsidTr="00067339">
        <w:trPr>
          <w:trHeight w:val="567"/>
        </w:trPr>
        <w:tc>
          <w:tcPr>
            <w:tcW w:w="1352" w:type="pct"/>
          </w:tcPr>
          <w:p w14:paraId="79AA6641" w14:textId="52FD06D8"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Bulk density</w:t>
            </w:r>
          </w:p>
        </w:tc>
        <w:tc>
          <w:tcPr>
            <w:tcW w:w="761" w:type="pct"/>
          </w:tcPr>
          <w:p w14:paraId="1921D1E3" w14:textId="0FBAB844" w:rsidR="0051224A" w:rsidRPr="00067339" w:rsidRDefault="0051224A" w:rsidP="00903C80">
            <w:pPr>
              <w:spacing w:line="480" w:lineRule="auto"/>
              <w:jc w:val="center"/>
              <w:rPr>
                <w:rFonts w:ascii="Times New Roman" w:hAnsi="Times New Roman" w:cs="Times New Roman"/>
                <w:kern w:val="0"/>
              </w:rPr>
            </w:pPr>
            <w:r w:rsidRPr="00390D44">
              <w:rPr>
                <w:rFonts w:ascii="Times New Roman" w:hAnsi="Times New Roman" w:cs="Times New Roman"/>
              </w:rPr>
              <w:t>12.7</w:t>
            </w:r>
          </w:p>
        </w:tc>
        <w:tc>
          <w:tcPr>
            <w:tcW w:w="1207" w:type="pct"/>
            <w:vAlign w:val="center"/>
          </w:tcPr>
          <w:p w14:paraId="0F0D621E" w14:textId="4F821156" w:rsidR="0051224A" w:rsidRPr="00067339" w:rsidRDefault="0051224A" w:rsidP="00903C80">
            <w:pPr>
              <w:spacing w:line="480" w:lineRule="auto"/>
              <w:jc w:val="center"/>
              <w:rPr>
                <w:rFonts w:ascii="Times New Roman" w:hAnsi="Times New Roman" w:cs="Times New Roman"/>
                <w:kern w:val="0"/>
              </w:rPr>
            </w:pPr>
            <w:r w:rsidRPr="00390D44">
              <w:rPr>
                <w:rFonts w:ascii="Times New Roman" w:hAnsi="Times New Roman" w:cs="Times New Roman"/>
              </w:rPr>
              <w:t>lb/cu ft</w:t>
            </w:r>
          </w:p>
        </w:tc>
        <w:tc>
          <w:tcPr>
            <w:tcW w:w="1680" w:type="pct"/>
          </w:tcPr>
          <w:p w14:paraId="74BC4CE9" w14:textId="082C6A34"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w:t>
            </w:r>
          </w:p>
        </w:tc>
      </w:tr>
      <w:tr w:rsidR="0051224A" w14:paraId="79CD35D0" w14:textId="77777777" w:rsidTr="00067339">
        <w:trPr>
          <w:trHeight w:val="567"/>
        </w:trPr>
        <w:tc>
          <w:tcPr>
            <w:tcW w:w="1352" w:type="pct"/>
          </w:tcPr>
          <w:p w14:paraId="79111B52" w14:textId="4FFC609D"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Organic Carbon</w:t>
            </w:r>
          </w:p>
        </w:tc>
        <w:tc>
          <w:tcPr>
            <w:tcW w:w="761" w:type="pct"/>
          </w:tcPr>
          <w:p w14:paraId="20520091" w14:textId="131C281B" w:rsidR="0051224A" w:rsidRPr="00067339" w:rsidRDefault="0051224A" w:rsidP="00903C80">
            <w:pPr>
              <w:spacing w:line="480" w:lineRule="auto"/>
              <w:jc w:val="center"/>
              <w:rPr>
                <w:rFonts w:ascii="Times New Roman" w:hAnsi="Times New Roman" w:cs="Times New Roman"/>
                <w:kern w:val="0"/>
              </w:rPr>
            </w:pPr>
            <w:r w:rsidRPr="00390D44">
              <w:rPr>
                <w:rFonts w:ascii="Times New Roman" w:hAnsi="Times New Roman" w:cs="Times New Roman"/>
              </w:rPr>
              <w:t>71.3</w:t>
            </w:r>
          </w:p>
        </w:tc>
        <w:tc>
          <w:tcPr>
            <w:tcW w:w="1207" w:type="pct"/>
          </w:tcPr>
          <w:p w14:paraId="0097B9D2" w14:textId="529BD83C" w:rsidR="0051224A" w:rsidRPr="00067339" w:rsidRDefault="0051224A" w:rsidP="00903C80">
            <w:pPr>
              <w:spacing w:line="480" w:lineRule="auto"/>
              <w:jc w:val="center"/>
              <w:rPr>
                <w:rFonts w:ascii="Times New Roman" w:hAnsi="Times New Roman" w:cs="Times New Roman"/>
                <w:kern w:val="0"/>
              </w:rPr>
            </w:pPr>
            <w:r w:rsidRPr="00390D44">
              <w:rPr>
                <w:rFonts w:ascii="Times New Roman" w:hAnsi="Times New Roman" w:cs="Times New Roman"/>
              </w:rPr>
              <w:t>% of total dry mass</w:t>
            </w:r>
          </w:p>
        </w:tc>
        <w:tc>
          <w:tcPr>
            <w:tcW w:w="1680" w:type="pct"/>
          </w:tcPr>
          <w:p w14:paraId="62C34F7C" w14:textId="2AF30011" w:rsidR="0051224A" w:rsidRPr="00067339" w:rsidRDefault="0051224A" w:rsidP="00903C80">
            <w:pPr>
              <w:spacing w:line="480" w:lineRule="auto"/>
              <w:jc w:val="center"/>
              <w:rPr>
                <w:rFonts w:ascii="Times New Roman" w:hAnsi="Times New Roman" w:cs="Times New Roman"/>
                <w:kern w:val="0"/>
              </w:rPr>
            </w:pPr>
            <w:r w:rsidRPr="00390D44">
              <w:rPr>
                <w:rFonts w:ascii="Times New Roman" w:hAnsi="Times New Roman" w:cs="Times New Roman"/>
              </w:rPr>
              <w:t>Dry Combust-ASTM D 4373</w:t>
            </w:r>
          </w:p>
        </w:tc>
      </w:tr>
      <w:tr w:rsidR="0051224A" w14:paraId="23A91C81" w14:textId="77777777" w:rsidTr="00067339">
        <w:trPr>
          <w:trHeight w:val="567"/>
        </w:trPr>
        <w:tc>
          <w:tcPr>
            <w:tcW w:w="1352" w:type="pct"/>
          </w:tcPr>
          <w:p w14:paraId="509670BC" w14:textId="18C04E71"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H:C</w:t>
            </w:r>
          </w:p>
        </w:tc>
        <w:tc>
          <w:tcPr>
            <w:tcW w:w="761" w:type="pct"/>
          </w:tcPr>
          <w:p w14:paraId="366FC606" w14:textId="592D874C"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0.49</w:t>
            </w:r>
          </w:p>
        </w:tc>
        <w:tc>
          <w:tcPr>
            <w:tcW w:w="1207" w:type="pct"/>
          </w:tcPr>
          <w:p w14:paraId="726F162C" w14:textId="57D0804A"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Molar Ratio</w:t>
            </w:r>
          </w:p>
        </w:tc>
        <w:tc>
          <w:tcPr>
            <w:tcW w:w="1680" w:type="pct"/>
          </w:tcPr>
          <w:p w14:paraId="5E4BF955" w14:textId="4B7B4A30"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H dry combustion/C</w:t>
            </w:r>
          </w:p>
        </w:tc>
      </w:tr>
      <w:tr w:rsidR="0051224A" w14:paraId="297F75DC" w14:textId="77777777" w:rsidTr="00067339">
        <w:trPr>
          <w:trHeight w:val="567"/>
        </w:trPr>
        <w:tc>
          <w:tcPr>
            <w:tcW w:w="1352" w:type="pct"/>
          </w:tcPr>
          <w:p w14:paraId="29B7468C" w14:textId="026DE4AF"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Total Ash</w:t>
            </w:r>
          </w:p>
        </w:tc>
        <w:tc>
          <w:tcPr>
            <w:tcW w:w="761" w:type="pct"/>
          </w:tcPr>
          <w:p w14:paraId="771A3FD9" w14:textId="38733B73"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17.5</w:t>
            </w:r>
          </w:p>
        </w:tc>
        <w:tc>
          <w:tcPr>
            <w:tcW w:w="1207" w:type="pct"/>
          </w:tcPr>
          <w:p w14:paraId="20CA5A93" w14:textId="7C16AA91" w:rsidR="0051224A" w:rsidRPr="00067339" w:rsidRDefault="0051224A" w:rsidP="00903C80">
            <w:pPr>
              <w:spacing w:line="480" w:lineRule="auto"/>
              <w:jc w:val="center"/>
              <w:rPr>
                <w:rFonts w:ascii="Times New Roman" w:hAnsi="Times New Roman" w:cs="Times New Roman"/>
                <w:kern w:val="0"/>
              </w:rPr>
            </w:pPr>
            <w:r w:rsidRPr="00390D44">
              <w:rPr>
                <w:rFonts w:ascii="Times New Roman" w:hAnsi="Times New Roman" w:cs="Times New Roman"/>
              </w:rPr>
              <w:t xml:space="preserve">% of total dry mass </w:t>
            </w:r>
          </w:p>
        </w:tc>
        <w:tc>
          <w:tcPr>
            <w:tcW w:w="1680" w:type="pct"/>
          </w:tcPr>
          <w:p w14:paraId="73233A46" w14:textId="0BBE0434"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ASTM D-1762-84</w:t>
            </w:r>
          </w:p>
        </w:tc>
      </w:tr>
      <w:tr w:rsidR="0051224A" w14:paraId="4401ABDA" w14:textId="77777777" w:rsidTr="00067339">
        <w:trPr>
          <w:trHeight w:val="567"/>
        </w:trPr>
        <w:tc>
          <w:tcPr>
            <w:tcW w:w="1352" w:type="pct"/>
          </w:tcPr>
          <w:p w14:paraId="19D93817" w14:textId="4CEACD1D"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Total Nitrogen</w:t>
            </w:r>
          </w:p>
        </w:tc>
        <w:tc>
          <w:tcPr>
            <w:tcW w:w="761" w:type="pct"/>
          </w:tcPr>
          <w:p w14:paraId="3D49828D" w14:textId="37BC8D75"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0.81</w:t>
            </w:r>
          </w:p>
        </w:tc>
        <w:tc>
          <w:tcPr>
            <w:tcW w:w="1207" w:type="pct"/>
          </w:tcPr>
          <w:p w14:paraId="64ADA939" w14:textId="0C9A6834" w:rsidR="0051224A" w:rsidRPr="00067339" w:rsidRDefault="0051224A" w:rsidP="00903C80">
            <w:pPr>
              <w:spacing w:line="480" w:lineRule="auto"/>
              <w:jc w:val="center"/>
              <w:rPr>
                <w:rFonts w:ascii="Times New Roman" w:hAnsi="Times New Roman" w:cs="Times New Roman"/>
                <w:kern w:val="0"/>
              </w:rPr>
            </w:pPr>
            <w:r w:rsidRPr="00390D44">
              <w:rPr>
                <w:rFonts w:ascii="Times New Roman" w:hAnsi="Times New Roman" w:cs="Times New Roman"/>
              </w:rPr>
              <w:t xml:space="preserve">% of total dry mass </w:t>
            </w:r>
          </w:p>
        </w:tc>
        <w:tc>
          <w:tcPr>
            <w:tcW w:w="1680" w:type="pct"/>
          </w:tcPr>
          <w:p w14:paraId="7FBE564C" w14:textId="13B3F0A5"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Dry Combustion</w:t>
            </w:r>
          </w:p>
        </w:tc>
      </w:tr>
      <w:tr w:rsidR="0051224A" w14:paraId="1739D571" w14:textId="77777777" w:rsidTr="00067339">
        <w:trPr>
          <w:trHeight w:val="567"/>
        </w:trPr>
        <w:tc>
          <w:tcPr>
            <w:tcW w:w="1352" w:type="pct"/>
          </w:tcPr>
          <w:p w14:paraId="0F2AA8FC" w14:textId="66CBAC93"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pH value</w:t>
            </w:r>
          </w:p>
        </w:tc>
        <w:tc>
          <w:tcPr>
            <w:tcW w:w="761" w:type="pct"/>
          </w:tcPr>
          <w:p w14:paraId="72A17667" w14:textId="578BA3CF"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9.91</w:t>
            </w:r>
          </w:p>
        </w:tc>
        <w:tc>
          <w:tcPr>
            <w:tcW w:w="1207" w:type="pct"/>
          </w:tcPr>
          <w:p w14:paraId="6B41253B" w14:textId="1A9C392E"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units</w:t>
            </w:r>
          </w:p>
        </w:tc>
        <w:tc>
          <w:tcPr>
            <w:tcW w:w="1680" w:type="pct"/>
          </w:tcPr>
          <w:p w14:paraId="6F973785" w14:textId="7923B4CB" w:rsidR="0051224A" w:rsidRPr="00067339" w:rsidRDefault="0051224A" w:rsidP="00903C80">
            <w:pPr>
              <w:spacing w:line="480" w:lineRule="auto"/>
              <w:jc w:val="center"/>
              <w:rPr>
                <w:rFonts w:ascii="Times New Roman" w:hAnsi="Times New Roman" w:cs="Times New Roman"/>
                <w:kern w:val="0"/>
              </w:rPr>
            </w:pPr>
            <w:r w:rsidRPr="00C50C8C">
              <w:rPr>
                <w:rFonts w:ascii="Times New Roman" w:hAnsi="Times New Roman" w:cs="Times New Roman"/>
              </w:rPr>
              <w:t xml:space="preserve">4.11USCC:dil. Rajkovich </w:t>
            </w:r>
          </w:p>
        </w:tc>
      </w:tr>
      <w:tr w:rsidR="0051224A" w14:paraId="7A8AF42C" w14:textId="77777777" w:rsidTr="00067339">
        <w:trPr>
          <w:trHeight w:val="567"/>
        </w:trPr>
        <w:tc>
          <w:tcPr>
            <w:tcW w:w="1352" w:type="pct"/>
          </w:tcPr>
          <w:p w14:paraId="20BE07BA" w14:textId="48CC30D9" w:rsidR="0051224A" w:rsidRPr="00067339" w:rsidRDefault="0051224A" w:rsidP="00903C80">
            <w:pPr>
              <w:spacing w:line="480" w:lineRule="auto"/>
              <w:jc w:val="center"/>
            </w:pPr>
            <w:r w:rsidRPr="00067339">
              <w:rPr>
                <w:rFonts w:ascii="Times New Roman" w:hAnsi="Times New Roman" w:cs="Times New Roman"/>
              </w:rPr>
              <w:t xml:space="preserve">Electrical Conductivity </w:t>
            </w:r>
            <w:r w:rsidR="00067339" w:rsidRPr="00067339">
              <w:rPr>
                <w:rFonts w:ascii="Times New Roman" w:hAnsi="Times New Roman" w:cs="Times New Roman"/>
              </w:rPr>
              <w:t xml:space="preserve">(EC20 w/w) </w:t>
            </w:r>
          </w:p>
        </w:tc>
        <w:tc>
          <w:tcPr>
            <w:tcW w:w="761" w:type="pct"/>
          </w:tcPr>
          <w:p w14:paraId="353B1C79" w14:textId="23182207"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0.543</w:t>
            </w:r>
          </w:p>
        </w:tc>
        <w:tc>
          <w:tcPr>
            <w:tcW w:w="1207" w:type="pct"/>
          </w:tcPr>
          <w:p w14:paraId="619B5097" w14:textId="764A6C94"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dS/m</w:t>
            </w:r>
          </w:p>
        </w:tc>
        <w:tc>
          <w:tcPr>
            <w:tcW w:w="1680" w:type="pct"/>
          </w:tcPr>
          <w:p w14:paraId="16EC1915" w14:textId="69DBBB31" w:rsidR="0051224A" w:rsidRPr="00067339" w:rsidRDefault="0051224A" w:rsidP="00903C80">
            <w:pPr>
              <w:spacing w:line="480" w:lineRule="auto"/>
              <w:jc w:val="center"/>
              <w:rPr>
                <w:rFonts w:ascii="Times New Roman" w:hAnsi="Times New Roman" w:cs="Times New Roman"/>
                <w:kern w:val="0"/>
              </w:rPr>
            </w:pPr>
            <w:r w:rsidRPr="00C50C8C">
              <w:rPr>
                <w:rFonts w:ascii="Times New Roman" w:hAnsi="Times New Roman" w:cs="Times New Roman"/>
              </w:rPr>
              <w:t>4.11USCC:dil. Rajkovich</w:t>
            </w:r>
          </w:p>
        </w:tc>
      </w:tr>
      <w:tr w:rsidR="0051224A" w14:paraId="7530A10D" w14:textId="77777777" w:rsidTr="00067339">
        <w:trPr>
          <w:trHeight w:val="567"/>
        </w:trPr>
        <w:tc>
          <w:tcPr>
            <w:tcW w:w="1352" w:type="pct"/>
          </w:tcPr>
          <w:p w14:paraId="3FC62901" w14:textId="0DBD11CD"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Liming (neut. Value as-CaCO</w:t>
            </w:r>
            <w:r w:rsidRPr="00067339">
              <w:rPr>
                <w:rFonts w:ascii="Times New Roman" w:hAnsi="Times New Roman" w:cs="Times New Roman"/>
                <w:vertAlign w:val="subscript"/>
              </w:rPr>
              <w:t>3</w:t>
            </w:r>
            <w:r w:rsidRPr="00067339">
              <w:rPr>
                <w:rFonts w:ascii="Times New Roman" w:hAnsi="Times New Roman" w:cs="Times New Roman"/>
              </w:rPr>
              <w:t>)</w:t>
            </w:r>
          </w:p>
        </w:tc>
        <w:tc>
          <w:tcPr>
            <w:tcW w:w="761" w:type="pct"/>
          </w:tcPr>
          <w:p w14:paraId="301FF04B" w14:textId="6FDE3A9C"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11.2</w:t>
            </w:r>
          </w:p>
        </w:tc>
        <w:tc>
          <w:tcPr>
            <w:tcW w:w="1207" w:type="pct"/>
          </w:tcPr>
          <w:p w14:paraId="71981E84" w14:textId="203465ED" w:rsidR="0051224A" w:rsidRPr="00067339" w:rsidRDefault="0051224A" w:rsidP="00903C80">
            <w:pPr>
              <w:spacing w:line="480" w:lineRule="auto"/>
              <w:jc w:val="center"/>
              <w:rPr>
                <w:rFonts w:ascii="Times New Roman" w:hAnsi="Times New Roman" w:cs="Times New Roman"/>
                <w:kern w:val="0"/>
              </w:rPr>
            </w:pPr>
            <w:r w:rsidRPr="00C50C8C">
              <w:rPr>
                <w:rFonts w:ascii="Times New Roman" w:hAnsi="Times New Roman" w:cs="Times New Roman"/>
              </w:rPr>
              <w:t>%CaCO</w:t>
            </w:r>
            <w:r w:rsidRPr="00C50C8C">
              <w:rPr>
                <w:rFonts w:ascii="Times New Roman" w:hAnsi="Times New Roman" w:cs="Times New Roman"/>
                <w:vertAlign w:val="subscript"/>
              </w:rPr>
              <w:t>3</w:t>
            </w:r>
            <w:r w:rsidRPr="00C50C8C">
              <w:rPr>
                <w:rFonts w:ascii="Times New Roman" w:hAnsi="Times New Roman" w:cs="Times New Roman"/>
              </w:rPr>
              <w:t xml:space="preserve"> </w:t>
            </w:r>
          </w:p>
        </w:tc>
        <w:tc>
          <w:tcPr>
            <w:tcW w:w="1680" w:type="pct"/>
          </w:tcPr>
          <w:p w14:paraId="2FAC0460" w14:textId="2DA932C6" w:rsidR="0051224A" w:rsidRPr="00067339" w:rsidRDefault="0051224A" w:rsidP="00903C80">
            <w:pPr>
              <w:spacing w:line="480" w:lineRule="auto"/>
              <w:jc w:val="center"/>
              <w:rPr>
                <w:rFonts w:ascii="Times New Roman" w:hAnsi="Times New Roman" w:cs="Times New Roman"/>
                <w:kern w:val="0"/>
              </w:rPr>
            </w:pPr>
            <w:r w:rsidRPr="00C50C8C">
              <w:rPr>
                <w:rFonts w:ascii="Times New Roman" w:hAnsi="Times New Roman" w:cs="Times New Roman"/>
              </w:rPr>
              <w:t xml:space="preserve">AOAC 955.01 </w:t>
            </w:r>
          </w:p>
        </w:tc>
      </w:tr>
      <w:tr w:rsidR="0051224A" w14:paraId="66A073EC" w14:textId="77777777" w:rsidTr="00067339">
        <w:trPr>
          <w:trHeight w:val="567"/>
        </w:trPr>
        <w:tc>
          <w:tcPr>
            <w:tcW w:w="1352" w:type="pct"/>
          </w:tcPr>
          <w:p w14:paraId="659F692E" w14:textId="29609428"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Carbonates (as-CaCO</w:t>
            </w:r>
            <w:r w:rsidRPr="00067339">
              <w:rPr>
                <w:rFonts w:ascii="Times New Roman" w:hAnsi="Times New Roman" w:cs="Times New Roman"/>
                <w:vertAlign w:val="subscript"/>
              </w:rPr>
              <w:t>3</w:t>
            </w:r>
            <w:r w:rsidRPr="00067339">
              <w:rPr>
                <w:rFonts w:ascii="Times New Roman" w:hAnsi="Times New Roman" w:cs="Times New Roman"/>
              </w:rPr>
              <w:t>)</w:t>
            </w:r>
          </w:p>
        </w:tc>
        <w:tc>
          <w:tcPr>
            <w:tcW w:w="761" w:type="pct"/>
          </w:tcPr>
          <w:p w14:paraId="2F92F47C" w14:textId="3B7B6B3B"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0.2</w:t>
            </w:r>
          </w:p>
        </w:tc>
        <w:tc>
          <w:tcPr>
            <w:tcW w:w="1207" w:type="pct"/>
          </w:tcPr>
          <w:p w14:paraId="0384CAE0" w14:textId="1536E7D4" w:rsidR="0051224A" w:rsidRPr="00067339" w:rsidRDefault="0051224A" w:rsidP="00903C80">
            <w:pPr>
              <w:spacing w:line="480" w:lineRule="auto"/>
              <w:jc w:val="center"/>
              <w:rPr>
                <w:rFonts w:ascii="Times New Roman" w:hAnsi="Times New Roman" w:cs="Times New Roman"/>
                <w:kern w:val="0"/>
              </w:rPr>
            </w:pPr>
            <w:r w:rsidRPr="00C50C8C">
              <w:rPr>
                <w:rFonts w:ascii="Times New Roman" w:hAnsi="Times New Roman" w:cs="Times New Roman"/>
              </w:rPr>
              <w:t>%CaCO</w:t>
            </w:r>
            <w:r w:rsidRPr="00C50C8C">
              <w:rPr>
                <w:rFonts w:ascii="Times New Roman" w:hAnsi="Times New Roman" w:cs="Times New Roman"/>
                <w:vertAlign w:val="subscript"/>
              </w:rPr>
              <w:t>3</w:t>
            </w:r>
            <w:r w:rsidRPr="00C50C8C">
              <w:rPr>
                <w:rFonts w:ascii="Times New Roman" w:hAnsi="Times New Roman" w:cs="Times New Roman"/>
              </w:rPr>
              <w:t xml:space="preserve"> </w:t>
            </w:r>
          </w:p>
        </w:tc>
        <w:tc>
          <w:tcPr>
            <w:tcW w:w="1680" w:type="pct"/>
          </w:tcPr>
          <w:p w14:paraId="28913B66" w14:textId="4F0DA5F4" w:rsidR="0051224A" w:rsidRPr="00067339" w:rsidRDefault="0051224A" w:rsidP="00903C80">
            <w:pPr>
              <w:spacing w:line="480" w:lineRule="auto"/>
              <w:jc w:val="center"/>
              <w:rPr>
                <w:rFonts w:ascii="Times New Roman" w:hAnsi="Times New Roman" w:cs="Times New Roman"/>
                <w:kern w:val="0"/>
              </w:rPr>
            </w:pPr>
            <w:r w:rsidRPr="00C50C8C">
              <w:rPr>
                <w:rFonts w:ascii="Times New Roman" w:hAnsi="Times New Roman" w:cs="Times New Roman"/>
              </w:rPr>
              <w:t xml:space="preserve">ASTM D 4373 </w:t>
            </w:r>
          </w:p>
        </w:tc>
      </w:tr>
      <w:tr w:rsidR="0051224A" w14:paraId="6EF3D9AF" w14:textId="77777777" w:rsidTr="00067339">
        <w:trPr>
          <w:trHeight w:val="567"/>
        </w:trPr>
        <w:tc>
          <w:tcPr>
            <w:tcW w:w="1352" w:type="pct"/>
          </w:tcPr>
          <w:p w14:paraId="35937538" w14:textId="6E4A91A9"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Surface Area Correlation</w:t>
            </w:r>
          </w:p>
        </w:tc>
        <w:tc>
          <w:tcPr>
            <w:tcW w:w="761" w:type="pct"/>
          </w:tcPr>
          <w:p w14:paraId="7504BE81" w14:textId="52A5CDC5"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166</w:t>
            </w:r>
          </w:p>
        </w:tc>
        <w:tc>
          <w:tcPr>
            <w:tcW w:w="1207" w:type="pct"/>
          </w:tcPr>
          <w:p w14:paraId="664BA2D5" w14:textId="1D928C63" w:rsidR="0051224A" w:rsidRPr="00067339" w:rsidRDefault="0051224A" w:rsidP="00903C80">
            <w:pPr>
              <w:spacing w:line="480" w:lineRule="auto"/>
              <w:jc w:val="center"/>
              <w:rPr>
                <w:rFonts w:ascii="Times New Roman" w:hAnsi="Times New Roman" w:cs="Times New Roman"/>
                <w:kern w:val="0"/>
              </w:rPr>
            </w:pPr>
            <w:r w:rsidRPr="00C50C8C">
              <w:rPr>
                <w:rFonts w:ascii="Times New Roman" w:hAnsi="Times New Roman" w:cs="Times New Roman"/>
              </w:rPr>
              <w:t xml:space="preserve">m2/g dry </w:t>
            </w:r>
          </w:p>
        </w:tc>
        <w:tc>
          <w:tcPr>
            <w:tcW w:w="1680" w:type="pct"/>
          </w:tcPr>
          <w:p w14:paraId="07CD6DA4" w14:textId="114ACFE0" w:rsidR="0051224A" w:rsidRPr="00067339" w:rsidRDefault="0051224A" w:rsidP="00903C80">
            <w:pPr>
              <w:spacing w:line="480" w:lineRule="auto"/>
              <w:jc w:val="center"/>
              <w:rPr>
                <w:rFonts w:ascii="Times New Roman" w:hAnsi="Times New Roman" w:cs="Times New Roman"/>
                <w:kern w:val="0"/>
              </w:rPr>
            </w:pPr>
            <w:r w:rsidRPr="00067339">
              <w:rPr>
                <w:rFonts w:ascii="Times New Roman" w:hAnsi="Times New Roman" w:cs="Times New Roman"/>
              </w:rPr>
              <w:t>G</w:t>
            </w:r>
          </w:p>
        </w:tc>
      </w:tr>
    </w:tbl>
    <w:p w14:paraId="1BF2F5C1" w14:textId="77777777" w:rsidR="0051224A" w:rsidRDefault="0051224A" w:rsidP="00903C80">
      <w:pPr>
        <w:spacing w:after="0" w:line="480" w:lineRule="auto"/>
        <w:rPr>
          <w:rFonts w:ascii="Times New Roman" w:hAnsi="Times New Roman"/>
          <w:color w:val="2E2E2E"/>
        </w:rPr>
        <w:sectPr w:rsidR="0051224A" w:rsidSect="0051224A">
          <w:pgSz w:w="16838" w:h="11906" w:orient="landscape"/>
          <w:pgMar w:top="1800" w:right="1440" w:bottom="1800" w:left="1440" w:header="851" w:footer="992" w:gutter="0"/>
          <w:cols w:space="425"/>
          <w:docGrid w:type="lines" w:linePitch="312"/>
        </w:sectPr>
      </w:pPr>
    </w:p>
    <w:p w14:paraId="05164BED" w14:textId="6F4402D2" w:rsidR="00892318" w:rsidRDefault="00892318" w:rsidP="00903C80">
      <w:pPr>
        <w:spacing w:after="0" w:line="480" w:lineRule="auto"/>
        <w:rPr>
          <w:rFonts w:ascii="SimSun" w:hAnsi="SimSun" w:cs="SimSun"/>
          <w:b/>
          <w:bCs/>
          <w:color w:val="000000" w:themeColor="text1"/>
        </w:rPr>
      </w:pPr>
      <w:bookmarkStart w:id="13" w:name="_Toc224215289"/>
      <w:r w:rsidRPr="004503FB">
        <w:rPr>
          <w:rStyle w:val="Heading1Char"/>
          <w:rFonts w:ascii="Times New Roman" w:hAnsi="Times New Roman" w:cs="Times New Roman"/>
          <w:b/>
          <w:bCs/>
          <w:color w:val="000000" w:themeColor="text1"/>
          <w:sz w:val="24"/>
          <w:szCs w:val="24"/>
        </w:rPr>
        <w:lastRenderedPageBreak/>
        <w:t>Table S</w:t>
      </w:r>
      <w:r w:rsidR="00FB1AE3">
        <w:rPr>
          <w:rStyle w:val="Heading1Char"/>
          <w:rFonts w:ascii="Times New Roman" w:hAnsi="Times New Roman" w:cs="Times New Roman" w:hint="eastAsia"/>
          <w:b/>
          <w:bCs/>
          <w:color w:val="000000" w:themeColor="text1"/>
          <w:sz w:val="24"/>
          <w:szCs w:val="24"/>
        </w:rPr>
        <w:t>2</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The X-ray photoelectron spectroscopy (XPS) analysis </w:t>
      </w:r>
      <w:r w:rsidR="007731CF" w:rsidRPr="004503FB">
        <w:rPr>
          <w:rStyle w:val="Heading1Char"/>
          <w:rFonts w:ascii="Times New Roman" w:hAnsi="Times New Roman" w:cs="Times New Roman"/>
          <w:color w:val="000000" w:themeColor="text1"/>
          <w:sz w:val="24"/>
          <w:szCs w:val="24"/>
        </w:rPr>
        <w:t xml:space="preserve">on element compositions </w:t>
      </w:r>
      <w:r w:rsidRPr="004503FB">
        <w:rPr>
          <w:rStyle w:val="Heading1Char"/>
          <w:rFonts w:ascii="Times New Roman" w:hAnsi="Times New Roman" w:cs="Times New Roman"/>
          <w:color w:val="000000" w:themeColor="text1"/>
          <w:sz w:val="24"/>
          <w:szCs w:val="24"/>
        </w:rPr>
        <w:t>of the WS-Biochar</w:t>
      </w:r>
      <w:bookmarkEnd w:id="13"/>
      <w:r w:rsidR="004503FB">
        <w:rPr>
          <w:rFonts w:ascii="Times New Roman" w:hAnsi="Times New Roman" w:cs="Times New Roman"/>
        </w:rPr>
        <w:t>.</w:t>
      </w:r>
    </w:p>
    <w:tbl>
      <w:tblPr>
        <w:tblW w:w="9346" w:type="dxa"/>
        <w:jc w:val="center"/>
        <w:tblLayout w:type="fixed"/>
        <w:tblCellMar>
          <w:left w:w="0" w:type="dxa"/>
          <w:right w:w="0" w:type="dxa"/>
        </w:tblCellMar>
        <w:tblLook w:val="04A0" w:firstRow="1" w:lastRow="0" w:firstColumn="1" w:lastColumn="0" w:noHBand="0" w:noVBand="1"/>
      </w:tblPr>
      <w:tblGrid>
        <w:gridCol w:w="1430"/>
        <w:gridCol w:w="1440"/>
        <w:gridCol w:w="1800"/>
        <w:gridCol w:w="1260"/>
        <w:gridCol w:w="1710"/>
        <w:gridCol w:w="1706"/>
      </w:tblGrid>
      <w:tr w:rsidR="00892318" w14:paraId="5F61CC0A" w14:textId="77777777" w:rsidTr="00310E15">
        <w:trPr>
          <w:trHeight w:val="747"/>
          <w:jc w:val="center"/>
        </w:trPr>
        <w:tc>
          <w:tcPr>
            <w:tcW w:w="1430" w:type="dxa"/>
            <w:tcBorders>
              <w:top w:val="single" w:sz="12" w:space="0" w:color="auto"/>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436B8496" w14:textId="43636977" w:rsidR="00892318" w:rsidRPr="00FC6FE8" w:rsidRDefault="00892318" w:rsidP="00310E15">
            <w:pPr>
              <w:spacing w:after="0" w:line="480" w:lineRule="auto"/>
              <w:jc w:val="center"/>
              <w:rPr>
                <w:rFonts w:ascii="Times New Roman" w:hAnsi="Times New Roman"/>
                <w:color w:val="000000" w:themeColor="text1"/>
                <w:kern w:val="0"/>
                <w:lang w:val="de-DE"/>
              </w:rPr>
            </w:pPr>
            <w:r w:rsidRPr="00FC6FE8">
              <w:rPr>
                <w:rFonts w:ascii="Times New Roman" w:hAnsi="Times New Roman" w:hint="eastAsia"/>
                <w:color w:val="000000" w:themeColor="text1"/>
                <w:kern w:val="0"/>
                <w:lang w:val="de-DE"/>
              </w:rPr>
              <w:t>Name</w:t>
            </w:r>
          </w:p>
        </w:tc>
        <w:tc>
          <w:tcPr>
            <w:tcW w:w="1440" w:type="dxa"/>
            <w:tcBorders>
              <w:top w:val="single" w:sz="12" w:space="0" w:color="auto"/>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7FDB86D8" w14:textId="083180E8" w:rsidR="00892318" w:rsidRPr="00FC6FE8" w:rsidRDefault="00892318" w:rsidP="00310E15">
            <w:pPr>
              <w:spacing w:after="0" w:line="480" w:lineRule="auto"/>
              <w:jc w:val="center"/>
              <w:rPr>
                <w:rFonts w:ascii="Times New Roman" w:hAnsi="Times New Roman" w:cs="Times New Roman"/>
              </w:rPr>
            </w:pPr>
            <w:r w:rsidRPr="00FC6FE8">
              <w:rPr>
                <w:rFonts w:ascii="Times New Roman" w:hAnsi="Times New Roman"/>
                <w:color w:val="000000" w:themeColor="text1"/>
                <w:kern w:val="0"/>
                <w:lang w:val="de-DE"/>
              </w:rPr>
              <w:t>Peak BE</w:t>
            </w:r>
          </w:p>
        </w:tc>
        <w:tc>
          <w:tcPr>
            <w:tcW w:w="1800" w:type="dxa"/>
            <w:tcBorders>
              <w:top w:val="single" w:sz="12" w:space="0" w:color="auto"/>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188CE2DC" w14:textId="0460F12E" w:rsidR="00BB3C7C" w:rsidRPr="00FC6FE8" w:rsidRDefault="00892318" w:rsidP="00310E15">
            <w:pPr>
              <w:spacing w:after="0" w:line="480" w:lineRule="auto"/>
              <w:jc w:val="center"/>
              <w:rPr>
                <w:rFonts w:ascii="Times New Roman" w:hAnsi="Times New Roman"/>
                <w:color w:val="000000" w:themeColor="text1"/>
                <w:kern w:val="0"/>
                <w:lang w:val="de-DE"/>
              </w:rPr>
            </w:pPr>
            <w:r w:rsidRPr="00FC6FE8">
              <w:rPr>
                <w:rFonts w:ascii="Times New Roman" w:hAnsi="Times New Roman"/>
                <w:color w:val="000000" w:themeColor="text1"/>
                <w:kern w:val="0"/>
                <w:lang w:val="de-DE"/>
              </w:rPr>
              <w:t>Height</w:t>
            </w:r>
          </w:p>
          <w:p w14:paraId="2676D361" w14:textId="21B42F72" w:rsidR="00892318" w:rsidRPr="00FC6FE8" w:rsidRDefault="00892318" w:rsidP="00310E15">
            <w:pPr>
              <w:spacing w:after="0" w:line="480" w:lineRule="auto"/>
              <w:jc w:val="center"/>
              <w:rPr>
                <w:rFonts w:ascii="Times New Roman" w:hAnsi="Times New Roman"/>
                <w:color w:val="000000" w:themeColor="text1"/>
                <w:kern w:val="0"/>
                <w:lang w:val="de-DE"/>
              </w:rPr>
            </w:pPr>
            <w:r w:rsidRPr="00FC6FE8">
              <w:rPr>
                <w:rFonts w:ascii="Times New Roman" w:hAnsi="Times New Roman"/>
                <w:color w:val="000000" w:themeColor="text1"/>
                <w:kern w:val="0"/>
                <w:lang w:val="de-DE"/>
              </w:rPr>
              <w:t>CPS</w:t>
            </w:r>
          </w:p>
        </w:tc>
        <w:tc>
          <w:tcPr>
            <w:tcW w:w="1260" w:type="dxa"/>
            <w:tcBorders>
              <w:top w:val="single" w:sz="12" w:space="0" w:color="auto"/>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6F51BF61" w14:textId="77777777" w:rsidR="00892318" w:rsidRPr="00FC6FE8" w:rsidRDefault="00892318" w:rsidP="00310E15">
            <w:pPr>
              <w:spacing w:after="0" w:line="480" w:lineRule="auto"/>
              <w:jc w:val="center"/>
              <w:rPr>
                <w:rFonts w:ascii="Times New Roman" w:hAnsi="Times New Roman"/>
                <w:color w:val="000000" w:themeColor="text1"/>
                <w:kern w:val="0"/>
                <w:lang w:val="de-DE"/>
              </w:rPr>
            </w:pPr>
            <w:r w:rsidRPr="00FC6FE8">
              <w:rPr>
                <w:rFonts w:ascii="Times New Roman" w:hAnsi="Times New Roman"/>
                <w:color w:val="000000" w:themeColor="text1"/>
                <w:kern w:val="0"/>
                <w:lang w:val="de-DE"/>
              </w:rPr>
              <w:t>FWHM</w:t>
            </w:r>
          </w:p>
          <w:p w14:paraId="59441DF0" w14:textId="556A6FD9" w:rsidR="00892318" w:rsidRPr="00FC6FE8" w:rsidRDefault="00892318" w:rsidP="00310E15">
            <w:pPr>
              <w:spacing w:after="0" w:line="480" w:lineRule="auto"/>
              <w:jc w:val="center"/>
              <w:rPr>
                <w:rFonts w:ascii="Times New Roman" w:hAnsi="Times New Roman"/>
                <w:color w:val="000000" w:themeColor="text1"/>
                <w:kern w:val="0"/>
                <w:lang w:val="de-DE"/>
              </w:rPr>
            </w:pPr>
            <w:r w:rsidRPr="00FC6FE8">
              <w:rPr>
                <w:rFonts w:ascii="Times New Roman" w:hAnsi="Times New Roman"/>
                <w:color w:val="000000" w:themeColor="text1"/>
                <w:kern w:val="0"/>
                <w:lang w:val="de-DE"/>
              </w:rPr>
              <w:t>[eV]</w:t>
            </w:r>
          </w:p>
        </w:tc>
        <w:tc>
          <w:tcPr>
            <w:tcW w:w="1710" w:type="dxa"/>
            <w:tcBorders>
              <w:top w:val="single" w:sz="12" w:space="0" w:color="auto"/>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5FEFAEAC" w14:textId="77777777" w:rsidR="00892318" w:rsidRPr="00FC6FE8" w:rsidRDefault="00892318" w:rsidP="00310E15">
            <w:pPr>
              <w:spacing w:after="0" w:line="480" w:lineRule="auto"/>
              <w:jc w:val="center"/>
              <w:rPr>
                <w:rFonts w:ascii="Times New Roman" w:hAnsi="Times New Roman"/>
                <w:color w:val="000000" w:themeColor="text1"/>
                <w:kern w:val="0"/>
                <w:lang w:val="de-DE"/>
              </w:rPr>
            </w:pPr>
            <w:r w:rsidRPr="00FC6FE8">
              <w:rPr>
                <w:rFonts w:ascii="Times New Roman" w:hAnsi="Times New Roman"/>
                <w:color w:val="000000" w:themeColor="text1"/>
                <w:kern w:val="0"/>
                <w:lang w:val="de-DE"/>
              </w:rPr>
              <w:t>Area (P)</w:t>
            </w:r>
          </w:p>
          <w:p w14:paraId="4910F1B3" w14:textId="161119A7" w:rsidR="00892318" w:rsidRPr="00FC6FE8" w:rsidRDefault="00892318" w:rsidP="00310E15">
            <w:pPr>
              <w:spacing w:after="0" w:line="480" w:lineRule="auto"/>
              <w:jc w:val="center"/>
              <w:rPr>
                <w:rFonts w:ascii="Times New Roman" w:hAnsi="Times New Roman"/>
                <w:color w:val="000000" w:themeColor="text1"/>
                <w:kern w:val="0"/>
                <w:lang w:val="de-DE"/>
              </w:rPr>
            </w:pPr>
            <w:r w:rsidRPr="00FC6FE8">
              <w:rPr>
                <w:rFonts w:ascii="Times New Roman" w:hAnsi="Times New Roman"/>
                <w:color w:val="000000" w:themeColor="text1"/>
                <w:kern w:val="0"/>
                <w:lang w:val="de-DE"/>
              </w:rPr>
              <w:t>CPS.eV</w:t>
            </w:r>
          </w:p>
        </w:tc>
        <w:tc>
          <w:tcPr>
            <w:tcW w:w="1706" w:type="dxa"/>
            <w:tcBorders>
              <w:top w:val="single" w:sz="12" w:space="0" w:color="auto"/>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3F5474EB" w14:textId="77777777" w:rsidR="00892318" w:rsidRPr="00FC6FE8" w:rsidRDefault="00892318" w:rsidP="00310E15">
            <w:pPr>
              <w:spacing w:after="0" w:line="480" w:lineRule="auto"/>
              <w:jc w:val="center"/>
              <w:rPr>
                <w:rFonts w:ascii="Times New Roman" w:hAnsi="Times New Roman"/>
                <w:color w:val="000000" w:themeColor="text1"/>
                <w:kern w:val="0"/>
                <w:lang w:val="de-DE"/>
              </w:rPr>
            </w:pPr>
            <w:r w:rsidRPr="00FC6FE8">
              <w:rPr>
                <w:rFonts w:ascii="Times New Roman" w:hAnsi="Times New Roman"/>
                <w:color w:val="000000" w:themeColor="text1"/>
                <w:kern w:val="0"/>
                <w:lang w:val="de-DE"/>
              </w:rPr>
              <w:t>Atomic conc.</w:t>
            </w:r>
          </w:p>
          <w:p w14:paraId="0C98DCF8" w14:textId="26162015" w:rsidR="00892318" w:rsidRPr="00FC6FE8" w:rsidRDefault="00892318" w:rsidP="00310E15">
            <w:pPr>
              <w:spacing w:after="0" w:line="480" w:lineRule="auto"/>
              <w:jc w:val="center"/>
              <w:rPr>
                <w:rFonts w:ascii="Times New Roman" w:hAnsi="Times New Roman"/>
                <w:color w:val="000000" w:themeColor="text1"/>
                <w:kern w:val="0"/>
                <w:lang w:val="de-DE"/>
              </w:rPr>
            </w:pPr>
            <w:r w:rsidRPr="00FC6FE8">
              <w:rPr>
                <w:rFonts w:ascii="Times New Roman" w:hAnsi="Times New Roman"/>
                <w:color w:val="000000" w:themeColor="text1"/>
                <w:kern w:val="0"/>
                <w:lang w:val="de-DE"/>
              </w:rPr>
              <w:t>[%]</w:t>
            </w:r>
          </w:p>
        </w:tc>
      </w:tr>
      <w:tr w:rsidR="00892318" w14:paraId="4143BBAD" w14:textId="77777777" w:rsidTr="00310E15">
        <w:trPr>
          <w:trHeight w:val="413"/>
          <w:jc w:val="center"/>
        </w:trPr>
        <w:tc>
          <w:tcPr>
            <w:tcW w:w="143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45DD9371" w14:textId="197B2A6B" w:rsidR="00892318" w:rsidRPr="00FC6FE8" w:rsidRDefault="00892318" w:rsidP="00310E15">
            <w:pPr>
              <w:spacing w:after="0" w:line="480" w:lineRule="auto"/>
              <w:jc w:val="center"/>
              <w:rPr>
                <w:rFonts w:ascii="Times New Roman" w:hAnsi="Times New Roman"/>
                <w:color w:val="000000" w:themeColor="text1"/>
                <w:kern w:val="0"/>
              </w:rPr>
            </w:pPr>
            <w:r w:rsidRPr="00FC6FE8">
              <w:rPr>
                <w:rFonts w:ascii="Times New Roman" w:hAnsi="Times New Roman" w:hint="eastAsia"/>
                <w:color w:val="000000" w:themeColor="text1"/>
                <w:kern w:val="0"/>
              </w:rPr>
              <w:t>C1s</w:t>
            </w:r>
          </w:p>
        </w:tc>
        <w:tc>
          <w:tcPr>
            <w:tcW w:w="144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606E40E6" w14:textId="21A0BD81"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284.40</w:t>
            </w:r>
          </w:p>
        </w:tc>
        <w:tc>
          <w:tcPr>
            <w:tcW w:w="180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5D3F6012" w14:textId="3C931C88"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239779.76</w:t>
            </w:r>
          </w:p>
        </w:tc>
        <w:tc>
          <w:tcPr>
            <w:tcW w:w="126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63556915" w14:textId="72BA58DB"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3.78</w:t>
            </w:r>
          </w:p>
        </w:tc>
        <w:tc>
          <w:tcPr>
            <w:tcW w:w="171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3E6DB0F" w14:textId="71EFC663"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1188002.85</w:t>
            </w:r>
          </w:p>
        </w:tc>
        <w:tc>
          <w:tcPr>
            <w:tcW w:w="170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A6EA1D8" w14:textId="169AB556"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81.37</w:t>
            </w:r>
          </w:p>
        </w:tc>
      </w:tr>
      <w:tr w:rsidR="00892318" w14:paraId="4CDAF708" w14:textId="77777777" w:rsidTr="00310E15">
        <w:trPr>
          <w:trHeight w:val="406"/>
          <w:jc w:val="center"/>
        </w:trPr>
        <w:tc>
          <w:tcPr>
            <w:tcW w:w="143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5E83BE60" w14:textId="484BE8E0" w:rsidR="00892318" w:rsidRPr="00FC6FE8" w:rsidRDefault="00892318" w:rsidP="00310E15">
            <w:pPr>
              <w:spacing w:after="0" w:line="480" w:lineRule="auto"/>
              <w:jc w:val="center"/>
              <w:rPr>
                <w:rFonts w:ascii="Times New Roman" w:hAnsi="Times New Roman"/>
                <w:color w:val="000000" w:themeColor="text1"/>
                <w:kern w:val="0"/>
              </w:rPr>
            </w:pPr>
            <w:r w:rsidRPr="00FC6FE8">
              <w:rPr>
                <w:rFonts w:ascii="Times New Roman" w:hAnsi="Times New Roman" w:cs="Times New Roman"/>
              </w:rPr>
              <w:t>O1s</w:t>
            </w:r>
          </w:p>
        </w:tc>
        <w:tc>
          <w:tcPr>
            <w:tcW w:w="144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7F2B639B" w14:textId="482B50F9"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531.85</w:t>
            </w:r>
          </w:p>
        </w:tc>
        <w:tc>
          <w:tcPr>
            <w:tcW w:w="180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13559FA3" w14:textId="40CE4B28"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117037.85</w:t>
            </w:r>
          </w:p>
        </w:tc>
        <w:tc>
          <w:tcPr>
            <w:tcW w:w="126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56D9EA0F" w14:textId="45260A2F"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4.46</w:t>
            </w:r>
          </w:p>
        </w:tc>
        <w:tc>
          <w:tcPr>
            <w:tcW w:w="171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5772288D" w14:textId="5F617FF1"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549646.93</w:t>
            </w:r>
          </w:p>
        </w:tc>
        <w:tc>
          <w:tcPr>
            <w:tcW w:w="170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518A974B" w14:textId="3A763CB5"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14.98</w:t>
            </w:r>
          </w:p>
        </w:tc>
      </w:tr>
      <w:tr w:rsidR="00892318" w14:paraId="50E050CB" w14:textId="77777777" w:rsidTr="00310E15">
        <w:trPr>
          <w:trHeight w:val="411"/>
          <w:jc w:val="center"/>
        </w:trPr>
        <w:tc>
          <w:tcPr>
            <w:tcW w:w="143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0743BF22" w14:textId="452A59F9" w:rsidR="00892318" w:rsidRPr="00FC6FE8" w:rsidRDefault="00892318" w:rsidP="00310E15">
            <w:pPr>
              <w:spacing w:after="0" w:line="480" w:lineRule="auto"/>
              <w:jc w:val="center"/>
              <w:rPr>
                <w:rFonts w:ascii="Times New Roman" w:hAnsi="Times New Roman"/>
                <w:color w:val="000000" w:themeColor="text1"/>
                <w:kern w:val="0"/>
              </w:rPr>
            </w:pPr>
            <w:r w:rsidRPr="00FC6FE8">
              <w:rPr>
                <w:rFonts w:ascii="Times New Roman" w:hAnsi="Times New Roman" w:cs="Times New Roman"/>
              </w:rPr>
              <w:t>Si2p</w:t>
            </w:r>
          </w:p>
        </w:tc>
        <w:tc>
          <w:tcPr>
            <w:tcW w:w="144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4D082AEE" w14:textId="6503C4C4"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102.98</w:t>
            </w:r>
          </w:p>
        </w:tc>
        <w:tc>
          <w:tcPr>
            <w:tcW w:w="180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09B25304" w14:textId="5CA08B50"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6747.31</w:t>
            </w:r>
          </w:p>
        </w:tc>
        <w:tc>
          <w:tcPr>
            <w:tcW w:w="126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19277B33" w14:textId="160D5C6C"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3.88</w:t>
            </w:r>
          </w:p>
        </w:tc>
        <w:tc>
          <w:tcPr>
            <w:tcW w:w="171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23A56823" w14:textId="199F6557"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28860.51</w:t>
            </w:r>
          </w:p>
        </w:tc>
        <w:tc>
          <w:tcPr>
            <w:tcW w:w="170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1B98D2EB" w14:textId="12FF86BC"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2.02</w:t>
            </w:r>
          </w:p>
        </w:tc>
      </w:tr>
      <w:tr w:rsidR="00892318" w14:paraId="434FC7D5" w14:textId="77777777" w:rsidTr="00310E15">
        <w:trPr>
          <w:trHeight w:val="417"/>
          <w:jc w:val="center"/>
        </w:trPr>
        <w:tc>
          <w:tcPr>
            <w:tcW w:w="143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48886A44" w14:textId="69C9DE07" w:rsidR="00892318" w:rsidRPr="00FC6FE8" w:rsidRDefault="00892318" w:rsidP="00310E15">
            <w:pPr>
              <w:spacing w:after="0" w:line="480" w:lineRule="auto"/>
              <w:jc w:val="center"/>
              <w:rPr>
                <w:rFonts w:ascii="Times New Roman" w:hAnsi="Times New Roman"/>
                <w:color w:val="000000" w:themeColor="text1"/>
                <w:kern w:val="0"/>
              </w:rPr>
            </w:pPr>
            <w:r w:rsidRPr="00FC6FE8">
              <w:rPr>
                <w:rFonts w:ascii="Times New Roman" w:hAnsi="Times New Roman" w:cs="Times New Roman"/>
              </w:rPr>
              <w:t>Na1s</w:t>
            </w:r>
          </w:p>
        </w:tc>
        <w:tc>
          <w:tcPr>
            <w:tcW w:w="144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4618979" w14:textId="6FE0A2C0" w:rsidR="00892318" w:rsidRPr="00FC6FE8" w:rsidRDefault="00892318" w:rsidP="00310E15">
            <w:pPr>
              <w:spacing w:after="0" w:line="480" w:lineRule="auto"/>
              <w:jc w:val="center"/>
              <w:rPr>
                <w:rFonts w:ascii="Times New Roman" w:eastAsia="MS Mincho" w:hAnsi="Times New Roman"/>
                <w:color w:val="000000" w:themeColor="dark1"/>
                <w:lang w:val="de-DE"/>
              </w:rPr>
            </w:pPr>
            <w:r w:rsidRPr="00FC6FE8">
              <w:rPr>
                <w:rFonts w:ascii="Times New Roman" w:hAnsi="Times New Roman" w:cs="Times New Roman"/>
              </w:rPr>
              <w:t>1071.03</w:t>
            </w:r>
          </w:p>
        </w:tc>
        <w:tc>
          <w:tcPr>
            <w:tcW w:w="180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649C8F7E" w14:textId="17D09265"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8461.97</w:t>
            </w:r>
          </w:p>
        </w:tc>
        <w:tc>
          <w:tcPr>
            <w:tcW w:w="126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6539BA00" w14:textId="378CDCB9"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5.51</w:t>
            </w:r>
          </w:p>
        </w:tc>
        <w:tc>
          <w:tcPr>
            <w:tcW w:w="171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7FA6E86" w14:textId="31FC693E"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51671.17</w:t>
            </w:r>
          </w:p>
        </w:tc>
        <w:tc>
          <w:tcPr>
            <w:tcW w:w="170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1D6EEB90" w14:textId="3B5E46AA"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0.63</w:t>
            </w:r>
          </w:p>
        </w:tc>
      </w:tr>
      <w:tr w:rsidR="00892318" w14:paraId="58DBF2F7" w14:textId="77777777" w:rsidTr="00310E15">
        <w:trPr>
          <w:trHeight w:val="466"/>
          <w:jc w:val="center"/>
        </w:trPr>
        <w:tc>
          <w:tcPr>
            <w:tcW w:w="143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66B20C05" w14:textId="19B136C8" w:rsidR="00892318" w:rsidRPr="00FC6FE8" w:rsidRDefault="00892318" w:rsidP="00310E15">
            <w:pPr>
              <w:spacing w:after="0" w:line="480" w:lineRule="auto"/>
              <w:jc w:val="center"/>
              <w:rPr>
                <w:rFonts w:ascii="Times New Roman" w:hAnsi="Times New Roman"/>
                <w:color w:val="000000" w:themeColor="text1"/>
                <w:kern w:val="0"/>
              </w:rPr>
            </w:pPr>
            <w:r w:rsidRPr="00FC6FE8">
              <w:rPr>
                <w:rFonts w:ascii="Times New Roman" w:hAnsi="Times New Roman" w:cs="Times New Roman"/>
              </w:rPr>
              <w:t>Cl2p</w:t>
            </w:r>
          </w:p>
        </w:tc>
        <w:tc>
          <w:tcPr>
            <w:tcW w:w="144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57840D42" w14:textId="2AC9CB1D"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199.26</w:t>
            </w:r>
          </w:p>
        </w:tc>
        <w:tc>
          <w:tcPr>
            <w:tcW w:w="180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9C9C157" w14:textId="1A81EBD5"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2878.61</w:t>
            </w:r>
          </w:p>
        </w:tc>
        <w:tc>
          <w:tcPr>
            <w:tcW w:w="126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0C0AF7C2" w14:textId="05410B1F"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4.27</w:t>
            </w:r>
          </w:p>
        </w:tc>
        <w:tc>
          <w:tcPr>
            <w:tcW w:w="171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00F21512" w14:textId="2B545557"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17340.53</w:t>
            </w:r>
          </w:p>
        </w:tc>
        <w:tc>
          <w:tcPr>
            <w:tcW w:w="170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621EF64E" w14:textId="5D5AC378"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0.42</w:t>
            </w:r>
          </w:p>
        </w:tc>
      </w:tr>
      <w:tr w:rsidR="00892318" w14:paraId="3BC51C1A" w14:textId="77777777" w:rsidTr="00310E15">
        <w:trPr>
          <w:trHeight w:val="291"/>
          <w:jc w:val="center"/>
        </w:trPr>
        <w:tc>
          <w:tcPr>
            <w:tcW w:w="1430" w:type="dxa"/>
            <w:tcBorders>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5CB13EA9" w14:textId="2F477CBC" w:rsidR="00892318" w:rsidRPr="00FC6FE8" w:rsidRDefault="00892318" w:rsidP="00310E15">
            <w:pPr>
              <w:spacing w:after="0" w:line="480" w:lineRule="auto"/>
              <w:jc w:val="center"/>
              <w:rPr>
                <w:rFonts w:ascii="Times New Roman" w:hAnsi="Times New Roman"/>
                <w:color w:val="000000" w:themeColor="text1"/>
                <w:kern w:val="0"/>
              </w:rPr>
            </w:pPr>
            <w:r w:rsidRPr="00FC6FE8">
              <w:rPr>
                <w:rFonts w:ascii="Times New Roman" w:hAnsi="Times New Roman" w:cs="Times New Roman"/>
              </w:rPr>
              <w:t>K2s</w:t>
            </w:r>
          </w:p>
        </w:tc>
        <w:tc>
          <w:tcPr>
            <w:tcW w:w="1440" w:type="dxa"/>
            <w:tcBorders>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16BDB94E" w14:textId="7E09BCC4"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377.93</w:t>
            </w:r>
          </w:p>
        </w:tc>
        <w:tc>
          <w:tcPr>
            <w:tcW w:w="1800" w:type="dxa"/>
            <w:tcBorders>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08251421" w14:textId="569B93CD"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6548.28</w:t>
            </w:r>
          </w:p>
        </w:tc>
        <w:tc>
          <w:tcPr>
            <w:tcW w:w="1260" w:type="dxa"/>
            <w:tcBorders>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1181FC33" w14:textId="29820F31"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2.55</w:t>
            </w:r>
          </w:p>
        </w:tc>
        <w:tc>
          <w:tcPr>
            <w:tcW w:w="1710" w:type="dxa"/>
            <w:tcBorders>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31BE1EF9" w14:textId="52095F82"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15335.39</w:t>
            </w:r>
          </w:p>
        </w:tc>
        <w:tc>
          <w:tcPr>
            <w:tcW w:w="1706" w:type="dxa"/>
            <w:tcBorders>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65B7159D" w14:textId="3CF224C3" w:rsidR="00892318" w:rsidRPr="00FC6FE8" w:rsidRDefault="00892318" w:rsidP="00310E15">
            <w:pPr>
              <w:spacing w:after="0" w:line="480" w:lineRule="auto"/>
              <w:jc w:val="center"/>
              <w:rPr>
                <w:rFonts w:ascii="Times New Roman" w:hAnsi="Times New Roman"/>
                <w:color w:val="000000" w:themeColor="dark1"/>
              </w:rPr>
            </w:pPr>
            <w:r w:rsidRPr="00FC6FE8">
              <w:rPr>
                <w:rFonts w:ascii="Times New Roman" w:hAnsi="Times New Roman" w:cs="Times New Roman"/>
              </w:rPr>
              <w:t>0.57</w:t>
            </w:r>
          </w:p>
        </w:tc>
      </w:tr>
    </w:tbl>
    <w:p w14:paraId="4D78B17D" w14:textId="77777777" w:rsidR="00B86F14" w:rsidRDefault="00B86F14" w:rsidP="00903C80">
      <w:pPr>
        <w:spacing w:after="0" w:line="480" w:lineRule="auto"/>
      </w:pPr>
    </w:p>
    <w:p w14:paraId="23E0FA21" w14:textId="77777777" w:rsidR="00B86F14" w:rsidRDefault="00B86F14" w:rsidP="00903C80">
      <w:pPr>
        <w:spacing w:after="0" w:line="480" w:lineRule="auto"/>
      </w:pPr>
    </w:p>
    <w:p w14:paraId="6F63E1C9" w14:textId="77777777" w:rsidR="00892318" w:rsidRDefault="00892318" w:rsidP="00903C80">
      <w:pPr>
        <w:spacing w:after="0" w:line="480" w:lineRule="auto"/>
        <w:sectPr w:rsidR="00892318">
          <w:pgSz w:w="12240" w:h="15840"/>
          <w:pgMar w:top="1440" w:right="1440" w:bottom="1440" w:left="1440" w:header="720" w:footer="720" w:gutter="0"/>
          <w:cols w:space="720"/>
          <w:docGrid w:linePitch="360"/>
        </w:sectPr>
      </w:pPr>
    </w:p>
    <w:p w14:paraId="1D07D332" w14:textId="235BA482" w:rsidR="003D6CFF" w:rsidRPr="00897FBD" w:rsidRDefault="003D6CFF" w:rsidP="00903C80">
      <w:pPr>
        <w:spacing w:after="0" w:line="480" w:lineRule="auto"/>
        <w:rPr>
          <w:rFonts w:ascii="SimSun" w:hAnsi="SimSun" w:cs="SimSun"/>
          <w:b/>
          <w:bCs/>
          <w:color w:val="000000" w:themeColor="text1"/>
        </w:rPr>
      </w:pPr>
      <w:bookmarkStart w:id="14" w:name="_Toc224215290"/>
      <w:r w:rsidRPr="004503FB">
        <w:rPr>
          <w:rStyle w:val="Heading1Char"/>
          <w:rFonts w:ascii="Times New Roman" w:hAnsi="Times New Roman" w:cs="Times New Roman"/>
          <w:b/>
          <w:bCs/>
          <w:color w:val="000000" w:themeColor="text1"/>
          <w:sz w:val="24"/>
          <w:szCs w:val="24"/>
        </w:rPr>
        <w:lastRenderedPageBreak/>
        <w:t>Table S</w:t>
      </w:r>
      <w:r w:rsidR="00FB1AE3">
        <w:rPr>
          <w:rStyle w:val="Heading1Char"/>
          <w:rFonts w:ascii="Times New Roman" w:hAnsi="Times New Roman" w:cs="Times New Roman" w:hint="eastAsia"/>
          <w:b/>
          <w:bCs/>
          <w:color w:val="000000" w:themeColor="text1"/>
          <w:sz w:val="24"/>
          <w:szCs w:val="24"/>
        </w:rPr>
        <w:t>3</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The X-ray photoelectron spectroscopy (XPS) analysis on C1s and O1s of the WS-Biochar</w:t>
      </w:r>
      <w:bookmarkEnd w:id="14"/>
      <w:r w:rsidR="004503FB">
        <w:rPr>
          <w:rFonts w:ascii="Times New Roman" w:hAnsi="Times New Roman" w:cs="Times New Roman"/>
        </w:rPr>
        <w:t>.</w:t>
      </w:r>
    </w:p>
    <w:tbl>
      <w:tblPr>
        <w:tblW w:w="9346" w:type="dxa"/>
        <w:jc w:val="center"/>
        <w:tblLayout w:type="fixed"/>
        <w:tblCellMar>
          <w:left w:w="0" w:type="dxa"/>
          <w:right w:w="0" w:type="dxa"/>
        </w:tblCellMar>
        <w:tblLook w:val="04A0" w:firstRow="1" w:lastRow="0" w:firstColumn="1" w:lastColumn="0" w:noHBand="0" w:noVBand="1"/>
      </w:tblPr>
      <w:tblGrid>
        <w:gridCol w:w="1430"/>
        <w:gridCol w:w="2340"/>
        <w:gridCol w:w="2700"/>
        <w:gridCol w:w="2876"/>
      </w:tblGrid>
      <w:tr w:rsidR="003D6CFF" w14:paraId="353CC81C" w14:textId="77777777" w:rsidTr="000B58A3">
        <w:trPr>
          <w:trHeight w:val="495"/>
          <w:jc w:val="center"/>
        </w:trPr>
        <w:tc>
          <w:tcPr>
            <w:tcW w:w="1430" w:type="dxa"/>
            <w:tcBorders>
              <w:top w:val="single" w:sz="12" w:space="0" w:color="auto"/>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503DECA5" w14:textId="77777777" w:rsidR="003D6CFF" w:rsidRPr="00FC6FE8" w:rsidRDefault="003D6CFF" w:rsidP="00903C80">
            <w:pPr>
              <w:spacing w:after="0" w:line="480" w:lineRule="auto"/>
              <w:jc w:val="center"/>
              <w:rPr>
                <w:rFonts w:ascii="Times New Roman" w:hAnsi="Times New Roman"/>
                <w:b/>
                <w:bCs/>
                <w:color w:val="000000" w:themeColor="text1"/>
                <w:kern w:val="0"/>
                <w:lang w:val="de-DE"/>
              </w:rPr>
            </w:pPr>
            <w:r w:rsidRPr="00FC6FE8">
              <w:rPr>
                <w:rFonts w:ascii="Times New Roman" w:hAnsi="Times New Roman" w:hint="eastAsia"/>
                <w:b/>
                <w:bCs/>
                <w:color w:val="000000" w:themeColor="text1"/>
                <w:kern w:val="0"/>
                <w:lang w:val="de-DE"/>
              </w:rPr>
              <w:t>Types</w:t>
            </w:r>
          </w:p>
        </w:tc>
        <w:tc>
          <w:tcPr>
            <w:tcW w:w="2340" w:type="dxa"/>
            <w:tcBorders>
              <w:top w:val="single" w:sz="12" w:space="0" w:color="auto"/>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72AC5AB8" w14:textId="77777777" w:rsidR="003D6CFF" w:rsidRPr="00FC6FE8" w:rsidRDefault="003D6CFF" w:rsidP="00903C80">
            <w:pPr>
              <w:spacing w:after="0" w:line="480" w:lineRule="auto"/>
              <w:jc w:val="center"/>
              <w:rPr>
                <w:rFonts w:ascii="Times New Roman" w:hAnsi="Times New Roman" w:cs="Times New Roman"/>
                <w:b/>
                <w:bCs/>
              </w:rPr>
            </w:pPr>
            <w:r w:rsidRPr="00FC6FE8">
              <w:rPr>
                <w:rFonts w:ascii="Times New Roman" w:hAnsi="Times New Roman" w:cs="Times New Roman" w:hint="eastAsia"/>
                <w:b/>
                <w:bCs/>
              </w:rPr>
              <w:t>Functional group</w:t>
            </w:r>
          </w:p>
        </w:tc>
        <w:tc>
          <w:tcPr>
            <w:tcW w:w="2700" w:type="dxa"/>
            <w:tcBorders>
              <w:top w:val="single" w:sz="12" w:space="0" w:color="auto"/>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59212A72" w14:textId="77777777" w:rsidR="003D6CFF" w:rsidRPr="00FC6FE8" w:rsidRDefault="003D6CFF" w:rsidP="00903C80">
            <w:pPr>
              <w:spacing w:after="0" w:line="480" w:lineRule="auto"/>
              <w:jc w:val="center"/>
              <w:rPr>
                <w:rFonts w:ascii="Times New Roman" w:hAnsi="Times New Roman"/>
                <w:b/>
                <w:bCs/>
                <w:color w:val="000000" w:themeColor="text1"/>
                <w:kern w:val="0"/>
                <w:lang w:val="de-DE"/>
              </w:rPr>
            </w:pPr>
            <w:r w:rsidRPr="00FC6FE8">
              <w:rPr>
                <w:rFonts w:ascii="Times New Roman" w:hAnsi="Times New Roman"/>
                <w:b/>
                <w:bCs/>
                <w:color w:val="000000" w:themeColor="text1"/>
                <w:kern w:val="0"/>
                <w:lang w:val="de-DE"/>
              </w:rPr>
              <w:t>P</w:t>
            </w:r>
            <w:r w:rsidRPr="00FC6FE8">
              <w:rPr>
                <w:rFonts w:ascii="Times New Roman" w:hAnsi="Times New Roman" w:hint="eastAsia"/>
                <w:b/>
                <w:bCs/>
                <w:color w:val="000000" w:themeColor="text1"/>
                <w:kern w:val="0"/>
                <w:lang w:val="de-DE"/>
              </w:rPr>
              <w:t xml:space="preserve">eak </w:t>
            </w:r>
            <w:r w:rsidRPr="00FC6FE8">
              <w:rPr>
                <w:rFonts w:ascii="Times New Roman" w:hAnsi="Times New Roman"/>
                <w:b/>
                <w:bCs/>
                <w:color w:val="000000" w:themeColor="text1"/>
                <w:kern w:val="0"/>
                <w:lang w:val="de-DE"/>
              </w:rPr>
              <w:t>Position</w:t>
            </w:r>
          </w:p>
        </w:tc>
        <w:tc>
          <w:tcPr>
            <w:tcW w:w="2876" w:type="dxa"/>
            <w:tcBorders>
              <w:top w:val="single" w:sz="12" w:space="0" w:color="auto"/>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68663CF1" w14:textId="77777777" w:rsidR="003D6CFF" w:rsidRPr="00FC6FE8" w:rsidRDefault="003D6CFF" w:rsidP="00903C80">
            <w:pPr>
              <w:spacing w:after="0" w:line="480" w:lineRule="auto"/>
              <w:jc w:val="center"/>
              <w:rPr>
                <w:rFonts w:ascii="Times New Roman" w:hAnsi="Times New Roman"/>
                <w:b/>
                <w:bCs/>
                <w:color w:val="000000" w:themeColor="text1"/>
                <w:kern w:val="0"/>
                <w:lang w:val="de-DE"/>
              </w:rPr>
            </w:pPr>
            <w:r w:rsidRPr="00FC6FE8">
              <w:rPr>
                <w:rFonts w:ascii="Times New Roman" w:hAnsi="Times New Roman"/>
                <w:b/>
                <w:bCs/>
                <w:color w:val="000000" w:themeColor="text1"/>
                <w:kern w:val="0"/>
                <w:lang w:val="de-DE"/>
              </w:rPr>
              <w:t>P</w:t>
            </w:r>
            <w:r w:rsidRPr="00FC6FE8">
              <w:rPr>
                <w:rFonts w:ascii="Times New Roman" w:hAnsi="Times New Roman" w:hint="eastAsia"/>
                <w:b/>
                <w:bCs/>
                <w:color w:val="000000" w:themeColor="text1"/>
                <w:kern w:val="0"/>
                <w:lang w:val="de-DE"/>
              </w:rPr>
              <w:t>ercentage</w:t>
            </w:r>
          </w:p>
        </w:tc>
      </w:tr>
      <w:tr w:rsidR="003D6CFF" w14:paraId="493CBFB0" w14:textId="77777777" w:rsidTr="000B58A3">
        <w:trPr>
          <w:trHeight w:val="413"/>
          <w:jc w:val="center"/>
        </w:trPr>
        <w:tc>
          <w:tcPr>
            <w:tcW w:w="1430" w:type="dxa"/>
            <w:vMerge w:val="restart"/>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77D5BCD9" w14:textId="77777777" w:rsidR="003D6CFF" w:rsidRPr="00FC6FE8" w:rsidRDefault="003D6CFF" w:rsidP="00903C80">
            <w:pPr>
              <w:spacing w:after="0" w:line="480" w:lineRule="auto"/>
              <w:jc w:val="center"/>
              <w:rPr>
                <w:rFonts w:ascii="Times New Roman" w:hAnsi="Times New Roman"/>
                <w:color w:val="000000" w:themeColor="text1"/>
                <w:kern w:val="0"/>
              </w:rPr>
            </w:pPr>
            <w:r w:rsidRPr="00FC6FE8">
              <w:rPr>
                <w:rFonts w:ascii="Times New Roman" w:hAnsi="Times New Roman" w:hint="eastAsia"/>
                <w:color w:val="000000" w:themeColor="text1"/>
                <w:kern w:val="0"/>
              </w:rPr>
              <w:t>C1s</w:t>
            </w:r>
          </w:p>
        </w:tc>
        <w:tc>
          <w:tcPr>
            <w:tcW w:w="234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5DBAD980"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C-C, C=O, or C-H</w:t>
            </w:r>
          </w:p>
        </w:tc>
        <w:tc>
          <w:tcPr>
            <w:tcW w:w="270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6436E953"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284.6</w:t>
            </w:r>
          </w:p>
        </w:tc>
        <w:tc>
          <w:tcPr>
            <w:tcW w:w="287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29A20F96"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41.0</w:t>
            </w:r>
          </w:p>
        </w:tc>
      </w:tr>
      <w:tr w:rsidR="003D6CFF" w14:paraId="050A423E" w14:textId="77777777" w:rsidTr="000B58A3">
        <w:trPr>
          <w:trHeight w:val="406"/>
          <w:jc w:val="center"/>
        </w:trPr>
        <w:tc>
          <w:tcPr>
            <w:tcW w:w="1430" w:type="dxa"/>
            <w:vMerge/>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A92A6BE" w14:textId="77777777" w:rsidR="003D6CFF" w:rsidRPr="00FC6FE8" w:rsidRDefault="003D6CFF" w:rsidP="00903C80">
            <w:pPr>
              <w:spacing w:after="0" w:line="480" w:lineRule="auto"/>
              <w:jc w:val="center"/>
              <w:rPr>
                <w:rFonts w:ascii="Times New Roman" w:hAnsi="Times New Roman"/>
                <w:color w:val="000000" w:themeColor="text1"/>
                <w:kern w:val="0"/>
              </w:rPr>
            </w:pPr>
          </w:p>
        </w:tc>
        <w:tc>
          <w:tcPr>
            <w:tcW w:w="234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27139EC4"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C-O</w:t>
            </w:r>
          </w:p>
        </w:tc>
        <w:tc>
          <w:tcPr>
            <w:tcW w:w="270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6BE9394"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286.2</w:t>
            </w:r>
          </w:p>
        </w:tc>
        <w:tc>
          <w:tcPr>
            <w:tcW w:w="287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48306E74"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14.9</w:t>
            </w:r>
          </w:p>
        </w:tc>
      </w:tr>
      <w:tr w:rsidR="003D6CFF" w14:paraId="16CC24F2" w14:textId="77777777" w:rsidTr="000B58A3">
        <w:trPr>
          <w:trHeight w:val="406"/>
          <w:jc w:val="center"/>
        </w:trPr>
        <w:tc>
          <w:tcPr>
            <w:tcW w:w="1430" w:type="dxa"/>
            <w:vMerge/>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759BFFCA" w14:textId="77777777" w:rsidR="003D6CFF" w:rsidRPr="00FC6FE8" w:rsidRDefault="003D6CFF" w:rsidP="00903C80">
            <w:pPr>
              <w:spacing w:after="0" w:line="480" w:lineRule="auto"/>
              <w:jc w:val="center"/>
              <w:rPr>
                <w:rFonts w:ascii="Times New Roman" w:hAnsi="Times New Roman"/>
                <w:color w:val="000000" w:themeColor="text1"/>
                <w:kern w:val="0"/>
              </w:rPr>
            </w:pPr>
          </w:p>
        </w:tc>
        <w:tc>
          <w:tcPr>
            <w:tcW w:w="234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7CB0DC38"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C=O</w:t>
            </w:r>
          </w:p>
        </w:tc>
        <w:tc>
          <w:tcPr>
            <w:tcW w:w="270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27FD4981"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287.4</w:t>
            </w:r>
          </w:p>
        </w:tc>
        <w:tc>
          <w:tcPr>
            <w:tcW w:w="287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AF9A8C3"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13.3</w:t>
            </w:r>
          </w:p>
        </w:tc>
      </w:tr>
      <w:tr w:rsidR="003D6CFF" w14:paraId="6AE63E45" w14:textId="77777777" w:rsidTr="000B58A3">
        <w:trPr>
          <w:trHeight w:val="411"/>
          <w:jc w:val="center"/>
        </w:trPr>
        <w:tc>
          <w:tcPr>
            <w:tcW w:w="1430" w:type="dxa"/>
            <w:vMerge/>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0B2252B" w14:textId="77777777" w:rsidR="003D6CFF" w:rsidRPr="00FC6FE8" w:rsidRDefault="003D6CFF" w:rsidP="00903C80">
            <w:pPr>
              <w:spacing w:after="0" w:line="480" w:lineRule="auto"/>
              <w:jc w:val="center"/>
              <w:rPr>
                <w:rFonts w:ascii="Times New Roman" w:hAnsi="Times New Roman"/>
                <w:color w:val="000000" w:themeColor="text1"/>
                <w:kern w:val="0"/>
              </w:rPr>
            </w:pPr>
          </w:p>
        </w:tc>
        <w:tc>
          <w:tcPr>
            <w:tcW w:w="234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D48A083"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COO</w:t>
            </w:r>
          </w:p>
        </w:tc>
        <w:tc>
          <w:tcPr>
            <w:tcW w:w="270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26429CC8"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289.1</w:t>
            </w:r>
          </w:p>
        </w:tc>
        <w:tc>
          <w:tcPr>
            <w:tcW w:w="287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64855A4E"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9.0</w:t>
            </w:r>
          </w:p>
        </w:tc>
      </w:tr>
      <w:tr w:rsidR="003D6CFF" w14:paraId="2778080C" w14:textId="77777777" w:rsidTr="000B58A3">
        <w:trPr>
          <w:trHeight w:val="411"/>
          <w:jc w:val="center"/>
        </w:trPr>
        <w:tc>
          <w:tcPr>
            <w:tcW w:w="1430" w:type="dxa"/>
            <w:vMerge/>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1DEFD867" w14:textId="77777777" w:rsidR="003D6CFF" w:rsidRPr="00FC6FE8" w:rsidRDefault="003D6CFF" w:rsidP="00903C80">
            <w:pPr>
              <w:spacing w:after="0" w:line="480" w:lineRule="auto"/>
              <w:jc w:val="center"/>
              <w:rPr>
                <w:rFonts w:ascii="Times New Roman" w:hAnsi="Times New Roman"/>
                <w:color w:val="000000" w:themeColor="text1"/>
                <w:kern w:val="0"/>
              </w:rPr>
            </w:pPr>
          </w:p>
        </w:tc>
        <w:tc>
          <w:tcPr>
            <w:tcW w:w="234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154D9A26" w14:textId="484E670D"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Si-C</w:t>
            </w:r>
            <w:r w:rsidRPr="00FC6FE8">
              <w:rPr>
                <w:rFonts w:ascii="Times New Roman" w:hAnsi="Times New Roman"/>
                <w:color w:val="000000" w:themeColor="dark1"/>
              </w:rPr>
              <w:fldChar w:fldCharType="begin"/>
            </w:r>
            <w:r w:rsidR="00FD280D">
              <w:rPr>
                <w:rFonts w:ascii="Times New Roman" w:hAnsi="Times New Roman"/>
                <w:color w:val="000000" w:themeColor="dark1"/>
              </w:rPr>
              <w:instrText xml:space="preserve"> ADDIN ZOTERO_ITEM CSL_CITATION {"citationID":"snSK551M","properties":{"formattedCitation":"[14,15]","plainCitation":"[14,15]","noteIndex":0},"citationItems":[{"id":2647,"uris":["http://zotero.org/users/10352488/items/I5VYNL9X"],"itemData":{"id":2647,"type":"article-journal","abstract":"Si/C nanocomposites have been successfully prepared by grinding Si powders in the presence of graphite. When used as anodes for sodium-ion batteries, the as-prepared Si/C nanocomposites show significantly enhanced sodium-storage properties. In particular, the nanostructuring and close contact of the Si nanodomains and amorphous carbon enable the Si/C nanocomposites with high capacity and outstanding cyclability.","container-title":"Electrochemistry Communications","DOI":"10.1016/j.elecom.2016.06.012","ISSN":"1388-2481","journalAbbreviation":"Electrochemistry Communications","page":"8-12","source":"ScienceDirect","title":"A Si/C nanocomposite anode by ball milling for highly reversible sodium storage","volume":"70","author":[{"family":"Zhao","given":"Qianjin"},{"family":"Huang","given":"Yunhui"},{"family":"Hu","given":"Xianluo"}],"issued":{"date-parts":[["2016",9,1]]}}},{"id":2645,"uris":["http://zotero.org/users/10352488/items/AS9UFWBT"],"itemData":{"id":2645,"type":"article-journal","abstract":"The reduction behavior of Fe3+ during the preparation of a zero-valent iron cocoanut biochar (ZBC8-3) by the carbothermic reduction method was analyzed. Fe3+ was first converted into Fe3O4, which was subsequently decomposed into FeO, and finally reduced to Fe0. A minor amount of γ-Fe2O3 was produced in the process. The isothermal thermodynamic data for the removal of Cu(II) over ZBC8-3 followed a Langmuir model. The Langmuir equation revealed a maximum removal capacity of 169.49 mg g−1 at pH = 5 for ZBC8-3. The removal of Cu(II) over ZBC8-3 fitted well to a pseudo-first-order equation, which suggested that the rate limiting step of the process was diffusion. The Cu(II) removal mechanism on ZBC8-3 involved the reduction of Cu(II) by Fe0 to produce Cu0 and Cu2O, while CC, C–O–, and –O–H formed a complex with Cu(II).","container-title":"RSC Advances","DOI":"10.1039/C8RA05676E","ISSN":"2046-2069","issue":"59","journalAbbreviation":"RSC Adv.","language":"en","note":"publisher: The Royal Society of Chemistry","page":"34151-34160","source":"pubs.rsc.org","title":"Pyrolytic behavior of a zero-valent iron biochar composite and its Cu(II) removal mechanism","volume":"8","author":[{"family":"Yu","given":"Changjiang"},{"family":"Zhang","given":"Dashuai"},{"family":"Dong","given":"Xinyu"},{"family":"Lin","given":"Qiang"}],"issued":{"date-parts":[["2018",9,28]]}}}],"schema":"https://github.com/citation-style-language/schema/raw/master/csl-citation.json"} </w:instrText>
            </w:r>
            <w:r w:rsidRPr="00FC6FE8">
              <w:rPr>
                <w:rFonts w:ascii="Times New Roman" w:hAnsi="Times New Roman"/>
                <w:color w:val="000000" w:themeColor="dark1"/>
              </w:rPr>
              <w:fldChar w:fldCharType="separate"/>
            </w:r>
            <w:r w:rsidR="00FD280D">
              <w:rPr>
                <w:rFonts w:ascii="Times New Roman" w:hAnsi="Times New Roman" w:cs="Times New Roman"/>
                <w:color w:val="000000"/>
                <w:kern w:val="0"/>
              </w:rPr>
              <w:t>[14,15]</w:t>
            </w:r>
            <w:r w:rsidRPr="00FC6FE8">
              <w:rPr>
                <w:rFonts w:ascii="Times New Roman" w:hAnsi="Times New Roman"/>
                <w:color w:val="000000" w:themeColor="dark1"/>
              </w:rPr>
              <w:fldChar w:fldCharType="end"/>
            </w:r>
          </w:p>
        </w:tc>
        <w:tc>
          <w:tcPr>
            <w:tcW w:w="270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5D1F5628"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283.1</w:t>
            </w:r>
          </w:p>
        </w:tc>
        <w:tc>
          <w:tcPr>
            <w:tcW w:w="287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163918C5"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21.9</w:t>
            </w:r>
          </w:p>
        </w:tc>
      </w:tr>
      <w:tr w:rsidR="003D6CFF" w14:paraId="6F866C77" w14:textId="77777777" w:rsidTr="000B58A3">
        <w:trPr>
          <w:trHeight w:val="417"/>
          <w:jc w:val="center"/>
        </w:trPr>
        <w:tc>
          <w:tcPr>
            <w:tcW w:w="1430" w:type="dxa"/>
            <w:vMerge w:val="restart"/>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42D97CF7" w14:textId="77777777" w:rsidR="003D6CFF" w:rsidRPr="00FC6FE8" w:rsidRDefault="003D6CFF" w:rsidP="00903C80">
            <w:pPr>
              <w:spacing w:after="0" w:line="480" w:lineRule="auto"/>
              <w:jc w:val="center"/>
              <w:rPr>
                <w:rFonts w:ascii="Times New Roman" w:hAnsi="Times New Roman"/>
                <w:color w:val="000000" w:themeColor="text1"/>
                <w:kern w:val="0"/>
              </w:rPr>
            </w:pPr>
            <w:r w:rsidRPr="00FC6FE8">
              <w:rPr>
                <w:rFonts w:ascii="Times New Roman" w:hAnsi="Times New Roman" w:hint="eastAsia"/>
                <w:color w:val="000000" w:themeColor="text1"/>
                <w:kern w:val="0"/>
              </w:rPr>
              <w:t>O1s</w:t>
            </w:r>
          </w:p>
        </w:tc>
        <w:tc>
          <w:tcPr>
            <w:tcW w:w="234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2C9BE9F2" w14:textId="77777777" w:rsidR="003D6CFF" w:rsidRPr="00FC6FE8" w:rsidRDefault="003D6CFF" w:rsidP="00903C80">
            <w:pPr>
              <w:spacing w:after="0" w:line="480" w:lineRule="auto"/>
              <w:jc w:val="center"/>
              <w:rPr>
                <w:rFonts w:ascii="Times New Roman" w:eastAsia="MS Mincho" w:hAnsi="Times New Roman"/>
                <w:color w:val="000000" w:themeColor="dark1"/>
                <w:lang w:val="de-DE"/>
              </w:rPr>
            </w:pPr>
            <w:r w:rsidRPr="00FC6FE8">
              <w:rPr>
                <w:rFonts w:ascii="Times New Roman" w:eastAsia="MS Mincho" w:hAnsi="Times New Roman" w:hint="eastAsia"/>
                <w:color w:val="000000" w:themeColor="dark1"/>
                <w:lang w:val="de-DE"/>
              </w:rPr>
              <w:t>C=O</w:t>
            </w:r>
          </w:p>
        </w:tc>
        <w:tc>
          <w:tcPr>
            <w:tcW w:w="270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746AB710"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531.3</w:t>
            </w:r>
          </w:p>
        </w:tc>
        <w:tc>
          <w:tcPr>
            <w:tcW w:w="287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CFDCBF6"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63.4</w:t>
            </w:r>
          </w:p>
        </w:tc>
      </w:tr>
      <w:tr w:rsidR="003D6CFF" w14:paraId="64BE563B" w14:textId="77777777" w:rsidTr="000B58A3">
        <w:trPr>
          <w:trHeight w:val="466"/>
          <w:jc w:val="center"/>
        </w:trPr>
        <w:tc>
          <w:tcPr>
            <w:tcW w:w="1430" w:type="dxa"/>
            <w:vMerge/>
            <w:tcBorders>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12FBF1BE" w14:textId="77777777" w:rsidR="003D6CFF" w:rsidRPr="00FC6FE8" w:rsidRDefault="003D6CFF" w:rsidP="00903C80">
            <w:pPr>
              <w:spacing w:after="0" w:line="480" w:lineRule="auto"/>
              <w:jc w:val="center"/>
              <w:rPr>
                <w:rFonts w:ascii="Times New Roman" w:hAnsi="Times New Roman"/>
                <w:color w:val="000000" w:themeColor="text1"/>
                <w:kern w:val="0"/>
              </w:rPr>
            </w:pPr>
          </w:p>
        </w:tc>
        <w:tc>
          <w:tcPr>
            <w:tcW w:w="2340" w:type="dxa"/>
            <w:tcBorders>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6675B7B3"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O-H, C-O-C</w:t>
            </w:r>
          </w:p>
        </w:tc>
        <w:tc>
          <w:tcPr>
            <w:tcW w:w="2700" w:type="dxa"/>
            <w:tcBorders>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4D153846"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533.1</w:t>
            </w:r>
          </w:p>
        </w:tc>
        <w:tc>
          <w:tcPr>
            <w:tcW w:w="2876" w:type="dxa"/>
            <w:tcBorders>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421CC500"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hint="eastAsia"/>
                <w:color w:val="000000" w:themeColor="dark1"/>
              </w:rPr>
              <w:t>36.6</w:t>
            </w:r>
          </w:p>
        </w:tc>
      </w:tr>
    </w:tbl>
    <w:p w14:paraId="3C665431" w14:textId="77777777" w:rsidR="003D6CFF" w:rsidRDefault="003D6CFF" w:rsidP="00903C80">
      <w:pPr>
        <w:spacing w:after="0" w:line="480" w:lineRule="auto"/>
        <w:rPr>
          <w:rFonts w:ascii="Times New Roman" w:hAnsi="Times New Roman" w:cs="Times New Roman"/>
          <w:b/>
          <w:bCs/>
        </w:rPr>
      </w:pPr>
    </w:p>
    <w:p w14:paraId="1708B023" w14:textId="77777777" w:rsidR="003D6CFF" w:rsidRDefault="003D6CFF" w:rsidP="00903C80">
      <w:pPr>
        <w:spacing w:after="0" w:line="480" w:lineRule="auto"/>
        <w:rPr>
          <w:rFonts w:ascii="Times New Roman" w:hAnsi="Times New Roman" w:cs="Times New Roman"/>
          <w:b/>
          <w:bCs/>
        </w:rPr>
      </w:pPr>
    </w:p>
    <w:p w14:paraId="7EB6E23D" w14:textId="77777777" w:rsidR="001678E0" w:rsidRDefault="001678E0" w:rsidP="00903C80">
      <w:pPr>
        <w:spacing w:after="0" w:line="480" w:lineRule="auto"/>
        <w:rPr>
          <w:rFonts w:ascii="Times New Roman" w:hAnsi="Times New Roman" w:cs="Times New Roman"/>
          <w:b/>
          <w:bCs/>
        </w:rPr>
        <w:sectPr w:rsidR="001678E0">
          <w:pgSz w:w="12240" w:h="15840"/>
          <w:pgMar w:top="1440" w:right="1440" w:bottom="1440" w:left="1440" w:header="720" w:footer="720" w:gutter="0"/>
          <w:cols w:space="720"/>
          <w:docGrid w:linePitch="360"/>
        </w:sectPr>
      </w:pPr>
    </w:p>
    <w:p w14:paraId="02026C4E" w14:textId="473F0383" w:rsidR="00FB1AE3" w:rsidRDefault="00FB1AE3" w:rsidP="00FB1AE3">
      <w:pPr>
        <w:spacing w:after="0" w:line="480" w:lineRule="auto"/>
        <w:rPr>
          <w:rStyle w:val="Heading1Char"/>
          <w:rFonts w:ascii="Times New Roman" w:hAnsi="Times New Roman" w:cs="Times New Roman"/>
          <w:b/>
          <w:bCs/>
          <w:color w:val="000000" w:themeColor="text1"/>
          <w:sz w:val="24"/>
          <w:szCs w:val="24"/>
        </w:rPr>
      </w:pPr>
      <w:bookmarkStart w:id="15" w:name="_Toc224215291"/>
      <w:r w:rsidRPr="00FD280D">
        <w:rPr>
          <w:rStyle w:val="Heading1Char"/>
          <w:rFonts w:ascii="Times New Roman" w:hAnsi="Times New Roman" w:cs="Times New Roman"/>
          <w:b/>
          <w:bCs/>
          <w:color w:val="000000" w:themeColor="text1"/>
          <w:sz w:val="24"/>
          <w:szCs w:val="24"/>
        </w:rPr>
        <w:lastRenderedPageBreak/>
        <w:t>Table S</w:t>
      </w:r>
      <w:r>
        <w:rPr>
          <w:rStyle w:val="Heading1Char"/>
          <w:rFonts w:ascii="Times New Roman" w:hAnsi="Times New Roman" w:cs="Times New Roman" w:hint="eastAsia"/>
          <w:b/>
          <w:bCs/>
          <w:color w:val="000000" w:themeColor="text1"/>
          <w:sz w:val="24"/>
          <w:szCs w:val="24"/>
        </w:rPr>
        <w:t>4</w:t>
      </w:r>
      <w:r w:rsidRPr="00FD280D">
        <w:rPr>
          <w:rStyle w:val="Heading1Char"/>
          <w:rFonts w:ascii="Times New Roman" w:hAnsi="Times New Roman" w:cs="Times New Roman"/>
          <w:color w:val="000000" w:themeColor="text1"/>
          <w:sz w:val="24"/>
          <w:szCs w:val="24"/>
        </w:rPr>
        <w:t>. Summary of WS-biochar Model Features</w:t>
      </w:r>
      <w:r>
        <w:rPr>
          <w:rStyle w:val="Heading1Char"/>
          <w:rFonts w:ascii="Times New Roman" w:hAnsi="Times New Roman" w:cs="Times New Roman" w:hint="eastAsia"/>
          <w:color w:val="000000" w:themeColor="text1"/>
          <w:sz w:val="24"/>
          <w:szCs w:val="24"/>
        </w:rPr>
        <w:t>.</w:t>
      </w:r>
      <w:bookmarkEnd w:id="15"/>
    </w:p>
    <w:tbl>
      <w:tblPr>
        <w:tblW w:w="9346" w:type="dxa"/>
        <w:jc w:val="center"/>
        <w:tblLayout w:type="fixed"/>
        <w:tblCellMar>
          <w:left w:w="0" w:type="dxa"/>
          <w:right w:w="0" w:type="dxa"/>
        </w:tblCellMar>
        <w:tblLook w:val="04A0" w:firstRow="1" w:lastRow="0" w:firstColumn="1" w:lastColumn="0" w:noHBand="0" w:noVBand="1"/>
      </w:tblPr>
      <w:tblGrid>
        <w:gridCol w:w="2960"/>
        <w:gridCol w:w="2970"/>
        <w:gridCol w:w="3416"/>
      </w:tblGrid>
      <w:tr w:rsidR="00FB1AE3" w14:paraId="740EF1B4" w14:textId="77777777" w:rsidTr="00FE6C4C">
        <w:trPr>
          <w:trHeight w:val="747"/>
          <w:jc w:val="center"/>
        </w:trPr>
        <w:tc>
          <w:tcPr>
            <w:tcW w:w="2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32019386" w14:textId="77777777" w:rsidR="00FB1AE3" w:rsidRPr="00003D68" w:rsidRDefault="00FB1AE3" w:rsidP="00FE6C4C">
            <w:pPr>
              <w:spacing w:after="0" w:line="480" w:lineRule="auto"/>
              <w:jc w:val="center"/>
              <w:rPr>
                <w:rFonts w:ascii="Times New Roman" w:hAnsi="Times New Roman"/>
                <w:b/>
                <w:bCs/>
                <w:color w:val="000000" w:themeColor="text1"/>
                <w:kern w:val="0"/>
                <w:lang w:val="de-DE"/>
              </w:rPr>
            </w:pPr>
            <w:r w:rsidRPr="00003D68">
              <w:rPr>
                <w:rFonts w:ascii="Times New Roman" w:hAnsi="Times New Roman" w:hint="eastAsia"/>
                <w:b/>
                <w:bCs/>
                <w:color w:val="000000" w:themeColor="text1"/>
                <w:kern w:val="0"/>
                <w:lang w:val="de-DE"/>
              </w:rPr>
              <w:t>Feature</w:t>
            </w:r>
          </w:p>
        </w:tc>
        <w:tc>
          <w:tcPr>
            <w:tcW w:w="29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01855573" w14:textId="77777777" w:rsidR="00FB1AE3" w:rsidRPr="001A0BEF" w:rsidRDefault="00FB1AE3" w:rsidP="00FE6C4C">
            <w:pPr>
              <w:spacing w:after="0" w:line="480" w:lineRule="auto"/>
              <w:jc w:val="center"/>
              <w:rPr>
                <w:rFonts w:ascii="Times New Roman" w:hAnsi="Times New Roman"/>
                <w:b/>
                <w:bCs/>
                <w:color w:val="000000" w:themeColor="text1"/>
                <w:kern w:val="0"/>
                <w:lang w:val="de-DE"/>
              </w:rPr>
            </w:pPr>
            <w:r w:rsidRPr="001A0BEF">
              <w:rPr>
                <w:rFonts w:ascii="Times New Roman" w:hAnsi="Times New Roman" w:hint="eastAsia"/>
                <w:b/>
                <w:bCs/>
                <w:color w:val="000000" w:themeColor="text1"/>
                <w:kern w:val="0"/>
                <w:lang w:val="de-DE"/>
              </w:rPr>
              <w:t>Description</w:t>
            </w:r>
          </w:p>
        </w:tc>
        <w:tc>
          <w:tcPr>
            <w:tcW w:w="341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732BD81E" w14:textId="77777777" w:rsidR="00FB1AE3" w:rsidRPr="001A0BEF" w:rsidRDefault="00FB1AE3" w:rsidP="00FE6C4C">
            <w:pPr>
              <w:spacing w:after="0" w:line="480" w:lineRule="auto"/>
              <w:jc w:val="center"/>
              <w:rPr>
                <w:rFonts w:ascii="Times New Roman" w:hAnsi="Times New Roman"/>
                <w:b/>
                <w:bCs/>
                <w:color w:val="000000" w:themeColor="text1"/>
                <w:kern w:val="0"/>
                <w:lang w:val="de-DE"/>
              </w:rPr>
            </w:pPr>
            <w:r w:rsidRPr="001A0BEF">
              <w:rPr>
                <w:rFonts w:ascii="Times New Roman" w:hAnsi="Times New Roman" w:hint="eastAsia"/>
                <w:b/>
                <w:bCs/>
                <w:color w:val="000000" w:themeColor="text1"/>
                <w:kern w:val="0"/>
                <w:lang w:val="de-DE"/>
              </w:rPr>
              <w:t>Justification / Notes</w:t>
            </w:r>
          </w:p>
        </w:tc>
      </w:tr>
      <w:tr w:rsidR="00FB1AE3" w14:paraId="4FE02724" w14:textId="77777777" w:rsidTr="00FE6C4C">
        <w:trPr>
          <w:trHeight w:val="413"/>
          <w:jc w:val="center"/>
        </w:trPr>
        <w:tc>
          <w:tcPr>
            <w:tcW w:w="2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7C5B86E4" w14:textId="77777777" w:rsidR="00FB1AE3" w:rsidRPr="001A0BEF" w:rsidRDefault="00FB1AE3" w:rsidP="00FE6C4C">
            <w:pPr>
              <w:spacing w:after="0" w:line="480" w:lineRule="auto"/>
              <w:rPr>
                <w:rFonts w:ascii="Times New Roman" w:hAnsi="Times New Roman"/>
                <w:color w:val="000000" w:themeColor="text1"/>
                <w:kern w:val="0"/>
                <w:sz w:val="21"/>
                <w:szCs w:val="21"/>
              </w:rPr>
            </w:pPr>
            <w:r w:rsidRPr="001A0BEF">
              <w:rPr>
                <w:rFonts w:ascii="Times New Roman" w:hAnsi="Times New Roman" w:hint="eastAsia"/>
                <w:color w:val="000000" w:themeColor="text1"/>
                <w:kern w:val="0"/>
                <w:sz w:val="21"/>
                <w:szCs w:val="21"/>
              </w:rPr>
              <w:t>Aromatic domain size</w:t>
            </w:r>
          </w:p>
        </w:tc>
        <w:tc>
          <w:tcPr>
            <w:tcW w:w="29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5E52C672" w14:textId="77777777" w:rsidR="00FB1AE3" w:rsidRPr="001A0BEF" w:rsidRDefault="00FB1AE3" w:rsidP="00FE6C4C">
            <w:pPr>
              <w:spacing w:after="0" w:line="480" w:lineRule="auto"/>
              <w:rPr>
                <w:rFonts w:ascii="Times New Roman" w:hAnsi="Times New Roman"/>
                <w:color w:val="000000" w:themeColor="dark1"/>
                <w:sz w:val="21"/>
                <w:szCs w:val="21"/>
              </w:rPr>
            </w:pPr>
            <w:r w:rsidRPr="001A0BEF">
              <w:rPr>
                <w:rFonts w:ascii="Times New Roman" w:hAnsi="Times New Roman"/>
                <w:color w:val="000000" w:themeColor="dark1"/>
                <w:sz w:val="21"/>
                <w:szCs w:val="21"/>
              </w:rPr>
              <w:t>an extended polycyclic structure with ~10 fused rings, decorated with oxygen-containing functional groups on the edges</w:t>
            </w:r>
          </w:p>
        </w:tc>
        <w:tc>
          <w:tcPr>
            <w:tcW w:w="341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2893F9BA" w14:textId="77777777" w:rsidR="00FB1AE3" w:rsidRPr="001A0BEF" w:rsidRDefault="00FB1AE3" w:rsidP="00FE6C4C">
            <w:pPr>
              <w:spacing w:after="0" w:line="480" w:lineRule="auto"/>
              <w:rPr>
                <w:rFonts w:ascii="Times New Roman" w:hAnsi="Times New Roman"/>
                <w:color w:val="000000" w:themeColor="dark1"/>
                <w:sz w:val="21"/>
                <w:szCs w:val="21"/>
              </w:rPr>
            </w:pPr>
            <w:r w:rsidRPr="001A0BEF">
              <w:rPr>
                <w:rFonts w:ascii="Times New Roman" w:hAnsi="Times New Roman" w:hint="eastAsia"/>
                <w:color w:val="000000" w:themeColor="dark1"/>
                <w:sz w:val="21"/>
                <w:szCs w:val="21"/>
              </w:rPr>
              <w:t>C:H ratio</w:t>
            </w:r>
            <w:r>
              <w:rPr>
                <w:rFonts w:ascii="Times New Roman" w:hAnsi="Times New Roman" w:hint="eastAsia"/>
                <w:color w:val="000000" w:themeColor="dark1"/>
                <w:sz w:val="21"/>
                <w:szCs w:val="21"/>
              </w:rPr>
              <w:t xml:space="preserve"> (0.49 in </w:t>
            </w:r>
            <w:r w:rsidRPr="00FD280D">
              <w:rPr>
                <w:rFonts w:ascii="Times New Roman" w:hAnsi="Times New Roman" w:hint="eastAsia"/>
                <w:color w:val="0432FF"/>
                <w:sz w:val="21"/>
                <w:szCs w:val="21"/>
              </w:rPr>
              <w:t>Table S1</w:t>
            </w:r>
            <w:r>
              <w:rPr>
                <w:rFonts w:ascii="Times New Roman" w:hAnsi="Times New Roman" w:hint="eastAsia"/>
                <w:color w:val="000000" w:themeColor="dark1"/>
                <w:sz w:val="21"/>
                <w:szCs w:val="21"/>
              </w:rPr>
              <w:t>)</w:t>
            </w:r>
            <w:r w:rsidRPr="001A0BEF">
              <w:rPr>
                <w:rFonts w:ascii="Times New Roman" w:hAnsi="Times New Roman" w:hint="eastAsia"/>
                <w:color w:val="000000" w:themeColor="dark1"/>
                <w:sz w:val="21"/>
                <w:szCs w:val="21"/>
              </w:rPr>
              <w:t>, FTIR</w:t>
            </w:r>
            <w:r>
              <w:rPr>
                <w:rFonts w:ascii="Times New Roman" w:hAnsi="Times New Roman" w:hint="eastAsia"/>
                <w:color w:val="000000" w:themeColor="dark1"/>
                <w:sz w:val="21"/>
                <w:szCs w:val="21"/>
              </w:rPr>
              <w:t xml:space="preserve"> (</w:t>
            </w:r>
            <w:r w:rsidRPr="00FD280D">
              <w:rPr>
                <w:rFonts w:ascii="Times New Roman" w:hAnsi="Times New Roman" w:hint="eastAsia"/>
                <w:color w:val="0432FF"/>
                <w:sz w:val="21"/>
                <w:szCs w:val="21"/>
              </w:rPr>
              <w:t>Fig. 1</w:t>
            </w:r>
            <w:r>
              <w:rPr>
                <w:rFonts w:ascii="Times New Roman" w:hAnsi="Times New Roman" w:hint="eastAsia"/>
                <w:color w:val="000000" w:themeColor="dark1"/>
                <w:sz w:val="21"/>
                <w:szCs w:val="21"/>
              </w:rPr>
              <w:t>)</w:t>
            </w:r>
            <w:r w:rsidRPr="001A0BEF">
              <w:rPr>
                <w:rFonts w:ascii="Times New Roman" w:hAnsi="Times New Roman" w:hint="eastAsia"/>
                <w:color w:val="000000" w:themeColor="dark1"/>
                <w:sz w:val="21"/>
                <w:szCs w:val="21"/>
              </w:rPr>
              <w:t>, XPS</w:t>
            </w:r>
            <w:r>
              <w:rPr>
                <w:rFonts w:ascii="Times New Roman" w:hAnsi="Times New Roman" w:hint="eastAsia"/>
                <w:color w:val="000000" w:themeColor="dark1"/>
                <w:sz w:val="21"/>
                <w:szCs w:val="21"/>
              </w:rPr>
              <w:t xml:space="preserve"> (</w:t>
            </w:r>
            <w:r w:rsidRPr="00FD280D">
              <w:rPr>
                <w:rFonts w:ascii="Times New Roman" w:hAnsi="Times New Roman" w:hint="eastAsia"/>
                <w:color w:val="0432FF"/>
                <w:sz w:val="21"/>
                <w:szCs w:val="21"/>
              </w:rPr>
              <w:t>Fig. 1</w:t>
            </w:r>
            <w:r>
              <w:rPr>
                <w:rFonts w:ascii="Times New Roman" w:hAnsi="Times New Roman" w:hint="eastAsia"/>
                <w:color w:val="000000" w:themeColor="dark1"/>
                <w:sz w:val="21"/>
                <w:szCs w:val="21"/>
              </w:rPr>
              <w:t>)</w:t>
            </w:r>
            <w:r w:rsidRPr="001A0BEF">
              <w:rPr>
                <w:rFonts w:ascii="Times New Roman" w:hAnsi="Times New Roman" w:hint="eastAsia"/>
                <w:color w:val="000000" w:themeColor="dark1"/>
                <w:sz w:val="21"/>
                <w:szCs w:val="21"/>
              </w:rPr>
              <w:t>, and literature</w:t>
            </w:r>
            <w:r>
              <w:rPr>
                <w:rFonts w:ascii="Times New Roman" w:hAnsi="Times New Roman"/>
                <w:color w:val="000000" w:themeColor="dark1"/>
                <w:sz w:val="21"/>
                <w:szCs w:val="21"/>
              </w:rPr>
              <w:fldChar w:fldCharType="begin"/>
            </w:r>
            <w:r>
              <w:rPr>
                <w:rFonts w:ascii="Times New Roman" w:hAnsi="Times New Roman"/>
                <w:color w:val="000000" w:themeColor="dark1"/>
                <w:sz w:val="21"/>
                <w:szCs w:val="21"/>
              </w:rPr>
              <w:instrText xml:space="preserve"> ADDIN ZOTERO_ITEM CSL_CITATION {"citationID":"XyWf2vGm","properties":{"formattedCitation":"[7\\uc0\\u8211{}9]","plainCitation":"[7–9]","noteIndex":0},"citationItems":[{"id":2791,"uris":["http://zotero.org/users/10352488/items/JEZ22GTN"],"itemData":{"id":2791,"type":"article","abstract":"Biochars have been attracting renewed attention as economical and environmentally friendly carbon sequestration materials with diverse applications. However, experimental developments may be limited by the lack of molecular-level knowledge of the key interactions driving these applications. Molecular modelling techniques, such as molecular dynamics simulations, provide atomistic-level insights into physicochemical processes, informing and guiding experimental development. This paper presents the second part of the work dedicated to unravelling biochars’ molecular makeup and developing representative and realistic molecular models for computer simulation. To this end, in Part 1, we reviewed analytical techniques frequently used for the characterisation of biochars and collated a large volume of experimental data. Based on this knowledge and data, in this Part 2, we develop molecular models of three woody biochar materials, representative of real biochars produced under low-, medium-, and high-temperature treatments. We characterise these models, validate them against experimental data, and share our models with the research community. These are the first realistic models of biochars and are shared in an easy-to-use format, with assigned OPLS-AA force field and ready for use in classical molecular dynamics simulations with GROMACS engine. Furthermore, we detail the iterative approach we used for the design of these biochar models, discussing what we have learned about the relationship between biochar composition and morphology thanks to this approach. We also share all the building blocks used to create these biochar models, by this allowing other users to build their custom-made biochars. Through this work, we hope to initiate the uptake of molecular dynamics simulations for the study and development of biochar materials.","DOI":"10.2139/ssrn.4606268","event-place":"Rochester, NY","genre":"SSRN Scholarly Paper","language":"en","number":"4606268","publisher":"Social Science Research Network","publisher-place":"Rochester, NY","source":"papers.ssrn.com","title":"Biochars at the Molecular Level Part 2 – Development of Realistic Molecular Models of Biochars","URL":"https://papers.ssrn.com/abstract=4606268","author":[{"family":"Wood","given":"Rosie"},{"family":"Mašek","given":"Ondřej"},{"family":"Erastova","given":"Valentina"}],"accessed":{"date-parts":[["2026",1,5]]},"issued":{"date-parts":[["2023",10,19]]}}},{"id":2789,"uris":["http://zotero.org/users/10352488/items/5388J7II"],"itemData":{"id":2789,"type":"article-journal","abstract":"Biochar is a porous carbon material that can effectively remove NOx from flue gas. The influence of K element and active sites on the microscopic mechanism of NO2 gas adsorption and reduction reaction remains elusive. Through density functional theory (DFT), two NO2 molecules are selected on reasonable biochar models to calculate the reaction pathway. The reaction pathways involve the sequential adsorption of two NO2 molecules at different active sites for reduction reaction, and desorption of two NO molecules and one CO2 molecule. Through the energy barrier difference of the reaction path and interaction region indicator (IRI) analysis of important molecular structures, it was found that K atom promotes the adsorption reduction reaction in three reaction processes: the breakage of N–O bond, the desorption of NO molecule, and the dissociation of CO2 molecule. Based on the different numbers of active sites in the four reactant models, it can be concluded that the promotion range of the K atom for the adsorption and reduction process of NO2 molecules is 0.6157 nm. Thermodynamic and kinetic analyses indicate that the addition of K enhances the upper limit and the maximum reaction rate of the reaction pathways. This study provides certain theoretical guidance for preparing biochar to regulate NO2 emissions.","container-title":"Biochar","DOI":"10.1007/s42773-025-00449-z","ISSN":"2524-7867","issue":"1","journalAbbreviation":"Biochar","language":"en","page":"67","source":"Springer Link","title":"Density functional theory study on the microscopic mechanism of NO2 adsorption and reduction by potassium-doped biochar: the key role of the active sites","title-short":"Density functional theory study on the microscopic mechanism of NO2 adsorption and reduction by potassium-doped biochar","volume":"7","author":[{"family":"Hao","given":"Tong"},{"family":"Zhou","given":"Qian"},{"family":"Jiang","given":"Jinyuan"},{"family":"Song","given":"Haoyang"},{"family":"Pan","given":"Yiting"},{"family":"Shi","given":"Dongni"}],"issued":{"date-parts":[["2025",4,1]]}}},{"id":2787,"uris":["http://zotero.org/users/10352488/items/V84ZZBSM"],"itemData":{"id":2787,"type":"article-journal","abstract":"To investigate the Pb2+ adsorption characteristics of biochar, DFT (Density functional theory) calculation was employed as an effective method to evaluate the adsorption behavior. The three-dimensional structure of biochar was determined as C58H40N2O9 through 13C NMR, FTIR, and XPS analyses, which consisted of multiple triphenylene and biphenylene units linked by aliphatic carbons, functionalized with carbonyl, carboxyl, hydroxyl, and pyrrole groups on the surface. The adsorption sites were determined by molecular ESP analysis. DFT calculation showed that the adsorption performance was not only related to the type of functional groups, but also to the molecular structure in which the adsorption site was located. Configuration 3 showed the strongest Eads (−114 kJ mol−1) that Pb2+ achieved synergistic binding through simultaneous coordination to the carbonyl oxygen O(50) and adjacent aromatic carbons C(11)/C(12). The ion exchange capacity contributed by alkali and alkaline earth metals (AAEMs) presented on biochar followed K &gt; Ca &gt; Na &gt; Mg. The ΔG of the ion exchange reaction was predominantly lower than that of Pb2+ adsorbed on biochar molecule through OFGs complexation and cation-π interaction, indicating the significant effect of AAEMs on the adsorption performance. Moreover, AAEMs coordinated on O atoms could enhance Pb-O bond strength during adsorption. These findings suggested that K/Ca enriched biochar was recommended for Pb2+ removal.","container-title":"Separation and Purification Technology","DOI":"10.1016/j.seppur.2025.134474</w:instrText>
            </w:r>
            <w:r>
              <w:rPr>
                <w:rFonts w:ascii="Times New Roman" w:hAnsi="Times New Roman" w:hint="eastAsia"/>
                <w:color w:val="000000" w:themeColor="dark1"/>
                <w:sz w:val="21"/>
                <w:szCs w:val="21"/>
              </w:rPr>
              <w:instrText>","ISSN":"1383-5866","journalAbbreviation":"Separation and Purification Technology","page":"134474","source":"ScienceDirect","title":"DFT study on adsorption of Pb(</w:instrText>
            </w:r>
            <w:r>
              <w:rPr>
                <w:rFonts w:ascii="Times New Roman" w:hAnsi="Times New Roman" w:hint="eastAsia"/>
                <w:color w:val="000000" w:themeColor="dark1"/>
                <w:sz w:val="21"/>
                <w:szCs w:val="21"/>
              </w:rPr>
              <w:instrText>Ⅱ</w:instrText>
            </w:r>
            <w:r>
              <w:rPr>
                <w:rFonts w:ascii="Times New Roman" w:hAnsi="Times New Roman" w:hint="eastAsia"/>
                <w:color w:val="000000" w:themeColor="dark1"/>
                <w:sz w:val="21"/>
                <w:szCs w:val="21"/>
              </w:rPr>
              <w:instrText>) by biochar: focusing on molecular structure and alkali and alkaline earth metals","title-short":"DFT study on adsorption of Pb(</w:instrText>
            </w:r>
            <w:r>
              <w:rPr>
                <w:rFonts w:ascii="Times New Roman" w:hAnsi="Times New Roman" w:hint="eastAsia"/>
                <w:color w:val="000000" w:themeColor="dark1"/>
                <w:sz w:val="21"/>
                <w:szCs w:val="21"/>
              </w:rPr>
              <w:instrText>Ⅱ</w:instrText>
            </w:r>
            <w:r>
              <w:rPr>
                <w:rFonts w:ascii="Times New Roman" w:hAnsi="Times New Roman" w:hint="eastAsia"/>
                <w:color w:val="000000" w:themeColor="dark1"/>
                <w:sz w:val="21"/>
                <w:szCs w:val="21"/>
              </w:rPr>
              <w:instrText>) by biochar","volume":"377","author":[{"family":"Jiang","given":"Jiahao"},{"family":"Pan","given":"Zhenyan"},{"family":"Huang","given":"Xiaole"},{"family":"Ren","given":"Jiyun"},{"family":"Deng","given":"Lei"},{"fa</w:instrText>
            </w:r>
            <w:r>
              <w:rPr>
                <w:rFonts w:ascii="Times New Roman" w:hAnsi="Times New Roman"/>
                <w:color w:val="000000" w:themeColor="dark1"/>
                <w:sz w:val="21"/>
                <w:szCs w:val="21"/>
              </w:rPr>
              <w:instrText xml:space="preserve">mily":"Huang","given":"Zhong"},{"family":"Che","given":"Defu"}],"issued":{"date-parts":[["2025",12,19]]}}}],"schema":"https://github.com/citation-style-language/schema/raw/master/csl-citation.json"} </w:instrText>
            </w:r>
            <w:r>
              <w:rPr>
                <w:rFonts w:ascii="Times New Roman" w:hAnsi="Times New Roman"/>
                <w:color w:val="000000" w:themeColor="dark1"/>
                <w:sz w:val="21"/>
                <w:szCs w:val="21"/>
              </w:rPr>
              <w:fldChar w:fldCharType="separate"/>
            </w:r>
            <w:r w:rsidRPr="00FD280D">
              <w:rPr>
                <w:rFonts w:ascii="Times New Roman" w:hAnsi="Times New Roman" w:cs="Times New Roman"/>
                <w:color w:val="000000"/>
                <w:kern w:val="0"/>
                <w:sz w:val="21"/>
              </w:rPr>
              <w:t>[7–9]</w:t>
            </w:r>
            <w:r>
              <w:rPr>
                <w:rFonts w:ascii="Times New Roman" w:hAnsi="Times New Roman"/>
                <w:color w:val="000000" w:themeColor="dark1"/>
                <w:sz w:val="21"/>
                <w:szCs w:val="21"/>
              </w:rPr>
              <w:fldChar w:fldCharType="end"/>
            </w:r>
            <w:r w:rsidRPr="001A0BEF">
              <w:rPr>
                <w:rFonts w:ascii="Times New Roman" w:hAnsi="Times New Roman" w:hint="eastAsia"/>
                <w:color w:val="000000" w:themeColor="dark1"/>
                <w:sz w:val="21"/>
                <w:szCs w:val="21"/>
              </w:rPr>
              <w:t xml:space="preserve"> </w:t>
            </w:r>
          </w:p>
        </w:tc>
      </w:tr>
      <w:tr w:rsidR="00FB1AE3" w14:paraId="5FB4D6B4" w14:textId="77777777" w:rsidTr="00FE6C4C">
        <w:trPr>
          <w:trHeight w:val="406"/>
          <w:jc w:val="center"/>
        </w:trPr>
        <w:tc>
          <w:tcPr>
            <w:tcW w:w="2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654A705C" w14:textId="77777777" w:rsidR="00FB1AE3" w:rsidRPr="001A0BEF" w:rsidRDefault="00FB1AE3" w:rsidP="00FE6C4C">
            <w:pPr>
              <w:spacing w:after="0" w:line="480" w:lineRule="auto"/>
              <w:rPr>
                <w:rFonts w:ascii="Times New Roman" w:hAnsi="Times New Roman"/>
                <w:color w:val="000000" w:themeColor="text1"/>
                <w:kern w:val="0"/>
                <w:sz w:val="21"/>
                <w:szCs w:val="21"/>
              </w:rPr>
            </w:pPr>
            <w:r w:rsidRPr="001A0BEF">
              <w:rPr>
                <w:rFonts w:ascii="Times New Roman" w:hAnsi="Times New Roman" w:cs="Times New Roman" w:hint="eastAsia"/>
                <w:sz w:val="21"/>
                <w:szCs w:val="21"/>
              </w:rPr>
              <w:t>Functional groups included</w:t>
            </w:r>
          </w:p>
        </w:tc>
        <w:tc>
          <w:tcPr>
            <w:tcW w:w="29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73C562EB" w14:textId="77777777" w:rsidR="00FB1AE3" w:rsidRPr="001A0BEF" w:rsidRDefault="00FB1AE3" w:rsidP="00FE6C4C">
            <w:pPr>
              <w:spacing w:after="0" w:line="480" w:lineRule="auto"/>
              <w:rPr>
                <w:rFonts w:ascii="Times New Roman" w:hAnsi="Times New Roman"/>
                <w:color w:val="000000" w:themeColor="dark1"/>
                <w:sz w:val="21"/>
                <w:szCs w:val="21"/>
              </w:rPr>
            </w:pPr>
            <w:r w:rsidRPr="001A0BEF">
              <w:rPr>
                <w:rFonts w:ascii="Times New Roman" w:hAnsi="Times New Roman" w:hint="eastAsia"/>
                <w:color w:val="000000" w:themeColor="dark1"/>
                <w:sz w:val="21"/>
                <w:szCs w:val="21"/>
              </w:rPr>
              <w:t>-OH, -COO, C=O, -C-O-C</w:t>
            </w:r>
          </w:p>
        </w:tc>
        <w:tc>
          <w:tcPr>
            <w:tcW w:w="341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7670C7FB" w14:textId="77777777" w:rsidR="00FB1AE3" w:rsidRPr="001A0BEF" w:rsidRDefault="00FB1AE3" w:rsidP="00FE6C4C">
            <w:pPr>
              <w:spacing w:after="0" w:line="480" w:lineRule="auto"/>
              <w:rPr>
                <w:rFonts w:ascii="Times New Roman" w:hAnsi="Times New Roman"/>
                <w:color w:val="000000" w:themeColor="dark1"/>
                <w:sz w:val="21"/>
                <w:szCs w:val="21"/>
              </w:rPr>
            </w:pPr>
            <w:r w:rsidRPr="001A0BEF">
              <w:rPr>
                <w:rFonts w:ascii="Times New Roman" w:hAnsi="Times New Roman" w:hint="eastAsia"/>
                <w:color w:val="000000" w:themeColor="dark1"/>
                <w:sz w:val="21"/>
                <w:szCs w:val="21"/>
              </w:rPr>
              <w:t>FTIR</w:t>
            </w:r>
            <w:r>
              <w:rPr>
                <w:rFonts w:ascii="Times New Roman" w:hAnsi="Times New Roman" w:hint="eastAsia"/>
                <w:color w:val="000000" w:themeColor="dark1"/>
                <w:sz w:val="21"/>
                <w:szCs w:val="21"/>
              </w:rPr>
              <w:t xml:space="preserve"> (</w:t>
            </w:r>
            <w:r w:rsidRPr="00FD280D">
              <w:rPr>
                <w:rFonts w:ascii="Times New Roman" w:hAnsi="Times New Roman" w:hint="eastAsia"/>
                <w:color w:val="0432FF"/>
                <w:sz w:val="21"/>
                <w:szCs w:val="21"/>
              </w:rPr>
              <w:t>Fig. 1</w:t>
            </w:r>
            <w:r>
              <w:rPr>
                <w:rFonts w:ascii="Times New Roman" w:hAnsi="Times New Roman" w:hint="eastAsia"/>
                <w:color w:val="000000" w:themeColor="dark1"/>
                <w:sz w:val="21"/>
                <w:szCs w:val="21"/>
              </w:rPr>
              <w:t>)</w:t>
            </w:r>
            <w:r w:rsidRPr="001A0BEF">
              <w:rPr>
                <w:rFonts w:ascii="Times New Roman" w:hAnsi="Times New Roman" w:hint="eastAsia"/>
                <w:color w:val="000000" w:themeColor="dark1"/>
                <w:sz w:val="21"/>
                <w:szCs w:val="21"/>
              </w:rPr>
              <w:t>, XPS</w:t>
            </w:r>
            <w:r>
              <w:rPr>
                <w:rFonts w:ascii="Times New Roman" w:hAnsi="Times New Roman" w:hint="eastAsia"/>
                <w:color w:val="000000" w:themeColor="dark1"/>
                <w:sz w:val="21"/>
                <w:szCs w:val="21"/>
              </w:rPr>
              <w:t xml:space="preserve"> (</w:t>
            </w:r>
            <w:r w:rsidRPr="00FD280D">
              <w:rPr>
                <w:rFonts w:ascii="Times New Roman" w:hAnsi="Times New Roman" w:hint="eastAsia"/>
                <w:color w:val="0432FF"/>
                <w:sz w:val="21"/>
                <w:szCs w:val="21"/>
              </w:rPr>
              <w:t>Fig. 1</w:t>
            </w:r>
            <w:r>
              <w:rPr>
                <w:rFonts w:ascii="Times New Roman" w:hAnsi="Times New Roman" w:hint="eastAsia"/>
                <w:color w:val="000000" w:themeColor="dark1"/>
                <w:sz w:val="21"/>
                <w:szCs w:val="21"/>
              </w:rPr>
              <w:t>)</w:t>
            </w:r>
          </w:p>
        </w:tc>
      </w:tr>
      <w:tr w:rsidR="00FB1AE3" w14:paraId="796BA1A3" w14:textId="77777777" w:rsidTr="00FE6C4C">
        <w:trPr>
          <w:trHeight w:val="411"/>
          <w:jc w:val="center"/>
        </w:trPr>
        <w:tc>
          <w:tcPr>
            <w:tcW w:w="2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379D8E3C" w14:textId="77777777" w:rsidR="00FB1AE3" w:rsidRPr="001A0BEF" w:rsidRDefault="00FB1AE3" w:rsidP="00FE6C4C">
            <w:pPr>
              <w:spacing w:after="0" w:line="480" w:lineRule="auto"/>
              <w:rPr>
                <w:rFonts w:ascii="Times New Roman" w:hAnsi="Times New Roman"/>
                <w:color w:val="000000" w:themeColor="text1"/>
                <w:kern w:val="0"/>
                <w:sz w:val="21"/>
                <w:szCs w:val="21"/>
              </w:rPr>
            </w:pPr>
            <w:r w:rsidRPr="001A0BEF">
              <w:rPr>
                <w:rFonts w:ascii="Times New Roman" w:hAnsi="Times New Roman" w:cs="Times New Roman" w:hint="eastAsia"/>
                <w:sz w:val="21"/>
                <w:szCs w:val="21"/>
              </w:rPr>
              <w:t>Functional groups excluded</w:t>
            </w:r>
          </w:p>
        </w:tc>
        <w:tc>
          <w:tcPr>
            <w:tcW w:w="29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32665B48" w14:textId="77777777" w:rsidR="00FB1AE3" w:rsidRPr="001A0BEF" w:rsidRDefault="00FB1AE3" w:rsidP="00FE6C4C">
            <w:pPr>
              <w:spacing w:after="0" w:line="480" w:lineRule="auto"/>
              <w:rPr>
                <w:rFonts w:ascii="Times New Roman" w:hAnsi="Times New Roman"/>
                <w:color w:val="000000" w:themeColor="dark1"/>
                <w:sz w:val="21"/>
                <w:szCs w:val="21"/>
              </w:rPr>
            </w:pPr>
            <w:r w:rsidRPr="001A0BEF">
              <w:rPr>
                <w:rFonts w:ascii="Times New Roman" w:hAnsi="Times New Roman" w:hint="eastAsia"/>
                <w:color w:val="000000" w:themeColor="dark1"/>
                <w:sz w:val="21"/>
                <w:szCs w:val="21"/>
              </w:rPr>
              <w:t>N-, S-</w:t>
            </w:r>
          </w:p>
        </w:tc>
        <w:tc>
          <w:tcPr>
            <w:tcW w:w="341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1BC89793" w14:textId="77777777" w:rsidR="00FB1AE3" w:rsidRPr="001A0BEF" w:rsidRDefault="00FB1AE3" w:rsidP="00FE6C4C">
            <w:pPr>
              <w:spacing w:after="0" w:line="480" w:lineRule="auto"/>
              <w:rPr>
                <w:rFonts w:ascii="Times New Roman" w:hAnsi="Times New Roman"/>
                <w:color w:val="000000" w:themeColor="dark1"/>
                <w:sz w:val="21"/>
                <w:szCs w:val="21"/>
              </w:rPr>
            </w:pPr>
            <w:r w:rsidRPr="001A0BEF">
              <w:rPr>
                <w:rFonts w:ascii="Times New Roman" w:hAnsi="Times New Roman" w:hint="eastAsia"/>
                <w:color w:val="000000" w:themeColor="dark1"/>
                <w:sz w:val="21"/>
                <w:szCs w:val="21"/>
              </w:rPr>
              <w:t>Not detected or present in trace amounts</w:t>
            </w:r>
            <w:r>
              <w:rPr>
                <w:rFonts w:ascii="Times New Roman" w:hAnsi="Times New Roman" w:hint="eastAsia"/>
                <w:color w:val="000000" w:themeColor="dark1"/>
                <w:sz w:val="21"/>
                <w:szCs w:val="21"/>
              </w:rPr>
              <w:t xml:space="preserve"> (FTIR &amp; XPS in </w:t>
            </w:r>
            <w:r w:rsidRPr="00FD280D">
              <w:rPr>
                <w:rFonts w:ascii="Times New Roman" w:hAnsi="Times New Roman" w:hint="eastAsia"/>
                <w:color w:val="0432FF"/>
                <w:sz w:val="21"/>
                <w:szCs w:val="21"/>
              </w:rPr>
              <w:t>F</w:t>
            </w:r>
            <w:r w:rsidRPr="00FD280D">
              <w:rPr>
                <w:rFonts w:ascii="Times New Roman" w:hAnsi="Times New Roman"/>
                <w:color w:val="0432FF"/>
                <w:sz w:val="21"/>
                <w:szCs w:val="21"/>
              </w:rPr>
              <w:t>i</w:t>
            </w:r>
            <w:r w:rsidRPr="00FD280D">
              <w:rPr>
                <w:rFonts w:ascii="Times New Roman" w:hAnsi="Times New Roman" w:hint="eastAsia"/>
                <w:color w:val="0432FF"/>
                <w:sz w:val="21"/>
                <w:szCs w:val="21"/>
              </w:rPr>
              <w:t>g.1</w:t>
            </w:r>
            <w:r>
              <w:rPr>
                <w:rFonts w:ascii="Times New Roman" w:hAnsi="Times New Roman" w:hint="eastAsia"/>
                <w:color w:val="000000" w:themeColor="dark1"/>
                <w:sz w:val="21"/>
                <w:szCs w:val="21"/>
              </w:rPr>
              <w:t>)</w:t>
            </w:r>
          </w:p>
        </w:tc>
      </w:tr>
      <w:tr w:rsidR="00FB1AE3" w14:paraId="4E01B136" w14:textId="77777777" w:rsidTr="00FE6C4C">
        <w:trPr>
          <w:trHeight w:val="417"/>
          <w:jc w:val="center"/>
        </w:trPr>
        <w:tc>
          <w:tcPr>
            <w:tcW w:w="2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3124F61B" w14:textId="77777777" w:rsidR="00FB1AE3" w:rsidRPr="001A0BEF" w:rsidRDefault="00FB1AE3" w:rsidP="00FE6C4C">
            <w:pPr>
              <w:spacing w:after="0" w:line="480" w:lineRule="auto"/>
              <w:rPr>
                <w:rFonts w:ascii="Times New Roman" w:hAnsi="Times New Roman"/>
                <w:color w:val="000000" w:themeColor="text1"/>
                <w:kern w:val="0"/>
                <w:sz w:val="21"/>
                <w:szCs w:val="21"/>
              </w:rPr>
            </w:pPr>
            <w:r w:rsidRPr="001A0BEF">
              <w:rPr>
                <w:rFonts w:ascii="Times New Roman" w:hAnsi="Times New Roman" w:cs="Times New Roman" w:hint="eastAsia"/>
                <w:sz w:val="21"/>
                <w:szCs w:val="21"/>
              </w:rPr>
              <w:t>Charge</w:t>
            </w:r>
          </w:p>
        </w:tc>
        <w:tc>
          <w:tcPr>
            <w:tcW w:w="29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72024871" w14:textId="77777777" w:rsidR="00FB1AE3" w:rsidRPr="001A0BEF" w:rsidRDefault="00FB1AE3" w:rsidP="00FE6C4C">
            <w:pPr>
              <w:spacing w:after="0" w:line="480" w:lineRule="auto"/>
              <w:rPr>
                <w:rFonts w:ascii="Times New Roman" w:hAnsi="Times New Roman"/>
                <w:color w:val="000000" w:themeColor="dark1"/>
                <w:sz w:val="21"/>
                <w:szCs w:val="21"/>
              </w:rPr>
            </w:pPr>
            <w:r w:rsidRPr="001A0BEF">
              <w:rPr>
                <w:rFonts w:ascii="Times New Roman" w:hAnsi="Times New Roman" w:hint="eastAsia"/>
                <w:color w:val="000000" w:themeColor="dark1"/>
                <w:sz w:val="21"/>
                <w:szCs w:val="21"/>
              </w:rPr>
              <w:t>-1</w:t>
            </w:r>
          </w:p>
        </w:tc>
        <w:tc>
          <w:tcPr>
            <w:tcW w:w="341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5CA200B3" w14:textId="77777777" w:rsidR="00FB1AE3" w:rsidRPr="00FC6FE8" w:rsidRDefault="00FB1AE3" w:rsidP="00FE6C4C">
            <w:pPr>
              <w:spacing w:after="0" w:line="480" w:lineRule="auto"/>
              <w:rPr>
                <w:rFonts w:ascii="Times New Roman" w:hAnsi="Times New Roman"/>
                <w:color w:val="000000" w:themeColor="dark1"/>
              </w:rPr>
            </w:pPr>
            <w:r w:rsidRPr="00003D68">
              <w:rPr>
                <w:rFonts w:ascii="Times New Roman" w:hAnsi="Times New Roman"/>
                <w:color w:val="000000" w:themeColor="dark1"/>
                <w:sz w:val="21"/>
                <w:szCs w:val="21"/>
              </w:rPr>
              <w:t xml:space="preserve">The model includes one deprotonated –COO⁻ group based on FTIR/XPS </w:t>
            </w:r>
            <w:r>
              <w:rPr>
                <w:rFonts w:ascii="Times New Roman" w:hAnsi="Times New Roman" w:hint="eastAsia"/>
                <w:color w:val="000000" w:themeColor="dark1"/>
                <w:sz w:val="21"/>
                <w:szCs w:val="21"/>
              </w:rPr>
              <w:t>(</w:t>
            </w:r>
            <w:r w:rsidRPr="00FD280D">
              <w:rPr>
                <w:rFonts w:ascii="Times New Roman" w:hAnsi="Times New Roman" w:hint="eastAsia"/>
                <w:color w:val="0432FF"/>
                <w:sz w:val="21"/>
                <w:szCs w:val="21"/>
              </w:rPr>
              <w:t>Fig. 1</w:t>
            </w:r>
            <w:r>
              <w:rPr>
                <w:rFonts w:ascii="Times New Roman" w:hAnsi="Times New Roman" w:hint="eastAsia"/>
                <w:color w:val="000000" w:themeColor="dark1"/>
                <w:sz w:val="21"/>
                <w:szCs w:val="21"/>
              </w:rPr>
              <w:t xml:space="preserve">) </w:t>
            </w:r>
            <w:r w:rsidRPr="00003D68">
              <w:rPr>
                <w:rFonts w:ascii="Times New Roman" w:hAnsi="Times New Roman"/>
                <w:color w:val="000000" w:themeColor="dark1"/>
                <w:sz w:val="21"/>
                <w:szCs w:val="21"/>
              </w:rPr>
              <w:t>characterization</w:t>
            </w:r>
          </w:p>
        </w:tc>
      </w:tr>
      <w:tr w:rsidR="00FB1AE3" w14:paraId="57708D57" w14:textId="77777777" w:rsidTr="00FE6C4C">
        <w:trPr>
          <w:trHeight w:val="466"/>
          <w:jc w:val="center"/>
        </w:trPr>
        <w:tc>
          <w:tcPr>
            <w:tcW w:w="2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31F84AD2" w14:textId="77777777" w:rsidR="00FB1AE3" w:rsidRPr="001A0BEF" w:rsidRDefault="00FB1AE3" w:rsidP="00FE6C4C">
            <w:pPr>
              <w:spacing w:after="0" w:line="480" w:lineRule="auto"/>
              <w:rPr>
                <w:rFonts w:ascii="Times New Roman" w:hAnsi="Times New Roman"/>
                <w:color w:val="000000" w:themeColor="text1"/>
                <w:kern w:val="0"/>
                <w:sz w:val="21"/>
                <w:szCs w:val="21"/>
              </w:rPr>
            </w:pPr>
            <w:r w:rsidRPr="001A0BEF">
              <w:rPr>
                <w:rFonts w:ascii="Times New Roman" w:hAnsi="Times New Roman" w:cs="Times New Roman" w:hint="eastAsia"/>
                <w:sz w:val="21"/>
                <w:szCs w:val="21"/>
              </w:rPr>
              <w:t>Spin</w:t>
            </w:r>
          </w:p>
        </w:tc>
        <w:tc>
          <w:tcPr>
            <w:tcW w:w="29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1D5B2AD7" w14:textId="77777777" w:rsidR="00FB1AE3" w:rsidRPr="001A0BEF" w:rsidRDefault="00FB1AE3" w:rsidP="00FE6C4C">
            <w:pPr>
              <w:spacing w:after="0" w:line="480" w:lineRule="auto"/>
              <w:rPr>
                <w:rFonts w:ascii="Times New Roman" w:hAnsi="Times New Roman"/>
                <w:color w:val="000000" w:themeColor="dark1"/>
                <w:sz w:val="21"/>
                <w:szCs w:val="21"/>
              </w:rPr>
            </w:pPr>
            <w:r w:rsidRPr="001A0BEF">
              <w:rPr>
                <w:rFonts w:ascii="Times New Roman" w:hAnsi="Times New Roman" w:hint="eastAsia"/>
                <w:color w:val="000000" w:themeColor="dark1"/>
                <w:sz w:val="21"/>
                <w:szCs w:val="21"/>
              </w:rPr>
              <w:t>Singlet (closed-shell)</w:t>
            </w:r>
          </w:p>
        </w:tc>
        <w:tc>
          <w:tcPr>
            <w:tcW w:w="341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4D8737B2" w14:textId="77777777" w:rsidR="00FB1AE3" w:rsidRPr="001A0BEF" w:rsidRDefault="00FB1AE3" w:rsidP="00FE6C4C">
            <w:pPr>
              <w:spacing w:after="0" w:line="480" w:lineRule="auto"/>
              <w:rPr>
                <w:rFonts w:ascii="Times New Roman" w:hAnsi="Times New Roman"/>
                <w:color w:val="000000" w:themeColor="dark1"/>
                <w:sz w:val="21"/>
                <w:szCs w:val="21"/>
              </w:rPr>
            </w:pPr>
            <w:r w:rsidRPr="001A0BEF">
              <w:rPr>
                <w:rFonts w:ascii="Times New Roman" w:hAnsi="Times New Roman"/>
                <w:color w:val="000000" w:themeColor="dark1"/>
                <w:sz w:val="21"/>
                <w:szCs w:val="21"/>
              </w:rPr>
              <w:t>To simplify the molecular model, a closed-shell approximation was used. The exact number and type of free radicals in WS-biochar are difficult to determine experimentally</w:t>
            </w:r>
            <w:r w:rsidRPr="00FD280D">
              <w:rPr>
                <w:rFonts w:ascii="Times New Roman" w:hAnsi="Times New Roman" w:cs="Times New Roman"/>
                <w:sz w:val="21"/>
                <w:szCs w:val="21"/>
              </w:rPr>
              <w:fldChar w:fldCharType="begin"/>
            </w:r>
            <w:r w:rsidRPr="00FD280D">
              <w:rPr>
                <w:rFonts w:ascii="Times New Roman" w:hAnsi="Times New Roman" w:cs="Times New Roman"/>
                <w:sz w:val="21"/>
                <w:szCs w:val="21"/>
              </w:rPr>
              <w:instrText xml:space="preserve"> ADDIN ZOTERO_ITEM CSL_CITATION {"citationID":"FKUuxiHO","properties":{"formattedCitation":"[10\\uc0\\u8211{}13]","plainCitation":"[10–13]","noteIndex":0},"citationItems":[{"id":2757,"uris":["http://zotero.org/users/10352488/items/7IFLQMGE"],"itemData":{"id":2757,"type":"article-journal","abstract":"Environmentally persistent free radicals (EPFRs) in biochars have the ability of catalytic formation of reactive oxygen species, which may pose potential oxidative stresses to eco-environment and human health. Therefore, comprehending the formation and characteristics of EPFRs in biochars is important for their further applications. In this study, the woody lignocellulosic biomass (wood chips, pine needle and barks), non-woody lignocellulosic biomass (rice husk, corn stover, and duckweed), and non-lignocellulosic biomass (anaerobically digested sludge) were selected as biomass feedstock to prepare biochars under different pyrolysis temperatures (200–700 °C). The impact of biomass feedstock on formation of biochar-bound EPFRs was systematically compared. Elemental compositions and atomic ratios of H/C and O/C varied greatly among different biomass feedstocks and the subsequently resulting biochars. EPFRs in biochars derived from the studied lignocellulosic biomass have similar levels of spin concentrations (1018–1019 spins per g) except for lower EPFRs in biochars under 200 and 700 °C; however, sludge-based biochars, a typical non-lignocellulosic-biomass-based biochar, have much lower EPFRs (1016 spins per g) than lignocellulosic-biomass-based biochars under all the studied pyrolysis temperatures. Values of g factors ranged from 2.0025 to 2.0042 and line width was in the range of 2.15–11.3 for EPFRs in the resulting biochars. Spin concentrations of biochar-bound EPFRs increased with the increasing pyrolysis temperatures from 200 to 500 °C, and then decreased rapidly from 500 to 700 °C and oxygen-centered radicals shifted to carbon-centered radicals with the increasing pyrolysis temperatures from 200 to 700 °C for all the studied biomass feedstock. 300–500 °C was the appropriate pyrolysis temperature range for higher levels of spin concentrations of biochar-bound EPFRs. Moreover, EPFRs' concentrations had significantly positive correlation with C contents and weak or none correlation with contents of transition metals. Overall, different types of biomass feedstock have significant impact on the formation of EPFRs in the resulting biochars., Environmentally persistent free radicals (EPFRs) in biochars have the ability of catalytic formation of reactive oxygen species, which may pose potential oxidative stresses to eco-environment and human health.","container-title":"RSC Advances","DOI":"10.1039/d2ra03052g","ISSN":"2046-2069","issue":"30","journalAbbreviation":"RSC Adv","note":"PMID: 35865560\nPMCID: PMC9251640","page":"19318-19326","source":"PubMed Central","title":"Insight into biomass feedstock on formation of biochar-bound environmentally persistent free radicals under different pyrolysis temperatures","volume":"12","author":[{"family":"Wang","given":"Yu"},{"family":"Gu","given":"Xinfeng"},{"family":"Huang","given":"Yue"},{"family":"Ding","given":"Zhuhong"},{"family":"Chen","given":"Yijun"},{"family":"Hu","given":"Xin"}]}},{"id":2755,"uris":["http://zotero.org/users/10352488/items/ZD5KQZJP"],"itemData":{"id":2755,"type":"webpage","title":"Biochar-Derived Persistent Free Radicals: A Plethora of Environmental Applications in a Lights and Shadows Scenario[v1] | Preprints.org","URL":"https://www.preprints.org/manuscript/202403.0855?utm_source=chatgpt.com","accessed":{"date-parts":[["2026",1,2]]}}},{"id":2752,"uris":["http://zotero.org/users/10352488/items/LFG3K9JJ"],"itemData":{"id":2752,"type":"article-journal","abstract":"Environmentally persistent free radicals (EPFRs) are produced during biochar pyrolysis and, depending on biochar application, can be either detrimental or beneficial. High levels of EPFRs may interfere with cellular metabolism and be toxic, because EPFR-generated reactive oxygen species (e.g., hydroxyl radicals (•OH)) attack organic molecules. However, •OH can be useful in remediating recalcitrant organic contaminants in soils. Understanding the (system-specific) safe range of EPFRs produced by biochars requires knowing both the context of their use and their overall significance in the existing suite of environmental radicals, which has rarely been addressed. Here we place EPFRs in a broader environmental context, showing that biochar can have EPFR concentrations from 108-fold lower to 109-fold higher than EPFRs from other environmental sources, depending on feedstock, production conditions, and degree of environmental aging. We also demonstrate that •OH radical concentrations from biochar EPFRs can be from 104-fold lower to 1017-fold higher than other environmental sources, depending on EPFR type and concentration, reaction time, oxidant concentration, and extent of environmental EPFR persistence. For both EPFR and •OH concentrations, major uncertainties derive from the range of biochar properties and the range of data reporting practices. Controlling feedstock lignin content and pyrolysis conditions are the most immediate options for managing EPFRs. Co-application of compost to provide organics may serve as a postpyrolysis method to quench and reduce biochar EPFRs.","container-title":"Environmental Science &amp; Technology","DOI":"10.1021/acs.est.4c13603","ISSN":"0013-936X","issue":"23","journalAbbreviation":"Environ. Sci. Technol.","note":"publisher: American Chemical Society","page":"11440-11454","source":"ACS Publications","title":"Environmentally Persistent Free Radicals in Biochar: Environmental Context and Future Research Needs","title-short":"Environmentally Persistent Free Radicals in Biochar","volume":"59","author":[{"family":"Chen","given":"Xiao"},{"family":"Alvarez","given":"Pedro J. J."},{"family":"Masiello","given":"Caroline A."}],"issued":{"date-parts":[["2025",6,17]]}}},{"id":2753,"uris":["http://zotero.org/users/10352488/items/KH3NATIC"],"itemData":{"id":2753,"type":"article-journal","abstract":"Long-lived environmentally persistent free radical (EPFR) exposures have\nbeen shown in toxicology studies to lead to respiratory and cardiovascular\neffects, which were thought to be due to the persistence of EPFR and their\nability to produce reactive oxygen species. To characterize EPFR exposure and\nresulting health impacts, it is necessary to identify and systematize analysis\nprotocols. Both direct measurement and solvent extraction methods have been\napplied to analyze environmental samples containing EPFR. The use of different\nprotocols and solvents in EPFR analyses makes it difficult to compare results\namong studies. In this work, we reviewed EPFR studies that involved solvent\nextraction and carefully reported the details of the extraction methodology and\nretrieval recovery. EPFR recovery depends on the structure of the radical\nspecies and the solvent. For the limited number of studies available for review,\nthe polar solvents had superior recovery in more studies. Radicals appeared to\nbe more oxygen-centered following extraction for fly ash and PM samples.\nDifferent solvent extraction methods to retrieve EPFR may produce molecular\nproducts during the extraction, thus potentially changing the sample toxicity.\nThe number of studies reporting detailed methodologies is limited, and data in\nthese studies were not consistently reported. Thus, inference about the solvent\nand protocol that leads to the highest EPFR extraction efficiency for certain\ntypes of radicals is not currently possible. Based on our review, we proposed\nreporting criteria to be included for future EPFR studies.,","container-title":"Chemosphere","DOI":"10.1016/j.chemosphere.2021.131353","ISSN":"0045-6535","journalAbbreviation":"Chemosphere","note":"PMID: 34225117\nPMCID: PMC8487994","page":"131353","source":"PubMed Central","title":"A Critical Review of Environmentally Persistent Free Radical (EPFR) Solvent Extraction Methodology and Retrieval Efficiency","volume":"284","author":[{"family":"Guo","given":"Chuqi"},{"family":"Richmond-Bryant","given":"Jennifer"}],"issued":{"date-parts":[["2021",12]]}}}],"schema":"https://github.com/citation-style-language/schema/raw/master/csl-citation.json"} </w:instrText>
            </w:r>
            <w:r w:rsidRPr="00FD280D">
              <w:rPr>
                <w:rFonts w:ascii="Times New Roman" w:hAnsi="Times New Roman" w:cs="Times New Roman"/>
                <w:sz w:val="21"/>
                <w:szCs w:val="21"/>
              </w:rPr>
              <w:fldChar w:fldCharType="separate"/>
            </w:r>
            <w:r w:rsidRPr="00FD280D">
              <w:rPr>
                <w:rFonts w:ascii="Times New Roman" w:hAnsi="Times New Roman" w:cs="Times New Roman"/>
                <w:kern w:val="0"/>
                <w:sz w:val="21"/>
                <w:szCs w:val="21"/>
              </w:rPr>
              <w:t>[10–13]</w:t>
            </w:r>
            <w:r w:rsidRPr="00FD280D">
              <w:rPr>
                <w:rFonts w:ascii="Times New Roman" w:hAnsi="Times New Roman" w:cs="Times New Roman"/>
                <w:sz w:val="21"/>
                <w:szCs w:val="21"/>
              </w:rPr>
              <w:fldChar w:fldCharType="end"/>
            </w:r>
          </w:p>
        </w:tc>
      </w:tr>
      <w:tr w:rsidR="00FB1AE3" w14:paraId="672DDC50" w14:textId="77777777" w:rsidTr="00FE6C4C">
        <w:trPr>
          <w:trHeight w:val="291"/>
          <w:jc w:val="center"/>
        </w:trPr>
        <w:tc>
          <w:tcPr>
            <w:tcW w:w="2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13EB2F1B" w14:textId="77777777" w:rsidR="00FB1AE3" w:rsidRPr="001A0BEF" w:rsidRDefault="00FB1AE3" w:rsidP="00FE6C4C">
            <w:pPr>
              <w:spacing w:after="0" w:line="480" w:lineRule="auto"/>
              <w:rPr>
                <w:rFonts w:ascii="Times New Roman" w:hAnsi="Times New Roman"/>
                <w:color w:val="000000" w:themeColor="text1"/>
                <w:kern w:val="0"/>
                <w:sz w:val="21"/>
                <w:szCs w:val="21"/>
              </w:rPr>
            </w:pPr>
            <w:r w:rsidRPr="001A0BEF">
              <w:rPr>
                <w:rFonts w:ascii="Times New Roman" w:hAnsi="Times New Roman" w:cs="Times New Roman" w:hint="eastAsia"/>
                <w:sz w:val="21"/>
                <w:szCs w:val="21"/>
              </w:rPr>
              <w:t>Surface heterogeneity</w:t>
            </w:r>
          </w:p>
        </w:tc>
        <w:tc>
          <w:tcPr>
            <w:tcW w:w="29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407AD2E2" w14:textId="77777777" w:rsidR="00FB1AE3" w:rsidRPr="001A0BEF" w:rsidRDefault="00FB1AE3" w:rsidP="00FE6C4C">
            <w:pPr>
              <w:spacing w:after="0" w:line="480" w:lineRule="auto"/>
              <w:rPr>
                <w:rFonts w:ascii="Times New Roman" w:hAnsi="Times New Roman"/>
                <w:color w:val="000000" w:themeColor="dark1"/>
                <w:sz w:val="21"/>
                <w:szCs w:val="21"/>
              </w:rPr>
            </w:pPr>
            <w:r w:rsidRPr="001A0BEF">
              <w:rPr>
                <w:rFonts w:ascii="Times New Roman" w:hAnsi="Times New Roman"/>
                <w:color w:val="000000" w:themeColor="dark1"/>
                <w:sz w:val="21"/>
                <w:szCs w:val="21"/>
              </w:rPr>
              <w:t>Averaged</w:t>
            </w:r>
            <w:r w:rsidRPr="001A0BEF">
              <w:rPr>
                <w:rFonts w:ascii="Times New Roman" w:hAnsi="Times New Roman" w:hint="eastAsia"/>
                <w:color w:val="000000" w:themeColor="dark1"/>
                <w:sz w:val="21"/>
                <w:szCs w:val="21"/>
              </w:rPr>
              <w:t xml:space="preserve"> over possible edge and basal sites</w:t>
            </w:r>
          </w:p>
        </w:tc>
        <w:tc>
          <w:tcPr>
            <w:tcW w:w="3416"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08" w:type="dxa"/>
              <w:bottom w:w="0" w:type="dxa"/>
              <w:right w:w="108" w:type="dxa"/>
            </w:tcMar>
            <w:vAlign w:val="center"/>
          </w:tcPr>
          <w:p w14:paraId="42F90B28" w14:textId="77777777" w:rsidR="00FB1AE3" w:rsidRPr="001A0BEF" w:rsidRDefault="00FB1AE3" w:rsidP="00FE6C4C">
            <w:pPr>
              <w:spacing w:after="0" w:line="480" w:lineRule="auto"/>
              <w:rPr>
                <w:rFonts w:ascii="Times New Roman" w:hAnsi="Times New Roman"/>
                <w:color w:val="000000" w:themeColor="dark1"/>
                <w:sz w:val="21"/>
                <w:szCs w:val="21"/>
              </w:rPr>
            </w:pPr>
            <w:r w:rsidRPr="001A0BEF">
              <w:rPr>
                <w:rFonts w:ascii="Times New Roman" w:hAnsi="Times New Roman"/>
                <w:color w:val="000000" w:themeColor="dark1"/>
                <w:sz w:val="21"/>
                <w:szCs w:val="21"/>
              </w:rPr>
              <w:t>Model represents chemical average, not exhaustive surface coverage</w:t>
            </w:r>
          </w:p>
        </w:tc>
      </w:tr>
    </w:tbl>
    <w:p w14:paraId="52C72090" w14:textId="77777777" w:rsidR="00FB1AE3" w:rsidRDefault="00FB1AE3" w:rsidP="00903C80">
      <w:pPr>
        <w:spacing w:after="0" w:line="480" w:lineRule="auto"/>
        <w:rPr>
          <w:rStyle w:val="Heading1Char"/>
          <w:rFonts w:ascii="Times New Roman" w:hAnsi="Times New Roman" w:cs="Times New Roman"/>
          <w:b/>
          <w:bCs/>
          <w:color w:val="000000" w:themeColor="text1"/>
          <w:sz w:val="24"/>
          <w:szCs w:val="24"/>
        </w:rPr>
      </w:pPr>
    </w:p>
    <w:p w14:paraId="76284595" w14:textId="77777777" w:rsidR="00FB1AE3" w:rsidRDefault="00FB1AE3" w:rsidP="00903C80">
      <w:pPr>
        <w:spacing w:after="0" w:line="480" w:lineRule="auto"/>
        <w:rPr>
          <w:rStyle w:val="Heading1Char"/>
          <w:rFonts w:ascii="Times New Roman" w:hAnsi="Times New Roman" w:cs="Times New Roman"/>
          <w:b/>
          <w:bCs/>
          <w:color w:val="000000" w:themeColor="text1"/>
          <w:sz w:val="24"/>
          <w:szCs w:val="24"/>
        </w:rPr>
      </w:pPr>
    </w:p>
    <w:p w14:paraId="3FAA1BD8" w14:textId="77777777" w:rsidR="00FB1AE3" w:rsidRDefault="00FB1AE3" w:rsidP="00903C80">
      <w:pPr>
        <w:spacing w:after="0" w:line="480" w:lineRule="auto"/>
        <w:rPr>
          <w:rStyle w:val="Heading1Char"/>
          <w:rFonts w:ascii="Times New Roman" w:hAnsi="Times New Roman" w:cs="Times New Roman"/>
          <w:b/>
          <w:bCs/>
          <w:color w:val="000000" w:themeColor="text1"/>
          <w:sz w:val="24"/>
          <w:szCs w:val="24"/>
        </w:rPr>
        <w:sectPr w:rsidR="00FB1AE3">
          <w:pgSz w:w="12240" w:h="15840"/>
          <w:pgMar w:top="1440" w:right="1440" w:bottom="1440" w:left="1440" w:header="720" w:footer="720" w:gutter="0"/>
          <w:cols w:space="720"/>
          <w:docGrid w:linePitch="360"/>
        </w:sectPr>
      </w:pPr>
    </w:p>
    <w:p w14:paraId="582571B0" w14:textId="0DC2C195" w:rsidR="003D6CFF" w:rsidRPr="00897FBD" w:rsidRDefault="003D6CFF" w:rsidP="00903C80">
      <w:pPr>
        <w:spacing w:after="0" w:line="480" w:lineRule="auto"/>
        <w:rPr>
          <w:rFonts w:ascii="SimSun" w:hAnsi="SimSun" w:cs="SimSun"/>
          <w:b/>
          <w:bCs/>
          <w:color w:val="000000" w:themeColor="text1"/>
        </w:rPr>
      </w:pPr>
      <w:bookmarkStart w:id="16" w:name="_Toc224215292"/>
      <w:r w:rsidRPr="004503FB">
        <w:rPr>
          <w:rStyle w:val="Heading1Char"/>
          <w:rFonts w:ascii="Times New Roman" w:hAnsi="Times New Roman" w:cs="Times New Roman"/>
          <w:b/>
          <w:bCs/>
          <w:color w:val="000000" w:themeColor="text1"/>
          <w:sz w:val="24"/>
          <w:szCs w:val="24"/>
        </w:rPr>
        <w:lastRenderedPageBreak/>
        <w:t>Table S</w:t>
      </w:r>
      <w:r w:rsidR="00FD280D">
        <w:rPr>
          <w:rStyle w:val="Heading1Char"/>
          <w:rFonts w:ascii="Times New Roman" w:hAnsi="Times New Roman" w:cs="Times New Roman" w:hint="eastAsia"/>
          <w:b/>
          <w:bCs/>
          <w:color w:val="000000" w:themeColor="text1"/>
          <w:sz w:val="24"/>
          <w:szCs w:val="24"/>
        </w:rPr>
        <w:t>5</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The full-width-at-half-maximum (FWHM) values of the X-ray diffraction (XRD) C(002) peak and calculated dislocation densities for all the samples of biochar doped asphalt</w:t>
      </w:r>
      <w:bookmarkEnd w:id="16"/>
      <w:r>
        <w:rPr>
          <w:rFonts w:ascii="Times New Roman" w:hAnsi="Times New Roman" w:cs="Times New Roman"/>
        </w:rPr>
        <w:t>.</w:t>
      </w:r>
    </w:p>
    <w:tbl>
      <w:tblPr>
        <w:tblW w:w="7916" w:type="dxa"/>
        <w:jc w:val="center"/>
        <w:tblLayout w:type="fixed"/>
        <w:tblCellMar>
          <w:left w:w="0" w:type="dxa"/>
          <w:right w:w="0" w:type="dxa"/>
        </w:tblCellMar>
        <w:tblLook w:val="04A0" w:firstRow="1" w:lastRow="0" w:firstColumn="1" w:lastColumn="0" w:noHBand="0" w:noVBand="1"/>
      </w:tblPr>
      <w:tblGrid>
        <w:gridCol w:w="1790"/>
        <w:gridCol w:w="2520"/>
        <w:gridCol w:w="3606"/>
      </w:tblGrid>
      <w:tr w:rsidR="003D6CFF" w14:paraId="3F88E012" w14:textId="77777777" w:rsidTr="000B58A3">
        <w:trPr>
          <w:trHeight w:val="495"/>
          <w:jc w:val="center"/>
        </w:trPr>
        <w:tc>
          <w:tcPr>
            <w:tcW w:w="1790" w:type="dxa"/>
            <w:tcBorders>
              <w:top w:val="single" w:sz="12" w:space="0" w:color="auto"/>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2F873ED6" w14:textId="77777777" w:rsidR="003D6CFF" w:rsidRPr="00FC6FE8" w:rsidRDefault="003D6CFF" w:rsidP="00903C80">
            <w:pPr>
              <w:spacing w:after="0" w:line="480" w:lineRule="auto"/>
              <w:jc w:val="center"/>
              <w:rPr>
                <w:rFonts w:ascii="Times New Roman" w:hAnsi="Times New Roman" w:cs="Times New Roman"/>
              </w:rPr>
            </w:pPr>
            <w:r w:rsidRPr="00FC6FE8">
              <w:rPr>
                <w:rFonts w:ascii="Times New Roman" w:hAnsi="Times New Roman"/>
                <w:color w:val="000000" w:themeColor="text1"/>
                <w:kern w:val="0"/>
                <w:lang w:val="de-DE"/>
              </w:rPr>
              <w:t>Sample</w:t>
            </w:r>
            <w:r w:rsidRPr="00FC6FE8">
              <w:rPr>
                <w:rFonts w:ascii="Times New Roman" w:hAnsi="Times New Roman" w:hint="eastAsia"/>
                <w:color w:val="000000" w:themeColor="text1"/>
                <w:kern w:val="0"/>
                <w:lang w:val="de-DE"/>
              </w:rPr>
              <w:t>s</w:t>
            </w:r>
            <w:r w:rsidRPr="00FC6FE8">
              <w:rPr>
                <w:rFonts w:ascii="Times New Roman" w:hAnsi="Times New Roman"/>
                <w:color w:val="000000" w:themeColor="text1"/>
                <w:kern w:val="0"/>
                <w:lang w:val="de-DE"/>
              </w:rPr>
              <w:t>, %</w:t>
            </w:r>
          </w:p>
        </w:tc>
        <w:tc>
          <w:tcPr>
            <w:tcW w:w="2520" w:type="dxa"/>
            <w:tcBorders>
              <w:top w:val="single" w:sz="12" w:space="0" w:color="auto"/>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72825FAC" w14:textId="77777777" w:rsidR="003D6CFF" w:rsidRPr="00FC6FE8" w:rsidRDefault="003D6CFF" w:rsidP="00903C80">
            <w:pPr>
              <w:spacing w:after="0" w:line="480" w:lineRule="auto"/>
              <w:jc w:val="center"/>
              <w:rPr>
                <w:rFonts w:ascii="Times New Roman" w:hAnsi="Times New Roman"/>
                <w:color w:val="000000" w:themeColor="text1"/>
                <w:kern w:val="0"/>
                <w:lang w:val="de-DE"/>
              </w:rPr>
            </w:pPr>
            <w:r w:rsidRPr="00FC6FE8">
              <w:rPr>
                <w:rFonts w:ascii="Times New Roman" w:hAnsi="Times New Roman"/>
                <w:color w:val="000000" w:themeColor="text1"/>
                <w:kern w:val="0"/>
                <w:lang w:val="de-DE"/>
              </w:rPr>
              <w:t>FWHM (deg, 2</w:t>
            </w:r>
            <w:r w:rsidRPr="00FC6FE8">
              <w:rPr>
                <w:rFonts w:ascii="Times New Roman" w:hAnsi="Times New Roman"/>
                <w:i/>
                <w:iCs/>
                <w:color w:val="000000" w:themeColor="text1"/>
                <w:kern w:val="0"/>
              </w:rPr>
              <w:t>θ</w:t>
            </w:r>
            <w:r w:rsidRPr="00FC6FE8">
              <w:rPr>
                <w:rFonts w:ascii="Times New Roman" w:hAnsi="Times New Roman"/>
                <w:color w:val="000000" w:themeColor="text1"/>
                <w:kern w:val="0"/>
              </w:rPr>
              <w:t>)</w:t>
            </w:r>
            <w:r w:rsidRPr="00FC6FE8">
              <w:rPr>
                <w:rFonts w:ascii="Times New Roman" w:hAnsi="Times New Roman"/>
                <w:color w:val="000000" w:themeColor="text1"/>
                <w:kern w:val="0"/>
                <w:lang w:val="de-DE"/>
              </w:rPr>
              <w:t>)</w:t>
            </w:r>
          </w:p>
        </w:tc>
        <w:tc>
          <w:tcPr>
            <w:tcW w:w="3606" w:type="dxa"/>
            <w:tcBorders>
              <w:top w:val="single" w:sz="12" w:space="0" w:color="auto"/>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0E9D31B7" w14:textId="77777777" w:rsidR="003D6CFF" w:rsidRPr="00FC6FE8" w:rsidRDefault="003D6CFF" w:rsidP="00903C80">
            <w:pPr>
              <w:spacing w:after="0" w:line="480" w:lineRule="auto"/>
              <w:jc w:val="center"/>
              <w:rPr>
                <w:rFonts w:ascii="Times New Roman" w:hAnsi="Times New Roman"/>
                <w:color w:val="000000" w:themeColor="text1"/>
                <w:kern w:val="0"/>
                <w:lang w:val="de-DE"/>
              </w:rPr>
            </w:pPr>
            <w:r w:rsidRPr="00FC6FE8">
              <w:rPr>
                <w:rFonts w:ascii="Times New Roman" w:hAnsi="Times New Roman"/>
                <w:color w:val="000000" w:themeColor="text1"/>
                <w:kern w:val="0"/>
                <w:lang w:val="de-DE"/>
              </w:rPr>
              <w:t xml:space="preserve">Dislocation density </w:t>
            </w:r>
            <w:r w:rsidRPr="00FC6FE8">
              <w:rPr>
                <w:rFonts w:ascii="Times New Roman" w:hAnsi="Times New Roman" w:cs="Times New Roman"/>
              </w:rPr>
              <w:t>δ (</w:t>
            </w:r>
            <w:r w:rsidRPr="00FC6FE8">
              <w:rPr>
                <w:rFonts w:ascii="Times New Roman" w:hAnsi="Times New Roman" w:cs="Times New Roman" w:hint="eastAsia"/>
              </w:rPr>
              <w:t>×</w:t>
            </w:r>
            <w:r w:rsidRPr="00FC6FE8">
              <w:rPr>
                <w:rFonts w:ascii="Times New Roman" w:hAnsi="Times New Roman" w:cs="Times New Roman"/>
              </w:rPr>
              <w:t>10</w:t>
            </w:r>
            <w:r w:rsidRPr="00FC6FE8">
              <w:rPr>
                <w:rFonts w:ascii="Times New Roman" w:hAnsi="Times New Roman" w:cs="Times New Roman"/>
                <w:vertAlign w:val="superscript"/>
              </w:rPr>
              <w:t>9</w:t>
            </w:r>
            <w:r w:rsidRPr="00FC6FE8">
              <w:rPr>
                <w:rFonts w:ascii="Times New Roman" w:hAnsi="Times New Roman" w:cs="Times New Roman"/>
              </w:rPr>
              <w:t>, cm</w:t>
            </w:r>
            <w:r w:rsidRPr="00FC6FE8">
              <w:rPr>
                <w:rFonts w:ascii="Times New Roman" w:hAnsi="Times New Roman" w:cs="Times New Roman"/>
                <w:vertAlign w:val="superscript"/>
              </w:rPr>
              <w:t>-2</w:t>
            </w:r>
            <w:r w:rsidRPr="00FC6FE8">
              <w:rPr>
                <w:rFonts w:ascii="Times New Roman" w:hAnsi="Times New Roman" w:cs="Times New Roman"/>
              </w:rPr>
              <w:t>)</w:t>
            </w:r>
          </w:p>
        </w:tc>
      </w:tr>
      <w:tr w:rsidR="003D6CFF" w14:paraId="3383ADB7" w14:textId="77777777" w:rsidTr="000B58A3">
        <w:trPr>
          <w:trHeight w:val="413"/>
          <w:jc w:val="center"/>
        </w:trPr>
        <w:tc>
          <w:tcPr>
            <w:tcW w:w="179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0108DAED"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0</w:t>
            </w:r>
          </w:p>
        </w:tc>
        <w:tc>
          <w:tcPr>
            <w:tcW w:w="252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4BC3550B"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9.4375</w:t>
            </w:r>
          </w:p>
        </w:tc>
        <w:tc>
          <w:tcPr>
            <w:tcW w:w="360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1FA26183"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1337.1128</w:t>
            </w:r>
          </w:p>
        </w:tc>
      </w:tr>
      <w:tr w:rsidR="003D6CFF" w14:paraId="0EF9D4BD" w14:textId="77777777" w:rsidTr="000B58A3">
        <w:trPr>
          <w:trHeight w:val="406"/>
          <w:jc w:val="center"/>
        </w:trPr>
        <w:tc>
          <w:tcPr>
            <w:tcW w:w="179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5DAC1820"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2</w:t>
            </w:r>
          </w:p>
        </w:tc>
        <w:tc>
          <w:tcPr>
            <w:tcW w:w="252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2E266AE1"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9.4041</w:t>
            </w:r>
          </w:p>
        </w:tc>
        <w:tc>
          <w:tcPr>
            <w:tcW w:w="360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12DEF8C2"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1327.6652</w:t>
            </w:r>
          </w:p>
        </w:tc>
      </w:tr>
      <w:tr w:rsidR="003D6CFF" w14:paraId="4BD83497" w14:textId="77777777" w:rsidTr="000B58A3">
        <w:trPr>
          <w:trHeight w:val="406"/>
          <w:jc w:val="center"/>
        </w:trPr>
        <w:tc>
          <w:tcPr>
            <w:tcW w:w="179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21631B39"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4</w:t>
            </w:r>
          </w:p>
        </w:tc>
        <w:tc>
          <w:tcPr>
            <w:tcW w:w="252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721814E6"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6.4400</w:t>
            </w:r>
          </w:p>
        </w:tc>
        <w:tc>
          <w:tcPr>
            <w:tcW w:w="360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20E6A86D"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622.6240</w:t>
            </w:r>
          </w:p>
        </w:tc>
      </w:tr>
      <w:tr w:rsidR="003D6CFF" w14:paraId="3447A91D" w14:textId="77777777" w:rsidTr="000B58A3">
        <w:trPr>
          <w:trHeight w:val="411"/>
          <w:jc w:val="center"/>
        </w:trPr>
        <w:tc>
          <w:tcPr>
            <w:tcW w:w="179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40665A46"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6</w:t>
            </w:r>
          </w:p>
        </w:tc>
        <w:tc>
          <w:tcPr>
            <w:tcW w:w="252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1A20BF8"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6.4857</w:t>
            </w:r>
            <w:r w:rsidRPr="00FC6FE8">
              <w:rPr>
                <w:rFonts w:ascii="Times New Roman" w:hAnsi="Times New Roman" w:hint="eastAsia"/>
                <w:color w:val="000000" w:themeColor="dark1"/>
              </w:rPr>
              <w:t>s</w:t>
            </w:r>
          </w:p>
        </w:tc>
        <w:tc>
          <w:tcPr>
            <w:tcW w:w="360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0B1E915"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631.4920</w:t>
            </w:r>
          </w:p>
        </w:tc>
      </w:tr>
      <w:tr w:rsidR="003D6CFF" w14:paraId="47F2058B" w14:textId="77777777" w:rsidTr="000B58A3">
        <w:trPr>
          <w:trHeight w:val="411"/>
          <w:jc w:val="center"/>
        </w:trPr>
        <w:tc>
          <w:tcPr>
            <w:tcW w:w="179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3C2F993F"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8</w:t>
            </w:r>
          </w:p>
        </w:tc>
        <w:tc>
          <w:tcPr>
            <w:tcW w:w="2520"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0916EC51"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7.5689</w:t>
            </w:r>
          </w:p>
        </w:tc>
        <w:tc>
          <w:tcPr>
            <w:tcW w:w="3606" w:type="dxa"/>
            <w:tcBorders>
              <w:left w:val="single" w:sz="8" w:space="0" w:color="FFFFFF"/>
              <w:right w:val="single" w:sz="8" w:space="0" w:color="FFFFFF"/>
            </w:tcBorders>
            <w:shd w:val="clear" w:color="auto" w:fill="FFFFFF" w:themeFill="background1"/>
            <w:tcMar>
              <w:top w:w="15" w:type="dxa"/>
              <w:left w:w="108" w:type="dxa"/>
              <w:bottom w:w="0" w:type="dxa"/>
              <w:right w:w="108" w:type="dxa"/>
            </w:tcMar>
            <w:vAlign w:val="center"/>
          </w:tcPr>
          <w:p w14:paraId="4F749E84"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860.0420</w:t>
            </w:r>
          </w:p>
        </w:tc>
      </w:tr>
      <w:tr w:rsidR="003D6CFF" w14:paraId="5E161B5B" w14:textId="77777777" w:rsidTr="000B58A3">
        <w:trPr>
          <w:trHeight w:val="466"/>
          <w:jc w:val="center"/>
        </w:trPr>
        <w:tc>
          <w:tcPr>
            <w:tcW w:w="1790" w:type="dxa"/>
            <w:tcBorders>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2ACB8C4D"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10</w:t>
            </w:r>
          </w:p>
        </w:tc>
        <w:tc>
          <w:tcPr>
            <w:tcW w:w="2520" w:type="dxa"/>
            <w:tcBorders>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5DD2218A"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9.1074</w:t>
            </w:r>
          </w:p>
        </w:tc>
        <w:tc>
          <w:tcPr>
            <w:tcW w:w="3606" w:type="dxa"/>
            <w:tcBorders>
              <w:left w:val="single" w:sz="8" w:space="0" w:color="FFFFFF"/>
              <w:bottom w:val="single" w:sz="12" w:space="0" w:color="auto"/>
              <w:right w:val="single" w:sz="8" w:space="0" w:color="FFFFFF"/>
            </w:tcBorders>
            <w:shd w:val="clear" w:color="auto" w:fill="FFFFFF" w:themeFill="background1"/>
            <w:tcMar>
              <w:top w:w="15" w:type="dxa"/>
              <w:left w:w="108" w:type="dxa"/>
              <w:bottom w:w="0" w:type="dxa"/>
              <w:right w:w="108" w:type="dxa"/>
            </w:tcMar>
            <w:vAlign w:val="center"/>
          </w:tcPr>
          <w:p w14:paraId="615D947B" w14:textId="77777777" w:rsidR="003D6CFF" w:rsidRPr="00FC6FE8" w:rsidRDefault="003D6CFF" w:rsidP="00903C80">
            <w:pPr>
              <w:spacing w:after="0" w:line="480" w:lineRule="auto"/>
              <w:jc w:val="center"/>
              <w:rPr>
                <w:rFonts w:ascii="Times New Roman" w:hAnsi="Times New Roman"/>
                <w:color w:val="000000" w:themeColor="dark1"/>
              </w:rPr>
            </w:pPr>
            <w:r w:rsidRPr="00FC6FE8">
              <w:rPr>
                <w:rFonts w:ascii="Times New Roman" w:hAnsi="Times New Roman"/>
                <w:color w:val="000000" w:themeColor="dark1"/>
              </w:rPr>
              <w:t>1245.2110</w:t>
            </w:r>
          </w:p>
        </w:tc>
      </w:tr>
    </w:tbl>
    <w:p w14:paraId="112468C0" w14:textId="77777777" w:rsidR="003D6CFF" w:rsidRDefault="003D6CFF" w:rsidP="00903C80">
      <w:pPr>
        <w:spacing w:after="0" w:line="480" w:lineRule="auto"/>
        <w:rPr>
          <w:rFonts w:ascii="Times New Roman" w:hAnsi="Times New Roman" w:cs="Times New Roman"/>
          <w:b/>
          <w:bCs/>
        </w:rPr>
      </w:pPr>
    </w:p>
    <w:p w14:paraId="6DD67A79" w14:textId="77777777" w:rsidR="003D6CFF" w:rsidRDefault="003D6CFF" w:rsidP="00903C80">
      <w:pPr>
        <w:spacing w:after="0" w:line="480" w:lineRule="auto"/>
        <w:jc w:val="both"/>
        <w:rPr>
          <w:rFonts w:ascii="Times New Roman" w:hAnsi="Times New Roman" w:cs="Times New Roman"/>
        </w:rPr>
      </w:pPr>
    </w:p>
    <w:p w14:paraId="62FE0EB8" w14:textId="77777777" w:rsidR="00DD04E7" w:rsidRDefault="00DD04E7" w:rsidP="00903C80">
      <w:pPr>
        <w:spacing w:after="0" w:line="480" w:lineRule="auto"/>
        <w:jc w:val="both"/>
        <w:rPr>
          <w:rFonts w:ascii="Times New Roman" w:hAnsi="Times New Roman" w:cs="Times New Roman"/>
        </w:rPr>
      </w:pPr>
    </w:p>
    <w:p w14:paraId="1FE2AE1C" w14:textId="77777777" w:rsidR="00006A76" w:rsidRDefault="00006A76" w:rsidP="00903C80">
      <w:pPr>
        <w:spacing w:after="0" w:line="480" w:lineRule="auto"/>
        <w:jc w:val="center"/>
        <w:rPr>
          <w:rFonts w:ascii="Times New Roman" w:hAnsi="Times New Roman" w:cs="Times New Roman"/>
        </w:rPr>
        <w:sectPr w:rsidR="00006A76">
          <w:pgSz w:w="12240" w:h="15840"/>
          <w:pgMar w:top="1440" w:right="1440" w:bottom="1440" w:left="1440" w:header="720" w:footer="720" w:gutter="0"/>
          <w:cols w:space="720"/>
          <w:docGrid w:linePitch="360"/>
        </w:sectPr>
      </w:pPr>
    </w:p>
    <w:p w14:paraId="09DF824C" w14:textId="7E7EB908" w:rsidR="00006A76" w:rsidRDefault="00DF1095" w:rsidP="00903C80">
      <w:pPr>
        <w:spacing w:after="0" w:line="480" w:lineRule="auto"/>
        <w:rPr>
          <w:rFonts w:ascii="Times New Roman" w:hAnsi="Times New Roman" w:cs="Times New Roman"/>
        </w:rPr>
      </w:pPr>
      <w:bookmarkStart w:id="17" w:name="_Toc224215293"/>
      <w:r w:rsidRPr="004503FB">
        <w:rPr>
          <w:rStyle w:val="Heading1Char"/>
          <w:rFonts w:ascii="Times New Roman" w:hAnsi="Times New Roman" w:cs="Times New Roman"/>
          <w:b/>
          <w:bCs/>
          <w:color w:val="000000" w:themeColor="text1"/>
          <w:sz w:val="24"/>
          <w:szCs w:val="24"/>
        </w:rPr>
        <w:lastRenderedPageBreak/>
        <w:t>Table. S</w:t>
      </w:r>
      <w:r w:rsidR="00FD280D">
        <w:rPr>
          <w:rStyle w:val="Heading1Char"/>
          <w:rFonts w:ascii="Times New Roman" w:hAnsi="Times New Roman" w:cs="Times New Roman" w:hint="eastAsia"/>
          <w:b/>
          <w:bCs/>
          <w:color w:val="000000" w:themeColor="text1"/>
          <w:sz w:val="24"/>
          <w:szCs w:val="24"/>
        </w:rPr>
        <w:t>6</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Statistical analysis of mechanical properties and coefficient of variation for all the samples of biochar doped asphalt</w:t>
      </w:r>
      <w:bookmarkEnd w:id="17"/>
      <w:r>
        <w:rPr>
          <w:rFonts w:ascii="Times New Roman" w:hAnsi="Times New Roman" w:cs="Times New Roman" w:hint="eastAsia"/>
        </w:rPr>
        <w:t>.</w:t>
      </w:r>
    </w:p>
    <w:tbl>
      <w:tblPr>
        <w:tblStyle w:val="TableGrid"/>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055"/>
        <w:gridCol w:w="1975"/>
        <w:gridCol w:w="2151"/>
        <w:gridCol w:w="2052"/>
        <w:gridCol w:w="2127"/>
      </w:tblGrid>
      <w:tr w:rsidR="00DF1095" w14:paraId="594F77D6" w14:textId="77777777" w:rsidTr="007E5E12">
        <w:trPr>
          <w:jc w:val="center"/>
        </w:trPr>
        <w:tc>
          <w:tcPr>
            <w:tcW w:w="564" w:type="pct"/>
            <w:tcBorders>
              <w:top w:val="single" w:sz="12" w:space="0" w:color="auto"/>
              <w:bottom w:val="single" w:sz="12" w:space="0" w:color="auto"/>
            </w:tcBorders>
            <w:vAlign w:val="center"/>
          </w:tcPr>
          <w:p w14:paraId="0939DE15" w14:textId="715FE062"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Samples</w:t>
            </w:r>
          </w:p>
        </w:tc>
        <w:tc>
          <w:tcPr>
            <w:tcW w:w="1055" w:type="pct"/>
            <w:tcBorders>
              <w:top w:val="single" w:sz="12" w:space="0" w:color="auto"/>
              <w:bottom w:val="single" w:sz="12" w:space="0" w:color="auto"/>
            </w:tcBorders>
            <w:vAlign w:val="center"/>
          </w:tcPr>
          <w:p w14:paraId="0C099237"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Adhesion Force (nN)</w:t>
            </w:r>
          </w:p>
        </w:tc>
        <w:tc>
          <w:tcPr>
            <w:tcW w:w="1149" w:type="pct"/>
            <w:tcBorders>
              <w:top w:val="single" w:sz="12" w:space="0" w:color="auto"/>
              <w:bottom w:val="single" w:sz="12" w:space="0" w:color="auto"/>
            </w:tcBorders>
            <w:vAlign w:val="center"/>
          </w:tcPr>
          <w:p w14:paraId="663AFF80"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Young</w:t>
            </w:r>
            <w:r w:rsidRPr="00FC6FE8">
              <w:rPr>
                <w:rFonts w:ascii="Times New Roman" w:hAnsi="Times New Roman" w:cs="Times New Roman"/>
              </w:rPr>
              <w:t>’</w:t>
            </w:r>
            <w:r w:rsidRPr="00FC6FE8">
              <w:rPr>
                <w:rFonts w:ascii="Times New Roman" w:hAnsi="Times New Roman" w:cs="Times New Roman" w:hint="eastAsia"/>
              </w:rPr>
              <w:t>s Modulus (MPa)</w:t>
            </w:r>
          </w:p>
        </w:tc>
        <w:tc>
          <w:tcPr>
            <w:tcW w:w="1096" w:type="pct"/>
            <w:tcBorders>
              <w:top w:val="single" w:sz="12" w:space="0" w:color="auto"/>
              <w:bottom w:val="single" w:sz="12" w:space="0" w:color="auto"/>
            </w:tcBorders>
          </w:tcPr>
          <w:p w14:paraId="0068C23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CV of Adhesion Force</w:t>
            </w:r>
          </w:p>
        </w:tc>
        <w:tc>
          <w:tcPr>
            <w:tcW w:w="1137" w:type="pct"/>
            <w:tcBorders>
              <w:top w:val="single" w:sz="12" w:space="0" w:color="auto"/>
              <w:bottom w:val="single" w:sz="12" w:space="0" w:color="auto"/>
            </w:tcBorders>
          </w:tcPr>
          <w:p w14:paraId="4DEEB2D5"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CV of Young</w:t>
            </w:r>
            <w:r w:rsidRPr="00FC6FE8">
              <w:rPr>
                <w:rFonts w:ascii="Times New Roman" w:hAnsi="Times New Roman" w:cs="Times New Roman"/>
              </w:rPr>
              <w:t>’</w:t>
            </w:r>
            <w:r w:rsidRPr="00FC6FE8">
              <w:rPr>
                <w:rFonts w:ascii="Times New Roman" w:hAnsi="Times New Roman" w:cs="Times New Roman" w:hint="eastAsia"/>
              </w:rPr>
              <w:t>s Modulus</w:t>
            </w:r>
          </w:p>
        </w:tc>
      </w:tr>
      <w:tr w:rsidR="00DF1095" w14:paraId="6E0EE483" w14:textId="77777777" w:rsidTr="007E5E12">
        <w:trPr>
          <w:jc w:val="center"/>
        </w:trPr>
        <w:tc>
          <w:tcPr>
            <w:tcW w:w="564" w:type="pct"/>
            <w:tcBorders>
              <w:top w:val="single" w:sz="12" w:space="0" w:color="auto"/>
            </w:tcBorders>
            <w:vAlign w:val="center"/>
          </w:tcPr>
          <w:p w14:paraId="58B52887" w14:textId="40052AC3"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AWS0</w:t>
            </w:r>
          </w:p>
        </w:tc>
        <w:tc>
          <w:tcPr>
            <w:tcW w:w="1055" w:type="pct"/>
            <w:tcBorders>
              <w:top w:val="single" w:sz="12" w:space="0" w:color="auto"/>
            </w:tcBorders>
            <w:vAlign w:val="center"/>
          </w:tcPr>
          <w:p w14:paraId="38E0B070"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23.64</w:t>
            </w:r>
            <w:r w:rsidRPr="00FC6FE8">
              <w:rPr>
                <w:rFonts w:ascii="Times New Roman" w:hAnsi="Times New Roman" w:cs="Times New Roman" w:hint="eastAsia"/>
              </w:rPr>
              <w:t>±</w:t>
            </w:r>
            <w:r w:rsidRPr="00FC6FE8">
              <w:rPr>
                <w:rFonts w:ascii="Times New Roman" w:hAnsi="Times New Roman" w:cs="Times New Roman" w:hint="eastAsia"/>
              </w:rPr>
              <w:t>2.31</w:t>
            </w:r>
          </w:p>
        </w:tc>
        <w:tc>
          <w:tcPr>
            <w:tcW w:w="1149" w:type="pct"/>
            <w:tcBorders>
              <w:top w:val="single" w:sz="12" w:space="0" w:color="auto"/>
            </w:tcBorders>
            <w:vAlign w:val="center"/>
          </w:tcPr>
          <w:p w14:paraId="1EDD9A06"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564.53</w:t>
            </w:r>
            <w:r w:rsidRPr="00FC6FE8">
              <w:rPr>
                <w:rFonts w:ascii="Times New Roman" w:hAnsi="Times New Roman" w:cs="Times New Roman" w:hint="eastAsia"/>
              </w:rPr>
              <w:t>±</w:t>
            </w:r>
            <w:r w:rsidRPr="00FC6FE8">
              <w:rPr>
                <w:rFonts w:ascii="Times New Roman" w:hAnsi="Times New Roman" w:cs="Times New Roman" w:hint="eastAsia"/>
              </w:rPr>
              <w:t>74.33</w:t>
            </w:r>
          </w:p>
        </w:tc>
        <w:tc>
          <w:tcPr>
            <w:tcW w:w="1096" w:type="pct"/>
            <w:tcBorders>
              <w:top w:val="single" w:sz="12" w:space="0" w:color="auto"/>
            </w:tcBorders>
          </w:tcPr>
          <w:p w14:paraId="366A89C8"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0.083</w:t>
            </w:r>
          </w:p>
        </w:tc>
        <w:tc>
          <w:tcPr>
            <w:tcW w:w="1137" w:type="pct"/>
            <w:tcBorders>
              <w:top w:val="single" w:sz="12" w:space="0" w:color="auto"/>
            </w:tcBorders>
          </w:tcPr>
          <w:p w14:paraId="3034A0F0"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0.112</w:t>
            </w:r>
          </w:p>
        </w:tc>
      </w:tr>
      <w:tr w:rsidR="00DF1095" w14:paraId="17DB9F61" w14:textId="77777777" w:rsidTr="007E5E12">
        <w:trPr>
          <w:jc w:val="center"/>
        </w:trPr>
        <w:tc>
          <w:tcPr>
            <w:tcW w:w="564" w:type="pct"/>
            <w:vAlign w:val="center"/>
          </w:tcPr>
          <w:p w14:paraId="4C6160D0" w14:textId="344FB858"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AWS2</w:t>
            </w:r>
          </w:p>
        </w:tc>
        <w:tc>
          <w:tcPr>
            <w:tcW w:w="1055" w:type="pct"/>
            <w:vAlign w:val="center"/>
          </w:tcPr>
          <w:p w14:paraId="4ECBE2B4"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27.75</w:t>
            </w:r>
            <w:r w:rsidRPr="00FC6FE8">
              <w:rPr>
                <w:rFonts w:ascii="Times New Roman" w:hAnsi="Times New Roman" w:cs="Times New Roman" w:hint="eastAsia"/>
              </w:rPr>
              <w:t>±</w:t>
            </w:r>
            <w:r w:rsidRPr="00FC6FE8">
              <w:rPr>
                <w:rFonts w:ascii="Times New Roman" w:hAnsi="Times New Roman" w:cs="Times New Roman" w:hint="eastAsia"/>
              </w:rPr>
              <w:t>2.01</w:t>
            </w:r>
          </w:p>
        </w:tc>
        <w:tc>
          <w:tcPr>
            <w:tcW w:w="1149" w:type="pct"/>
            <w:vAlign w:val="center"/>
          </w:tcPr>
          <w:p w14:paraId="7EC4F6BE"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446.59</w:t>
            </w:r>
            <w:r w:rsidRPr="00FC6FE8">
              <w:rPr>
                <w:rFonts w:ascii="Times New Roman" w:hAnsi="Times New Roman" w:cs="Times New Roman" w:hint="eastAsia"/>
              </w:rPr>
              <w:t>±</w:t>
            </w:r>
            <w:r w:rsidRPr="00FC6FE8">
              <w:rPr>
                <w:rFonts w:ascii="Times New Roman" w:hAnsi="Times New Roman" w:cs="Times New Roman" w:hint="eastAsia"/>
              </w:rPr>
              <w:t>42.79</w:t>
            </w:r>
          </w:p>
        </w:tc>
        <w:tc>
          <w:tcPr>
            <w:tcW w:w="1096" w:type="pct"/>
          </w:tcPr>
          <w:p w14:paraId="653AD1AE"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0.061</w:t>
            </w:r>
          </w:p>
        </w:tc>
        <w:tc>
          <w:tcPr>
            <w:tcW w:w="1137" w:type="pct"/>
          </w:tcPr>
          <w:p w14:paraId="1C8AE764"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0.081</w:t>
            </w:r>
          </w:p>
        </w:tc>
      </w:tr>
      <w:tr w:rsidR="00DF1095" w14:paraId="454AB9AD" w14:textId="77777777" w:rsidTr="007E5E12">
        <w:trPr>
          <w:jc w:val="center"/>
        </w:trPr>
        <w:tc>
          <w:tcPr>
            <w:tcW w:w="564" w:type="pct"/>
            <w:vAlign w:val="center"/>
          </w:tcPr>
          <w:p w14:paraId="5F7DFA9E" w14:textId="5B5D5288"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AWS4</w:t>
            </w:r>
          </w:p>
        </w:tc>
        <w:tc>
          <w:tcPr>
            <w:tcW w:w="1055" w:type="pct"/>
            <w:vAlign w:val="center"/>
          </w:tcPr>
          <w:p w14:paraId="7F0469F1"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44.71</w:t>
            </w:r>
            <w:r w:rsidRPr="00FC6FE8">
              <w:rPr>
                <w:rFonts w:ascii="Times New Roman" w:hAnsi="Times New Roman" w:cs="Times New Roman" w:hint="eastAsia"/>
              </w:rPr>
              <w:t>±</w:t>
            </w:r>
            <w:r w:rsidRPr="00FC6FE8">
              <w:rPr>
                <w:rFonts w:ascii="Times New Roman" w:hAnsi="Times New Roman" w:cs="Times New Roman" w:hint="eastAsia"/>
              </w:rPr>
              <w:t>2.15</w:t>
            </w:r>
          </w:p>
        </w:tc>
        <w:tc>
          <w:tcPr>
            <w:tcW w:w="1149" w:type="pct"/>
            <w:vAlign w:val="center"/>
          </w:tcPr>
          <w:p w14:paraId="67614DFE"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661.61</w:t>
            </w:r>
            <w:r w:rsidRPr="00FC6FE8">
              <w:rPr>
                <w:rFonts w:ascii="Times New Roman" w:hAnsi="Times New Roman" w:cs="Times New Roman" w:hint="eastAsia"/>
              </w:rPr>
              <w:t>±</w:t>
            </w:r>
            <w:r w:rsidRPr="00FC6FE8">
              <w:rPr>
                <w:rFonts w:ascii="Times New Roman" w:hAnsi="Times New Roman" w:cs="Times New Roman" w:hint="eastAsia"/>
              </w:rPr>
              <w:t>45.50</w:t>
            </w:r>
          </w:p>
        </w:tc>
        <w:tc>
          <w:tcPr>
            <w:tcW w:w="1096" w:type="pct"/>
          </w:tcPr>
          <w:p w14:paraId="1AF9E477"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0.041</w:t>
            </w:r>
          </w:p>
        </w:tc>
        <w:tc>
          <w:tcPr>
            <w:tcW w:w="1137" w:type="pct"/>
          </w:tcPr>
          <w:p w14:paraId="7FBE5EE0"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0.058</w:t>
            </w:r>
          </w:p>
        </w:tc>
      </w:tr>
      <w:tr w:rsidR="00DF1095" w14:paraId="33D67CEE" w14:textId="77777777" w:rsidTr="007E5E12">
        <w:trPr>
          <w:jc w:val="center"/>
        </w:trPr>
        <w:tc>
          <w:tcPr>
            <w:tcW w:w="564" w:type="pct"/>
            <w:vAlign w:val="center"/>
          </w:tcPr>
          <w:p w14:paraId="5EC1F6E4" w14:textId="1CCF80E8"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AWS6</w:t>
            </w:r>
          </w:p>
        </w:tc>
        <w:tc>
          <w:tcPr>
            <w:tcW w:w="1055" w:type="pct"/>
            <w:vAlign w:val="center"/>
          </w:tcPr>
          <w:p w14:paraId="522968E3"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54.34</w:t>
            </w:r>
            <w:r w:rsidRPr="00FC6FE8">
              <w:rPr>
                <w:rFonts w:ascii="Times New Roman" w:hAnsi="Times New Roman" w:cs="Times New Roman" w:hint="eastAsia"/>
              </w:rPr>
              <w:t>±</w:t>
            </w:r>
            <w:r w:rsidRPr="00FC6FE8">
              <w:rPr>
                <w:rFonts w:ascii="Times New Roman" w:hAnsi="Times New Roman" w:cs="Times New Roman" w:hint="eastAsia"/>
              </w:rPr>
              <w:t>2.10</w:t>
            </w:r>
          </w:p>
        </w:tc>
        <w:tc>
          <w:tcPr>
            <w:tcW w:w="1149" w:type="pct"/>
            <w:vAlign w:val="center"/>
          </w:tcPr>
          <w:p w14:paraId="19A9A110"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516.62</w:t>
            </w:r>
            <w:r w:rsidRPr="00FC6FE8">
              <w:rPr>
                <w:rFonts w:ascii="Times New Roman" w:hAnsi="Times New Roman" w:cs="Times New Roman" w:hint="eastAsia"/>
              </w:rPr>
              <w:t>±</w:t>
            </w:r>
            <w:r w:rsidRPr="00FC6FE8">
              <w:rPr>
                <w:rFonts w:ascii="Times New Roman" w:hAnsi="Times New Roman" w:cs="Times New Roman" w:hint="eastAsia"/>
              </w:rPr>
              <w:t>34.00</w:t>
            </w:r>
          </w:p>
        </w:tc>
        <w:tc>
          <w:tcPr>
            <w:tcW w:w="1096" w:type="pct"/>
          </w:tcPr>
          <w:p w14:paraId="1B949910"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0.033</w:t>
            </w:r>
          </w:p>
        </w:tc>
        <w:tc>
          <w:tcPr>
            <w:tcW w:w="1137" w:type="pct"/>
          </w:tcPr>
          <w:p w14:paraId="2EC0C1C5"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0.056</w:t>
            </w:r>
          </w:p>
        </w:tc>
      </w:tr>
      <w:tr w:rsidR="00DF1095" w14:paraId="6072EF8E" w14:textId="77777777" w:rsidTr="007E5E12">
        <w:trPr>
          <w:jc w:val="center"/>
        </w:trPr>
        <w:tc>
          <w:tcPr>
            <w:tcW w:w="564" w:type="pct"/>
            <w:vAlign w:val="center"/>
          </w:tcPr>
          <w:p w14:paraId="4683928C" w14:textId="166E27A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AWS8</w:t>
            </w:r>
          </w:p>
        </w:tc>
        <w:tc>
          <w:tcPr>
            <w:tcW w:w="1055" w:type="pct"/>
            <w:vAlign w:val="center"/>
          </w:tcPr>
          <w:p w14:paraId="4099E7C4"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38.39</w:t>
            </w:r>
            <w:r w:rsidRPr="00FC6FE8">
              <w:rPr>
                <w:rFonts w:ascii="Times New Roman" w:hAnsi="Times New Roman" w:cs="Times New Roman" w:hint="eastAsia"/>
              </w:rPr>
              <w:t>±</w:t>
            </w:r>
            <w:r w:rsidRPr="00FC6FE8">
              <w:rPr>
                <w:rFonts w:ascii="Times New Roman" w:hAnsi="Times New Roman" w:cs="Times New Roman" w:hint="eastAsia"/>
              </w:rPr>
              <w:t>3.25</w:t>
            </w:r>
          </w:p>
        </w:tc>
        <w:tc>
          <w:tcPr>
            <w:tcW w:w="1149" w:type="pct"/>
            <w:vAlign w:val="center"/>
          </w:tcPr>
          <w:p w14:paraId="6B5D1B0C"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672.79</w:t>
            </w:r>
            <w:r w:rsidRPr="00FC6FE8">
              <w:rPr>
                <w:rFonts w:ascii="Times New Roman" w:hAnsi="Times New Roman" w:cs="Times New Roman" w:hint="eastAsia"/>
              </w:rPr>
              <w:t>±</w:t>
            </w:r>
            <w:r w:rsidRPr="00FC6FE8">
              <w:rPr>
                <w:rFonts w:ascii="Times New Roman" w:hAnsi="Times New Roman" w:cs="Times New Roman" w:hint="eastAsia"/>
              </w:rPr>
              <w:t>60.98</w:t>
            </w:r>
          </w:p>
        </w:tc>
        <w:tc>
          <w:tcPr>
            <w:tcW w:w="1096" w:type="pct"/>
          </w:tcPr>
          <w:p w14:paraId="6DE39B2F"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0.072</w:t>
            </w:r>
          </w:p>
        </w:tc>
        <w:tc>
          <w:tcPr>
            <w:tcW w:w="1137" w:type="pct"/>
          </w:tcPr>
          <w:p w14:paraId="4FC555A1"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0.077</w:t>
            </w:r>
          </w:p>
        </w:tc>
      </w:tr>
      <w:tr w:rsidR="00DF1095" w14:paraId="1BC55D28" w14:textId="77777777" w:rsidTr="007E5E12">
        <w:trPr>
          <w:jc w:val="center"/>
        </w:trPr>
        <w:tc>
          <w:tcPr>
            <w:tcW w:w="564" w:type="pct"/>
            <w:vAlign w:val="center"/>
          </w:tcPr>
          <w:p w14:paraId="345D1445" w14:textId="368E0F7F"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AWS10</w:t>
            </w:r>
          </w:p>
        </w:tc>
        <w:tc>
          <w:tcPr>
            <w:tcW w:w="1055" w:type="pct"/>
            <w:vAlign w:val="center"/>
          </w:tcPr>
          <w:p w14:paraId="71DF744E"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40.03</w:t>
            </w:r>
            <w:r w:rsidRPr="00FC6FE8">
              <w:rPr>
                <w:rFonts w:ascii="Times New Roman" w:hAnsi="Times New Roman" w:cs="Times New Roman" w:hint="eastAsia"/>
              </w:rPr>
              <w:t>±</w:t>
            </w:r>
            <w:r w:rsidRPr="00FC6FE8">
              <w:rPr>
                <w:rFonts w:ascii="Times New Roman" w:hAnsi="Times New Roman" w:cs="Times New Roman" w:hint="eastAsia"/>
              </w:rPr>
              <w:t>3.13</w:t>
            </w:r>
          </w:p>
        </w:tc>
        <w:tc>
          <w:tcPr>
            <w:tcW w:w="1149" w:type="pct"/>
            <w:vAlign w:val="center"/>
          </w:tcPr>
          <w:p w14:paraId="247DBAFD"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699.88</w:t>
            </w:r>
            <w:r w:rsidRPr="00FC6FE8">
              <w:rPr>
                <w:rFonts w:ascii="Times New Roman" w:hAnsi="Times New Roman" w:cs="Times New Roman" w:hint="eastAsia"/>
              </w:rPr>
              <w:t>±</w:t>
            </w:r>
            <w:r w:rsidRPr="00FC6FE8">
              <w:rPr>
                <w:rFonts w:ascii="Times New Roman" w:hAnsi="Times New Roman" w:cs="Times New Roman" w:hint="eastAsia"/>
              </w:rPr>
              <w:t>43.95</w:t>
            </w:r>
          </w:p>
        </w:tc>
        <w:tc>
          <w:tcPr>
            <w:tcW w:w="1096" w:type="pct"/>
          </w:tcPr>
          <w:p w14:paraId="067B4FE9"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0.066</w:t>
            </w:r>
          </w:p>
        </w:tc>
        <w:tc>
          <w:tcPr>
            <w:tcW w:w="1137" w:type="pct"/>
          </w:tcPr>
          <w:p w14:paraId="43B5428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0.053</w:t>
            </w:r>
          </w:p>
        </w:tc>
      </w:tr>
    </w:tbl>
    <w:p w14:paraId="3F774E24" w14:textId="77777777" w:rsidR="007A171D" w:rsidRDefault="007A171D" w:rsidP="00903C80">
      <w:pPr>
        <w:spacing w:after="0" w:line="480" w:lineRule="auto"/>
        <w:rPr>
          <w:rFonts w:ascii="Times New Roman" w:hAnsi="Times New Roman" w:cs="Times New Roman"/>
        </w:rPr>
      </w:pPr>
    </w:p>
    <w:p w14:paraId="4193CBD3" w14:textId="77777777" w:rsidR="00006A76" w:rsidRDefault="00006A76" w:rsidP="00903C80">
      <w:pPr>
        <w:spacing w:after="0" w:line="480" w:lineRule="auto"/>
        <w:rPr>
          <w:rFonts w:ascii="Times New Roman" w:hAnsi="Times New Roman" w:cs="Times New Roman"/>
        </w:rPr>
      </w:pPr>
    </w:p>
    <w:p w14:paraId="484EC9E7" w14:textId="77777777" w:rsidR="007A171D" w:rsidRDefault="007A171D" w:rsidP="00903C80">
      <w:pPr>
        <w:spacing w:after="0" w:line="480" w:lineRule="auto"/>
        <w:rPr>
          <w:rFonts w:ascii="Times New Roman" w:hAnsi="Times New Roman" w:cs="Times New Roman"/>
        </w:rPr>
        <w:sectPr w:rsidR="007A171D">
          <w:pgSz w:w="12240" w:h="15840"/>
          <w:pgMar w:top="1440" w:right="1440" w:bottom="1440" w:left="1440" w:header="720" w:footer="720" w:gutter="0"/>
          <w:cols w:space="720"/>
          <w:docGrid w:linePitch="360"/>
        </w:sectPr>
      </w:pPr>
    </w:p>
    <w:p w14:paraId="6D98B750" w14:textId="6F5BE8E3" w:rsidR="00DF1095" w:rsidRDefault="00DF1095" w:rsidP="00903C80">
      <w:pPr>
        <w:spacing w:after="0" w:line="480" w:lineRule="auto"/>
        <w:rPr>
          <w:rFonts w:ascii="Times New Roman" w:hAnsi="Times New Roman" w:cs="Times New Roman"/>
        </w:rPr>
      </w:pPr>
      <w:bookmarkStart w:id="18" w:name="_Toc224215294"/>
      <w:r w:rsidRPr="004503FB">
        <w:rPr>
          <w:rStyle w:val="Heading1Char"/>
          <w:rFonts w:ascii="Times New Roman" w:hAnsi="Times New Roman" w:cs="Times New Roman"/>
          <w:b/>
          <w:bCs/>
          <w:color w:val="000000" w:themeColor="text1"/>
          <w:sz w:val="24"/>
          <w:szCs w:val="24"/>
        </w:rPr>
        <w:lastRenderedPageBreak/>
        <w:t>Table. S</w:t>
      </w:r>
      <w:r w:rsidR="00FD280D">
        <w:rPr>
          <w:rStyle w:val="Heading1Char"/>
          <w:rFonts w:ascii="Times New Roman" w:hAnsi="Times New Roman" w:cs="Times New Roman" w:hint="eastAsia"/>
          <w:b/>
          <w:bCs/>
          <w:color w:val="000000" w:themeColor="text1"/>
          <w:sz w:val="24"/>
          <w:szCs w:val="24"/>
        </w:rPr>
        <w:t>7</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Statistical analysis of mechanical properties of the microstructures for all the samples of biochar doped asphalt</w:t>
      </w:r>
      <w:bookmarkEnd w:id="18"/>
      <w:r>
        <w:rPr>
          <w:rFonts w:ascii="Times New Roman" w:hAnsi="Times New Roman" w:cs="Times New Roman" w:hint="eastAsia"/>
        </w:rPr>
        <w:t>.</w:t>
      </w:r>
    </w:p>
    <w:tbl>
      <w:tblPr>
        <w:tblStyle w:val="TableGrid"/>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209"/>
        <w:gridCol w:w="2037"/>
        <w:gridCol w:w="2037"/>
        <w:gridCol w:w="2037"/>
        <w:gridCol w:w="2040"/>
      </w:tblGrid>
      <w:tr w:rsidR="00DF1095" w14:paraId="3F783FD4" w14:textId="77777777" w:rsidTr="00DF1095">
        <w:tc>
          <w:tcPr>
            <w:tcW w:w="646" w:type="pct"/>
            <w:vMerge w:val="restart"/>
            <w:tcBorders>
              <w:top w:val="single" w:sz="12" w:space="0" w:color="auto"/>
              <w:bottom w:val="single" w:sz="4" w:space="0" w:color="auto"/>
            </w:tcBorders>
            <w:vAlign w:val="center"/>
          </w:tcPr>
          <w:p w14:paraId="16BD57AD" w14:textId="4D2DED99"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Samples</w:t>
            </w:r>
          </w:p>
        </w:tc>
        <w:tc>
          <w:tcPr>
            <w:tcW w:w="4354" w:type="pct"/>
            <w:gridSpan w:val="4"/>
            <w:tcBorders>
              <w:top w:val="single" w:sz="12" w:space="0" w:color="auto"/>
              <w:bottom w:val="single" w:sz="4" w:space="0" w:color="auto"/>
            </w:tcBorders>
            <w:vAlign w:val="center"/>
          </w:tcPr>
          <w:p w14:paraId="78D932A1"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Adhesion Force (nN)</w:t>
            </w:r>
          </w:p>
        </w:tc>
      </w:tr>
      <w:tr w:rsidR="00DF1095" w14:paraId="7CE74991" w14:textId="77777777" w:rsidTr="00DF1095">
        <w:tc>
          <w:tcPr>
            <w:tcW w:w="646" w:type="pct"/>
            <w:vMerge/>
            <w:tcBorders>
              <w:top w:val="nil"/>
              <w:bottom w:val="single" w:sz="4" w:space="0" w:color="auto"/>
            </w:tcBorders>
            <w:vAlign w:val="center"/>
          </w:tcPr>
          <w:p w14:paraId="03356CBB" w14:textId="77777777" w:rsidR="00DF1095" w:rsidRPr="00FC6FE8" w:rsidRDefault="00DF1095" w:rsidP="00903C80">
            <w:pPr>
              <w:spacing w:line="480" w:lineRule="auto"/>
              <w:jc w:val="center"/>
              <w:rPr>
                <w:rFonts w:ascii="Times New Roman" w:hAnsi="Times New Roman" w:cs="Times New Roman"/>
                <w:b/>
                <w:bCs/>
              </w:rPr>
            </w:pPr>
          </w:p>
        </w:tc>
        <w:tc>
          <w:tcPr>
            <w:tcW w:w="1088" w:type="pct"/>
            <w:tcBorders>
              <w:top w:val="single" w:sz="4" w:space="0" w:color="auto"/>
              <w:bottom w:val="single" w:sz="4" w:space="0" w:color="auto"/>
            </w:tcBorders>
            <w:vAlign w:val="center"/>
          </w:tcPr>
          <w:p w14:paraId="3398E4B4"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Crest</w:t>
            </w:r>
          </w:p>
        </w:tc>
        <w:tc>
          <w:tcPr>
            <w:tcW w:w="1088" w:type="pct"/>
            <w:tcBorders>
              <w:top w:val="single" w:sz="4" w:space="0" w:color="auto"/>
              <w:bottom w:val="single" w:sz="4" w:space="0" w:color="auto"/>
            </w:tcBorders>
            <w:vAlign w:val="center"/>
          </w:tcPr>
          <w:p w14:paraId="0B8A8BA9"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Valley</w:t>
            </w:r>
          </w:p>
        </w:tc>
        <w:tc>
          <w:tcPr>
            <w:tcW w:w="1088" w:type="pct"/>
            <w:tcBorders>
              <w:top w:val="single" w:sz="4" w:space="0" w:color="auto"/>
              <w:bottom w:val="single" w:sz="4" w:space="0" w:color="auto"/>
            </w:tcBorders>
            <w:vAlign w:val="center"/>
          </w:tcPr>
          <w:p w14:paraId="5D1C9AB3"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Surrounding</w:t>
            </w:r>
          </w:p>
        </w:tc>
        <w:tc>
          <w:tcPr>
            <w:tcW w:w="1088" w:type="pct"/>
            <w:tcBorders>
              <w:top w:val="single" w:sz="4" w:space="0" w:color="auto"/>
              <w:bottom w:val="single" w:sz="4" w:space="0" w:color="auto"/>
            </w:tcBorders>
            <w:vAlign w:val="center"/>
          </w:tcPr>
          <w:p w14:paraId="2D67A9BC"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Smooth</w:t>
            </w:r>
          </w:p>
        </w:tc>
      </w:tr>
      <w:tr w:rsidR="00DF1095" w14:paraId="0E57A978" w14:textId="77777777" w:rsidTr="00DF1095">
        <w:tc>
          <w:tcPr>
            <w:tcW w:w="646" w:type="pct"/>
            <w:tcBorders>
              <w:top w:val="single" w:sz="4" w:space="0" w:color="auto"/>
            </w:tcBorders>
            <w:vAlign w:val="center"/>
          </w:tcPr>
          <w:p w14:paraId="4FFE2953" w14:textId="609399F2"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AWS0</w:t>
            </w:r>
          </w:p>
        </w:tc>
        <w:tc>
          <w:tcPr>
            <w:tcW w:w="1088" w:type="pct"/>
            <w:tcBorders>
              <w:top w:val="single" w:sz="4" w:space="0" w:color="auto"/>
            </w:tcBorders>
            <w:vAlign w:val="center"/>
          </w:tcPr>
          <w:p w14:paraId="64843356"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22.21</w:t>
            </w:r>
            <w:r w:rsidRPr="00FC6FE8">
              <w:rPr>
                <w:rFonts w:ascii="Times New Roman" w:hAnsi="Times New Roman" w:cs="Times New Roman" w:hint="eastAsia"/>
              </w:rPr>
              <w:t>±</w:t>
            </w:r>
            <w:r w:rsidRPr="00FC6FE8">
              <w:rPr>
                <w:rFonts w:ascii="Times New Roman" w:hAnsi="Times New Roman" w:cs="Times New Roman" w:hint="eastAsia"/>
              </w:rPr>
              <w:t>1.99</w:t>
            </w:r>
          </w:p>
        </w:tc>
        <w:tc>
          <w:tcPr>
            <w:tcW w:w="1088" w:type="pct"/>
            <w:tcBorders>
              <w:top w:val="single" w:sz="4" w:space="0" w:color="auto"/>
            </w:tcBorders>
            <w:vAlign w:val="center"/>
          </w:tcPr>
          <w:p w14:paraId="3EB2507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25.9</w:t>
            </w:r>
            <w:r w:rsidRPr="00FC6FE8">
              <w:rPr>
                <w:rFonts w:ascii="Times New Roman" w:hAnsi="Times New Roman" w:cs="Times New Roman" w:hint="eastAsia"/>
              </w:rPr>
              <w:t>±</w:t>
            </w:r>
            <w:r w:rsidRPr="00FC6FE8">
              <w:rPr>
                <w:rFonts w:ascii="Times New Roman" w:hAnsi="Times New Roman" w:cs="Times New Roman" w:hint="eastAsia"/>
              </w:rPr>
              <w:t>3.25</w:t>
            </w:r>
          </w:p>
        </w:tc>
        <w:tc>
          <w:tcPr>
            <w:tcW w:w="1088" w:type="pct"/>
            <w:tcBorders>
              <w:top w:val="single" w:sz="4" w:space="0" w:color="auto"/>
            </w:tcBorders>
            <w:vAlign w:val="center"/>
          </w:tcPr>
          <w:p w14:paraId="59C4F5F6"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w:t>
            </w:r>
          </w:p>
        </w:tc>
        <w:tc>
          <w:tcPr>
            <w:tcW w:w="1088" w:type="pct"/>
            <w:tcBorders>
              <w:top w:val="single" w:sz="4" w:space="0" w:color="auto"/>
            </w:tcBorders>
            <w:vAlign w:val="center"/>
          </w:tcPr>
          <w:p w14:paraId="741CC25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23.66</w:t>
            </w:r>
            <w:r w:rsidRPr="00FC6FE8">
              <w:rPr>
                <w:rFonts w:ascii="Times New Roman" w:hAnsi="Times New Roman" w:cs="Times New Roman" w:hint="eastAsia"/>
              </w:rPr>
              <w:t>±</w:t>
            </w:r>
            <w:r w:rsidRPr="00FC6FE8">
              <w:rPr>
                <w:rFonts w:ascii="Times New Roman" w:hAnsi="Times New Roman" w:cs="Times New Roman" w:hint="eastAsia"/>
              </w:rPr>
              <w:t>2.10</w:t>
            </w:r>
          </w:p>
        </w:tc>
      </w:tr>
      <w:tr w:rsidR="00DF1095" w14:paraId="324E26AB" w14:textId="77777777" w:rsidTr="007E5E12">
        <w:tc>
          <w:tcPr>
            <w:tcW w:w="646" w:type="pct"/>
            <w:vAlign w:val="center"/>
          </w:tcPr>
          <w:p w14:paraId="540D26CD" w14:textId="1985C8B6"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AWS2</w:t>
            </w:r>
          </w:p>
        </w:tc>
        <w:tc>
          <w:tcPr>
            <w:tcW w:w="1088" w:type="pct"/>
            <w:vAlign w:val="center"/>
          </w:tcPr>
          <w:p w14:paraId="179667E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28.00</w:t>
            </w:r>
            <w:r w:rsidRPr="00FC6FE8">
              <w:rPr>
                <w:rFonts w:ascii="Times New Roman" w:hAnsi="Times New Roman" w:cs="Times New Roman" w:hint="eastAsia"/>
              </w:rPr>
              <w:t>±</w:t>
            </w:r>
            <w:r w:rsidRPr="00FC6FE8">
              <w:rPr>
                <w:rFonts w:ascii="Times New Roman" w:hAnsi="Times New Roman" w:cs="Times New Roman" w:hint="eastAsia"/>
              </w:rPr>
              <w:t>2.29</w:t>
            </w:r>
          </w:p>
        </w:tc>
        <w:tc>
          <w:tcPr>
            <w:tcW w:w="1088" w:type="pct"/>
            <w:vAlign w:val="center"/>
          </w:tcPr>
          <w:p w14:paraId="001C01AD"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27.83</w:t>
            </w:r>
            <w:r w:rsidRPr="00FC6FE8">
              <w:rPr>
                <w:rFonts w:ascii="Times New Roman" w:hAnsi="Times New Roman" w:cs="Times New Roman" w:hint="eastAsia"/>
              </w:rPr>
              <w:t>±</w:t>
            </w:r>
            <w:r w:rsidRPr="00FC6FE8">
              <w:rPr>
                <w:rFonts w:ascii="Times New Roman" w:hAnsi="Times New Roman" w:cs="Times New Roman" w:hint="eastAsia"/>
              </w:rPr>
              <w:t>2.25</w:t>
            </w:r>
          </w:p>
        </w:tc>
        <w:tc>
          <w:tcPr>
            <w:tcW w:w="1088" w:type="pct"/>
            <w:vAlign w:val="center"/>
          </w:tcPr>
          <w:p w14:paraId="4D7902A5"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w:t>
            </w:r>
          </w:p>
        </w:tc>
        <w:tc>
          <w:tcPr>
            <w:tcW w:w="1088" w:type="pct"/>
            <w:vAlign w:val="center"/>
          </w:tcPr>
          <w:p w14:paraId="366741A5"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27.81</w:t>
            </w:r>
            <w:r w:rsidRPr="00FC6FE8">
              <w:rPr>
                <w:rFonts w:ascii="Times New Roman" w:hAnsi="Times New Roman" w:cs="Times New Roman" w:hint="eastAsia"/>
              </w:rPr>
              <w:t>±</w:t>
            </w:r>
            <w:r w:rsidRPr="00FC6FE8">
              <w:rPr>
                <w:rFonts w:ascii="Times New Roman" w:hAnsi="Times New Roman" w:cs="Times New Roman" w:hint="eastAsia"/>
              </w:rPr>
              <w:t>2.10</w:t>
            </w:r>
          </w:p>
        </w:tc>
      </w:tr>
      <w:tr w:rsidR="00DF1095" w14:paraId="6D0EF6EC" w14:textId="77777777" w:rsidTr="007E5E12">
        <w:tc>
          <w:tcPr>
            <w:tcW w:w="646" w:type="pct"/>
            <w:vAlign w:val="center"/>
          </w:tcPr>
          <w:p w14:paraId="7B2E2BC9" w14:textId="3C71A1E5"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AWS4</w:t>
            </w:r>
          </w:p>
        </w:tc>
        <w:tc>
          <w:tcPr>
            <w:tcW w:w="1088" w:type="pct"/>
            <w:vAlign w:val="center"/>
          </w:tcPr>
          <w:p w14:paraId="3552AAAB"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41.86</w:t>
            </w:r>
            <w:r w:rsidRPr="00FC6FE8">
              <w:rPr>
                <w:rFonts w:ascii="Times New Roman" w:hAnsi="Times New Roman" w:cs="Times New Roman" w:hint="eastAsia"/>
              </w:rPr>
              <w:t>±</w:t>
            </w:r>
            <w:r w:rsidRPr="00FC6FE8">
              <w:rPr>
                <w:rFonts w:ascii="Times New Roman" w:hAnsi="Times New Roman" w:cs="Times New Roman" w:hint="eastAsia"/>
              </w:rPr>
              <w:t>3.06</w:t>
            </w:r>
          </w:p>
        </w:tc>
        <w:tc>
          <w:tcPr>
            <w:tcW w:w="1088" w:type="pct"/>
            <w:vAlign w:val="center"/>
          </w:tcPr>
          <w:p w14:paraId="3F6A242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46.12</w:t>
            </w:r>
            <w:r w:rsidRPr="00FC6FE8">
              <w:rPr>
                <w:rFonts w:ascii="Times New Roman" w:hAnsi="Times New Roman" w:cs="Times New Roman" w:hint="eastAsia"/>
              </w:rPr>
              <w:t>±</w:t>
            </w:r>
            <w:r w:rsidRPr="00FC6FE8">
              <w:rPr>
                <w:rFonts w:ascii="Times New Roman" w:hAnsi="Times New Roman" w:cs="Times New Roman" w:hint="eastAsia"/>
              </w:rPr>
              <w:t>2.42</w:t>
            </w:r>
          </w:p>
        </w:tc>
        <w:tc>
          <w:tcPr>
            <w:tcW w:w="1088" w:type="pct"/>
            <w:vAlign w:val="center"/>
          </w:tcPr>
          <w:p w14:paraId="65F9072A"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w:t>
            </w:r>
          </w:p>
        </w:tc>
        <w:tc>
          <w:tcPr>
            <w:tcW w:w="1088" w:type="pct"/>
            <w:vAlign w:val="center"/>
          </w:tcPr>
          <w:p w14:paraId="1D94B5CB"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44.57</w:t>
            </w:r>
            <w:r w:rsidRPr="00FC6FE8">
              <w:rPr>
                <w:rFonts w:ascii="Times New Roman" w:hAnsi="Times New Roman" w:cs="Times New Roman" w:hint="eastAsia"/>
              </w:rPr>
              <w:t>±</w:t>
            </w:r>
            <w:r w:rsidRPr="00FC6FE8">
              <w:rPr>
                <w:rFonts w:ascii="Times New Roman" w:hAnsi="Times New Roman" w:cs="Times New Roman" w:hint="eastAsia"/>
              </w:rPr>
              <w:t>2.29</w:t>
            </w:r>
          </w:p>
        </w:tc>
      </w:tr>
      <w:tr w:rsidR="00DF1095" w14:paraId="098ED430" w14:textId="77777777" w:rsidTr="007E5E12">
        <w:tc>
          <w:tcPr>
            <w:tcW w:w="646" w:type="pct"/>
            <w:vAlign w:val="center"/>
          </w:tcPr>
          <w:p w14:paraId="7223B531" w14:textId="6E5C955F"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AWS6</w:t>
            </w:r>
          </w:p>
        </w:tc>
        <w:tc>
          <w:tcPr>
            <w:tcW w:w="1088" w:type="pct"/>
            <w:vAlign w:val="center"/>
          </w:tcPr>
          <w:p w14:paraId="5EEB039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52.07</w:t>
            </w:r>
            <w:r w:rsidRPr="00FC6FE8">
              <w:rPr>
                <w:rFonts w:ascii="Times New Roman" w:hAnsi="Times New Roman" w:cs="Times New Roman" w:hint="eastAsia"/>
              </w:rPr>
              <w:t>±</w:t>
            </w:r>
            <w:r w:rsidRPr="00FC6FE8">
              <w:rPr>
                <w:rFonts w:ascii="Times New Roman" w:hAnsi="Times New Roman" w:cs="Times New Roman" w:hint="eastAsia"/>
              </w:rPr>
              <w:t>3.22</w:t>
            </w:r>
          </w:p>
        </w:tc>
        <w:tc>
          <w:tcPr>
            <w:tcW w:w="1088" w:type="pct"/>
            <w:vAlign w:val="center"/>
          </w:tcPr>
          <w:p w14:paraId="78F4F218"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53.26</w:t>
            </w:r>
            <w:r w:rsidRPr="00FC6FE8">
              <w:rPr>
                <w:rFonts w:ascii="Times New Roman" w:hAnsi="Times New Roman" w:cs="Times New Roman" w:hint="eastAsia"/>
              </w:rPr>
              <w:t>±</w:t>
            </w:r>
            <w:r w:rsidRPr="00FC6FE8">
              <w:rPr>
                <w:rFonts w:ascii="Times New Roman" w:hAnsi="Times New Roman" w:cs="Times New Roman" w:hint="eastAsia"/>
              </w:rPr>
              <w:t>2.91</w:t>
            </w:r>
          </w:p>
        </w:tc>
        <w:tc>
          <w:tcPr>
            <w:tcW w:w="1088" w:type="pct"/>
            <w:vAlign w:val="center"/>
          </w:tcPr>
          <w:p w14:paraId="67F87ECC"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54.31</w:t>
            </w:r>
            <w:r w:rsidRPr="00FC6FE8">
              <w:rPr>
                <w:rFonts w:ascii="Times New Roman" w:hAnsi="Times New Roman" w:cs="Times New Roman" w:hint="eastAsia"/>
              </w:rPr>
              <w:t>±</w:t>
            </w:r>
            <w:r w:rsidRPr="00FC6FE8">
              <w:rPr>
                <w:rFonts w:ascii="Times New Roman" w:hAnsi="Times New Roman" w:cs="Times New Roman" w:hint="eastAsia"/>
              </w:rPr>
              <w:t>2.74</w:t>
            </w:r>
          </w:p>
        </w:tc>
        <w:tc>
          <w:tcPr>
            <w:tcW w:w="1088" w:type="pct"/>
            <w:vAlign w:val="center"/>
          </w:tcPr>
          <w:p w14:paraId="43255085"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54.34</w:t>
            </w:r>
            <w:r w:rsidRPr="00FC6FE8">
              <w:rPr>
                <w:rFonts w:ascii="Times New Roman" w:hAnsi="Times New Roman" w:cs="Times New Roman" w:hint="eastAsia"/>
              </w:rPr>
              <w:t>±</w:t>
            </w:r>
            <w:r w:rsidRPr="00FC6FE8">
              <w:rPr>
                <w:rFonts w:ascii="Times New Roman" w:hAnsi="Times New Roman" w:cs="Times New Roman" w:hint="eastAsia"/>
              </w:rPr>
              <w:t>2.26</w:t>
            </w:r>
          </w:p>
        </w:tc>
      </w:tr>
      <w:tr w:rsidR="00DF1095" w14:paraId="5BE2DBF7" w14:textId="77777777" w:rsidTr="007E5E12">
        <w:tc>
          <w:tcPr>
            <w:tcW w:w="646" w:type="pct"/>
            <w:vAlign w:val="center"/>
          </w:tcPr>
          <w:p w14:paraId="476EEF0F" w14:textId="70DB4CC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AWS8</w:t>
            </w:r>
          </w:p>
        </w:tc>
        <w:tc>
          <w:tcPr>
            <w:tcW w:w="1088" w:type="pct"/>
            <w:vAlign w:val="center"/>
          </w:tcPr>
          <w:p w14:paraId="05D5E014"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35.21</w:t>
            </w:r>
            <w:r w:rsidRPr="00FC6FE8">
              <w:rPr>
                <w:rFonts w:ascii="Times New Roman" w:hAnsi="Times New Roman" w:cs="Times New Roman" w:hint="eastAsia"/>
              </w:rPr>
              <w:t>±</w:t>
            </w:r>
            <w:r w:rsidRPr="00FC6FE8">
              <w:rPr>
                <w:rFonts w:ascii="Times New Roman" w:hAnsi="Times New Roman" w:cs="Times New Roman" w:hint="eastAsia"/>
              </w:rPr>
              <w:t>3.20</w:t>
            </w:r>
          </w:p>
        </w:tc>
        <w:tc>
          <w:tcPr>
            <w:tcW w:w="1088" w:type="pct"/>
            <w:vAlign w:val="center"/>
          </w:tcPr>
          <w:p w14:paraId="790219A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40.10</w:t>
            </w:r>
            <w:r w:rsidRPr="00FC6FE8">
              <w:rPr>
                <w:rFonts w:ascii="Times New Roman" w:hAnsi="Times New Roman" w:cs="Times New Roman" w:hint="eastAsia"/>
              </w:rPr>
              <w:t>±</w:t>
            </w:r>
            <w:r w:rsidRPr="00FC6FE8">
              <w:rPr>
                <w:rFonts w:ascii="Times New Roman" w:hAnsi="Times New Roman" w:cs="Times New Roman" w:hint="eastAsia"/>
              </w:rPr>
              <w:t>3.07</w:t>
            </w:r>
          </w:p>
        </w:tc>
        <w:tc>
          <w:tcPr>
            <w:tcW w:w="1088" w:type="pct"/>
            <w:vAlign w:val="center"/>
          </w:tcPr>
          <w:p w14:paraId="609E48CC"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38.23</w:t>
            </w:r>
            <w:r w:rsidRPr="00FC6FE8">
              <w:rPr>
                <w:rFonts w:ascii="Times New Roman" w:hAnsi="Times New Roman" w:cs="Times New Roman" w:hint="eastAsia"/>
              </w:rPr>
              <w:t>±</w:t>
            </w:r>
            <w:r w:rsidRPr="00FC6FE8">
              <w:rPr>
                <w:rFonts w:ascii="Times New Roman" w:hAnsi="Times New Roman" w:cs="Times New Roman" w:hint="eastAsia"/>
              </w:rPr>
              <w:t>3.04</w:t>
            </w:r>
          </w:p>
        </w:tc>
        <w:tc>
          <w:tcPr>
            <w:tcW w:w="1088" w:type="pct"/>
            <w:vAlign w:val="center"/>
          </w:tcPr>
          <w:p w14:paraId="335B97FF"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39.10</w:t>
            </w:r>
            <w:r w:rsidRPr="00FC6FE8">
              <w:rPr>
                <w:rFonts w:ascii="Times New Roman" w:hAnsi="Times New Roman" w:cs="Times New Roman" w:hint="eastAsia"/>
              </w:rPr>
              <w:t>±</w:t>
            </w:r>
            <w:r w:rsidRPr="00FC6FE8">
              <w:rPr>
                <w:rFonts w:ascii="Times New Roman" w:hAnsi="Times New Roman" w:cs="Times New Roman" w:hint="eastAsia"/>
              </w:rPr>
              <w:t>3.17</w:t>
            </w:r>
          </w:p>
        </w:tc>
      </w:tr>
      <w:tr w:rsidR="00DF1095" w14:paraId="0CE9C731" w14:textId="77777777" w:rsidTr="00DF1095">
        <w:tc>
          <w:tcPr>
            <w:tcW w:w="646" w:type="pct"/>
            <w:tcBorders>
              <w:bottom w:val="single" w:sz="12" w:space="0" w:color="auto"/>
            </w:tcBorders>
            <w:vAlign w:val="center"/>
          </w:tcPr>
          <w:p w14:paraId="291D73C4" w14:textId="0C32956F"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AWS10</w:t>
            </w:r>
          </w:p>
        </w:tc>
        <w:tc>
          <w:tcPr>
            <w:tcW w:w="1088" w:type="pct"/>
            <w:tcBorders>
              <w:bottom w:val="single" w:sz="12" w:space="0" w:color="auto"/>
            </w:tcBorders>
            <w:vAlign w:val="center"/>
          </w:tcPr>
          <w:p w14:paraId="69EEE24B"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35.46</w:t>
            </w:r>
            <w:r w:rsidRPr="00FC6FE8">
              <w:rPr>
                <w:rFonts w:ascii="Times New Roman" w:hAnsi="Times New Roman" w:cs="Times New Roman" w:hint="eastAsia"/>
              </w:rPr>
              <w:t>±</w:t>
            </w:r>
            <w:r w:rsidRPr="00FC6FE8">
              <w:rPr>
                <w:rFonts w:ascii="Times New Roman" w:hAnsi="Times New Roman" w:cs="Times New Roman" w:hint="eastAsia"/>
              </w:rPr>
              <w:t>4.88</w:t>
            </w:r>
          </w:p>
        </w:tc>
        <w:tc>
          <w:tcPr>
            <w:tcW w:w="1088" w:type="pct"/>
            <w:tcBorders>
              <w:bottom w:val="single" w:sz="12" w:space="0" w:color="auto"/>
            </w:tcBorders>
            <w:vAlign w:val="center"/>
          </w:tcPr>
          <w:p w14:paraId="0C6C4B04"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41.51</w:t>
            </w:r>
            <w:r w:rsidRPr="00FC6FE8">
              <w:rPr>
                <w:rFonts w:ascii="Times New Roman" w:hAnsi="Times New Roman" w:cs="Times New Roman" w:hint="eastAsia"/>
              </w:rPr>
              <w:t>±</w:t>
            </w:r>
            <w:r w:rsidRPr="00FC6FE8">
              <w:rPr>
                <w:rFonts w:ascii="Times New Roman" w:hAnsi="Times New Roman" w:cs="Times New Roman" w:hint="eastAsia"/>
              </w:rPr>
              <w:t>8.03</w:t>
            </w:r>
          </w:p>
        </w:tc>
        <w:tc>
          <w:tcPr>
            <w:tcW w:w="1088" w:type="pct"/>
            <w:tcBorders>
              <w:bottom w:val="single" w:sz="12" w:space="0" w:color="auto"/>
            </w:tcBorders>
            <w:vAlign w:val="center"/>
          </w:tcPr>
          <w:p w14:paraId="31867DEB"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39.88</w:t>
            </w:r>
            <w:r w:rsidRPr="00FC6FE8">
              <w:rPr>
                <w:rFonts w:ascii="Times New Roman" w:hAnsi="Times New Roman" w:cs="Times New Roman" w:hint="eastAsia"/>
              </w:rPr>
              <w:t>±</w:t>
            </w:r>
            <w:r w:rsidRPr="00FC6FE8">
              <w:rPr>
                <w:rFonts w:ascii="Times New Roman" w:hAnsi="Times New Roman" w:cs="Times New Roman" w:hint="eastAsia"/>
              </w:rPr>
              <w:t>3.11</w:t>
            </w:r>
          </w:p>
        </w:tc>
        <w:tc>
          <w:tcPr>
            <w:tcW w:w="1088" w:type="pct"/>
            <w:tcBorders>
              <w:bottom w:val="single" w:sz="12" w:space="0" w:color="auto"/>
            </w:tcBorders>
            <w:vAlign w:val="center"/>
          </w:tcPr>
          <w:p w14:paraId="0F99735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40.15</w:t>
            </w:r>
            <w:r w:rsidRPr="00FC6FE8">
              <w:rPr>
                <w:rFonts w:ascii="Times New Roman" w:hAnsi="Times New Roman" w:cs="Times New Roman" w:hint="eastAsia"/>
              </w:rPr>
              <w:t>±</w:t>
            </w:r>
            <w:r w:rsidRPr="00FC6FE8">
              <w:rPr>
                <w:rFonts w:ascii="Times New Roman" w:hAnsi="Times New Roman" w:cs="Times New Roman" w:hint="eastAsia"/>
              </w:rPr>
              <w:t>4.83</w:t>
            </w:r>
          </w:p>
        </w:tc>
      </w:tr>
      <w:tr w:rsidR="00DF1095" w14:paraId="2CBF68D6" w14:textId="77777777" w:rsidTr="00DF1095">
        <w:tc>
          <w:tcPr>
            <w:tcW w:w="646" w:type="pct"/>
            <w:vMerge w:val="restart"/>
            <w:tcBorders>
              <w:top w:val="single" w:sz="12" w:space="0" w:color="auto"/>
              <w:bottom w:val="single" w:sz="4" w:space="0" w:color="auto"/>
            </w:tcBorders>
            <w:vAlign w:val="center"/>
          </w:tcPr>
          <w:p w14:paraId="7F8B5154" w14:textId="49689BCD"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Samples</w:t>
            </w:r>
          </w:p>
        </w:tc>
        <w:tc>
          <w:tcPr>
            <w:tcW w:w="4354" w:type="pct"/>
            <w:gridSpan w:val="4"/>
            <w:tcBorders>
              <w:top w:val="single" w:sz="12" w:space="0" w:color="auto"/>
              <w:bottom w:val="single" w:sz="4" w:space="0" w:color="auto"/>
            </w:tcBorders>
            <w:vAlign w:val="center"/>
          </w:tcPr>
          <w:p w14:paraId="1EBBFC01"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Young</w:t>
            </w:r>
            <w:r w:rsidRPr="00FC6FE8">
              <w:rPr>
                <w:rFonts w:ascii="Times New Roman" w:hAnsi="Times New Roman" w:cs="Times New Roman"/>
                <w:b/>
                <w:bCs/>
              </w:rPr>
              <w:t>’</w:t>
            </w:r>
            <w:r w:rsidRPr="00FC6FE8">
              <w:rPr>
                <w:rFonts w:ascii="Times New Roman" w:hAnsi="Times New Roman" w:cs="Times New Roman" w:hint="eastAsia"/>
                <w:b/>
                <w:bCs/>
              </w:rPr>
              <w:t>s Modulus (MPa)</w:t>
            </w:r>
          </w:p>
        </w:tc>
      </w:tr>
      <w:tr w:rsidR="00DF1095" w14:paraId="0533B06D" w14:textId="77777777" w:rsidTr="00DF1095">
        <w:tc>
          <w:tcPr>
            <w:tcW w:w="646" w:type="pct"/>
            <w:vMerge/>
            <w:tcBorders>
              <w:top w:val="nil"/>
              <w:bottom w:val="single" w:sz="4" w:space="0" w:color="auto"/>
            </w:tcBorders>
            <w:vAlign w:val="center"/>
          </w:tcPr>
          <w:p w14:paraId="4625B59B" w14:textId="77777777" w:rsidR="00DF1095" w:rsidRPr="00FC6FE8" w:rsidRDefault="00DF1095" w:rsidP="00903C80">
            <w:pPr>
              <w:spacing w:line="480" w:lineRule="auto"/>
              <w:jc w:val="center"/>
              <w:rPr>
                <w:rFonts w:ascii="Times New Roman" w:hAnsi="Times New Roman" w:cs="Times New Roman"/>
                <w:b/>
                <w:bCs/>
              </w:rPr>
            </w:pPr>
          </w:p>
        </w:tc>
        <w:tc>
          <w:tcPr>
            <w:tcW w:w="1088" w:type="pct"/>
            <w:tcBorders>
              <w:top w:val="single" w:sz="4" w:space="0" w:color="auto"/>
              <w:bottom w:val="single" w:sz="4" w:space="0" w:color="auto"/>
            </w:tcBorders>
            <w:vAlign w:val="center"/>
          </w:tcPr>
          <w:p w14:paraId="2FB4C94F"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Crest</w:t>
            </w:r>
          </w:p>
        </w:tc>
        <w:tc>
          <w:tcPr>
            <w:tcW w:w="1088" w:type="pct"/>
            <w:tcBorders>
              <w:top w:val="single" w:sz="4" w:space="0" w:color="auto"/>
              <w:bottom w:val="single" w:sz="4" w:space="0" w:color="auto"/>
            </w:tcBorders>
            <w:vAlign w:val="center"/>
          </w:tcPr>
          <w:p w14:paraId="459BB8E9"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Valley</w:t>
            </w:r>
          </w:p>
        </w:tc>
        <w:tc>
          <w:tcPr>
            <w:tcW w:w="1088" w:type="pct"/>
            <w:tcBorders>
              <w:top w:val="single" w:sz="4" w:space="0" w:color="auto"/>
              <w:bottom w:val="single" w:sz="4" w:space="0" w:color="auto"/>
            </w:tcBorders>
            <w:vAlign w:val="center"/>
          </w:tcPr>
          <w:p w14:paraId="02119AFD"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Surrounding</w:t>
            </w:r>
          </w:p>
        </w:tc>
        <w:tc>
          <w:tcPr>
            <w:tcW w:w="1088" w:type="pct"/>
            <w:tcBorders>
              <w:top w:val="single" w:sz="4" w:space="0" w:color="auto"/>
              <w:bottom w:val="single" w:sz="4" w:space="0" w:color="auto"/>
            </w:tcBorders>
            <w:vAlign w:val="center"/>
          </w:tcPr>
          <w:p w14:paraId="7873954D"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Smooth</w:t>
            </w:r>
          </w:p>
        </w:tc>
      </w:tr>
      <w:tr w:rsidR="00DF1095" w14:paraId="6DA316BA" w14:textId="77777777" w:rsidTr="00DF1095">
        <w:tc>
          <w:tcPr>
            <w:tcW w:w="646" w:type="pct"/>
            <w:tcBorders>
              <w:top w:val="single" w:sz="4" w:space="0" w:color="auto"/>
            </w:tcBorders>
            <w:vAlign w:val="center"/>
          </w:tcPr>
          <w:p w14:paraId="2B03FCF9" w14:textId="422A3EAC"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AWS0</w:t>
            </w:r>
          </w:p>
        </w:tc>
        <w:tc>
          <w:tcPr>
            <w:tcW w:w="1088" w:type="pct"/>
            <w:tcBorders>
              <w:top w:val="single" w:sz="4" w:space="0" w:color="auto"/>
            </w:tcBorders>
            <w:vAlign w:val="center"/>
          </w:tcPr>
          <w:p w14:paraId="530C98D9"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573.82</w:t>
            </w:r>
            <w:r w:rsidRPr="00FC6FE8">
              <w:rPr>
                <w:rFonts w:ascii="Times New Roman" w:hAnsi="Times New Roman" w:cs="Times New Roman" w:hint="eastAsia"/>
              </w:rPr>
              <w:t>±</w:t>
            </w:r>
            <w:r w:rsidRPr="00FC6FE8">
              <w:rPr>
                <w:rFonts w:ascii="Times New Roman" w:hAnsi="Times New Roman" w:cs="Times New Roman" w:hint="eastAsia"/>
              </w:rPr>
              <w:t>91.63</w:t>
            </w:r>
          </w:p>
        </w:tc>
        <w:tc>
          <w:tcPr>
            <w:tcW w:w="1088" w:type="pct"/>
            <w:tcBorders>
              <w:top w:val="single" w:sz="4" w:space="0" w:color="auto"/>
            </w:tcBorders>
            <w:vAlign w:val="center"/>
          </w:tcPr>
          <w:p w14:paraId="2550A61C"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477.06</w:t>
            </w:r>
            <w:r w:rsidRPr="00FC6FE8">
              <w:rPr>
                <w:rFonts w:ascii="Times New Roman" w:hAnsi="Times New Roman" w:cs="Times New Roman" w:hint="eastAsia"/>
              </w:rPr>
              <w:t>±</w:t>
            </w:r>
            <w:r w:rsidRPr="00FC6FE8">
              <w:rPr>
                <w:rFonts w:ascii="Times New Roman" w:hAnsi="Times New Roman" w:cs="Times New Roman" w:hint="eastAsia"/>
              </w:rPr>
              <w:t>86.66</w:t>
            </w:r>
          </w:p>
        </w:tc>
        <w:tc>
          <w:tcPr>
            <w:tcW w:w="1088" w:type="pct"/>
            <w:tcBorders>
              <w:top w:val="single" w:sz="4" w:space="0" w:color="auto"/>
            </w:tcBorders>
            <w:vAlign w:val="center"/>
          </w:tcPr>
          <w:p w14:paraId="22013B84"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w:t>
            </w:r>
          </w:p>
        </w:tc>
        <w:tc>
          <w:tcPr>
            <w:tcW w:w="1088" w:type="pct"/>
            <w:tcBorders>
              <w:top w:val="single" w:sz="4" w:space="0" w:color="auto"/>
            </w:tcBorders>
            <w:vAlign w:val="center"/>
          </w:tcPr>
          <w:p w14:paraId="24550B66"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567.22</w:t>
            </w:r>
            <w:r w:rsidRPr="00FC6FE8">
              <w:rPr>
                <w:rFonts w:ascii="Times New Roman" w:hAnsi="Times New Roman" w:cs="Times New Roman" w:hint="eastAsia"/>
              </w:rPr>
              <w:t>±</w:t>
            </w:r>
            <w:r w:rsidRPr="00FC6FE8">
              <w:rPr>
                <w:rFonts w:ascii="Times New Roman" w:hAnsi="Times New Roman" w:cs="Times New Roman" w:hint="eastAsia"/>
              </w:rPr>
              <w:t>86.98</w:t>
            </w:r>
          </w:p>
        </w:tc>
      </w:tr>
      <w:tr w:rsidR="00DF1095" w14:paraId="67D167F6" w14:textId="77777777" w:rsidTr="007E5E12">
        <w:tc>
          <w:tcPr>
            <w:tcW w:w="646" w:type="pct"/>
            <w:vAlign w:val="center"/>
          </w:tcPr>
          <w:p w14:paraId="24ABD323" w14:textId="69B322A6"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AWS2</w:t>
            </w:r>
          </w:p>
        </w:tc>
        <w:tc>
          <w:tcPr>
            <w:tcW w:w="1088" w:type="pct"/>
            <w:vAlign w:val="center"/>
          </w:tcPr>
          <w:p w14:paraId="6ECF990A"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448.02</w:t>
            </w:r>
            <w:r w:rsidRPr="00FC6FE8">
              <w:rPr>
                <w:rFonts w:ascii="Times New Roman" w:hAnsi="Times New Roman" w:cs="Times New Roman" w:hint="eastAsia"/>
              </w:rPr>
              <w:t>±</w:t>
            </w:r>
            <w:r w:rsidRPr="00FC6FE8">
              <w:rPr>
                <w:rFonts w:ascii="Times New Roman" w:hAnsi="Times New Roman" w:cs="Times New Roman" w:hint="eastAsia"/>
              </w:rPr>
              <w:t>45.57</w:t>
            </w:r>
          </w:p>
        </w:tc>
        <w:tc>
          <w:tcPr>
            <w:tcW w:w="1088" w:type="pct"/>
            <w:vAlign w:val="center"/>
          </w:tcPr>
          <w:p w14:paraId="2D2EFEBC"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445.46</w:t>
            </w:r>
            <w:r w:rsidRPr="00FC6FE8">
              <w:rPr>
                <w:rFonts w:ascii="Times New Roman" w:hAnsi="Times New Roman" w:cs="Times New Roman" w:hint="eastAsia"/>
              </w:rPr>
              <w:t>±</w:t>
            </w:r>
            <w:r w:rsidRPr="00FC6FE8">
              <w:rPr>
                <w:rFonts w:ascii="Times New Roman" w:hAnsi="Times New Roman" w:cs="Times New Roman" w:hint="eastAsia"/>
              </w:rPr>
              <w:t>49.25</w:t>
            </w:r>
          </w:p>
        </w:tc>
        <w:tc>
          <w:tcPr>
            <w:tcW w:w="1088" w:type="pct"/>
            <w:vAlign w:val="center"/>
          </w:tcPr>
          <w:p w14:paraId="7EEF2D90"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w:t>
            </w:r>
          </w:p>
        </w:tc>
        <w:tc>
          <w:tcPr>
            <w:tcW w:w="1088" w:type="pct"/>
            <w:vAlign w:val="center"/>
          </w:tcPr>
          <w:p w14:paraId="38B3E127"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447.57</w:t>
            </w:r>
            <w:r w:rsidRPr="00FC6FE8">
              <w:rPr>
                <w:rFonts w:ascii="Times New Roman" w:hAnsi="Times New Roman" w:cs="Times New Roman" w:hint="eastAsia"/>
              </w:rPr>
              <w:t>±</w:t>
            </w:r>
            <w:r w:rsidRPr="00FC6FE8">
              <w:rPr>
                <w:rFonts w:ascii="Times New Roman" w:hAnsi="Times New Roman" w:cs="Times New Roman" w:hint="eastAsia"/>
              </w:rPr>
              <w:t>46.57</w:t>
            </w:r>
          </w:p>
        </w:tc>
      </w:tr>
      <w:tr w:rsidR="00DF1095" w14:paraId="0BE3F0ED" w14:textId="77777777" w:rsidTr="007E5E12">
        <w:tc>
          <w:tcPr>
            <w:tcW w:w="646" w:type="pct"/>
            <w:vAlign w:val="center"/>
          </w:tcPr>
          <w:p w14:paraId="678E3D8E" w14:textId="1845362A"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AWS4</w:t>
            </w:r>
          </w:p>
        </w:tc>
        <w:tc>
          <w:tcPr>
            <w:tcW w:w="1088" w:type="pct"/>
            <w:vAlign w:val="center"/>
          </w:tcPr>
          <w:p w14:paraId="56DC4DB9"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659.30</w:t>
            </w:r>
            <w:r w:rsidRPr="00FC6FE8">
              <w:rPr>
                <w:rFonts w:ascii="Times New Roman" w:hAnsi="Times New Roman" w:cs="Times New Roman" w:hint="eastAsia"/>
              </w:rPr>
              <w:t>±</w:t>
            </w:r>
            <w:r w:rsidRPr="00FC6FE8">
              <w:rPr>
                <w:rFonts w:ascii="Times New Roman" w:hAnsi="Times New Roman" w:cs="Times New Roman" w:hint="eastAsia"/>
              </w:rPr>
              <w:t>67.18</w:t>
            </w:r>
          </w:p>
        </w:tc>
        <w:tc>
          <w:tcPr>
            <w:tcW w:w="1088" w:type="pct"/>
            <w:vAlign w:val="center"/>
          </w:tcPr>
          <w:p w14:paraId="5C9E8394"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635.82</w:t>
            </w:r>
            <w:r w:rsidRPr="00FC6FE8">
              <w:rPr>
                <w:rFonts w:ascii="Times New Roman" w:hAnsi="Times New Roman" w:cs="Times New Roman" w:hint="eastAsia"/>
              </w:rPr>
              <w:t>±</w:t>
            </w:r>
            <w:r w:rsidRPr="00FC6FE8">
              <w:rPr>
                <w:rFonts w:ascii="Times New Roman" w:hAnsi="Times New Roman" w:cs="Times New Roman" w:hint="eastAsia"/>
              </w:rPr>
              <w:t>59.02</w:t>
            </w:r>
          </w:p>
        </w:tc>
        <w:tc>
          <w:tcPr>
            <w:tcW w:w="1088" w:type="pct"/>
            <w:vAlign w:val="center"/>
          </w:tcPr>
          <w:p w14:paraId="482AA8A5"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w:t>
            </w:r>
          </w:p>
        </w:tc>
        <w:tc>
          <w:tcPr>
            <w:tcW w:w="1088" w:type="pct"/>
            <w:vAlign w:val="center"/>
          </w:tcPr>
          <w:p w14:paraId="2794A0A7"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660.50</w:t>
            </w:r>
            <w:r w:rsidRPr="00FC6FE8">
              <w:rPr>
                <w:rFonts w:ascii="Times New Roman" w:hAnsi="Times New Roman" w:cs="Times New Roman" w:hint="eastAsia"/>
              </w:rPr>
              <w:t>±</w:t>
            </w:r>
            <w:r w:rsidRPr="00FC6FE8">
              <w:rPr>
                <w:rFonts w:ascii="Times New Roman" w:hAnsi="Times New Roman" w:cs="Times New Roman" w:hint="eastAsia"/>
              </w:rPr>
              <w:t>49.20</w:t>
            </w:r>
          </w:p>
        </w:tc>
      </w:tr>
      <w:tr w:rsidR="00DF1095" w14:paraId="702E94D0" w14:textId="77777777" w:rsidTr="007E5E12">
        <w:tc>
          <w:tcPr>
            <w:tcW w:w="646" w:type="pct"/>
            <w:vAlign w:val="center"/>
          </w:tcPr>
          <w:p w14:paraId="429E67CC" w14:textId="323BA66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AWS6</w:t>
            </w:r>
          </w:p>
        </w:tc>
        <w:tc>
          <w:tcPr>
            <w:tcW w:w="1088" w:type="pct"/>
            <w:vAlign w:val="center"/>
          </w:tcPr>
          <w:p w14:paraId="5200E3AF"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519.81</w:t>
            </w:r>
            <w:r w:rsidRPr="00FC6FE8">
              <w:rPr>
                <w:rFonts w:ascii="Times New Roman" w:hAnsi="Times New Roman" w:cs="Times New Roman" w:hint="eastAsia"/>
              </w:rPr>
              <w:t>±</w:t>
            </w:r>
            <w:r w:rsidRPr="00FC6FE8">
              <w:rPr>
                <w:rFonts w:ascii="Times New Roman" w:hAnsi="Times New Roman" w:cs="Times New Roman" w:hint="eastAsia"/>
              </w:rPr>
              <w:t>41.98</w:t>
            </w:r>
          </w:p>
        </w:tc>
        <w:tc>
          <w:tcPr>
            <w:tcW w:w="1088" w:type="pct"/>
            <w:vAlign w:val="center"/>
          </w:tcPr>
          <w:p w14:paraId="072BA3F8"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508.65</w:t>
            </w:r>
            <w:r w:rsidRPr="00FC6FE8">
              <w:rPr>
                <w:rFonts w:ascii="Times New Roman" w:hAnsi="Times New Roman" w:cs="Times New Roman" w:hint="eastAsia"/>
              </w:rPr>
              <w:t>±</w:t>
            </w:r>
            <w:r w:rsidRPr="00FC6FE8">
              <w:rPr>
                <w:rFonts w:ascii="Times New Roman" w:hAnsi="Times New Roman" w:cs="Times New Roman" w:hint="eastAsia"/>
              </w:rPr>
              <w:t>47.68</w:t>
            </w:r>
          </w:p>
        </w:tc>
        <w:tc>
          <w:tcPr>
            <w:tcW w:w="1088" w:type="pct"/>
            <w:vAlign w:val="center"/>
          </w:tcPr>
          <w:p w14:paraId="303E0A15"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512.55</w:t>
            </w:r>
            <w:r w:rsidRPr="00FC6FE8">
              <w:rPr>
                <w:rFonts w:ascii="Times New Roman" w:hAnsi="Times New Roman" w:cs="Times New Roman" w:hint="eastAsia"/>
              </w:rPr>
              <w:t>±</w:t>
            </w:r>
            <w:r w:rsidRPr="00FC6FE8">
              <w:rPr>
                <w:rFonts w:ascii="Times New Roman" w:hAnsi="Times New Roman" w:cs="Times New Roman" w:hint="eastAsia"/>
              </w:rPr>
              <w:t>35.12</w:t>
            </w:r>
          </w:p>
        </w:tc>
        <w:tc>
          <w:tcPr>
            <w:tcW w:w="1088" w:type="pct"/>
            <w:vAlign w:val="center"/>
          </w:tcPr>
          <w:p w14:paraId="571588D1"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516.97</w:t>
            </w:r>
            <w:r w:rsidRPr="00FC6FE8">
              <w:rPr>
                <w:rFonts w:ascii="Times New Roman" w:hAnsi="Times New Roman" w:cs="Times New Roman" w:hint="eastAsia"/>
              </w:rPr>
              <w:t>±</w:t>
            </w:r>
            <w:r w:rsidRPr="00FC6FE8">
              <w:rPr>
                <w:rFonts w:ascii="Times New Roman" w:hAnsi="Times New Roman" w:cs="Times New Roman" w:hint="eastAsia"/>
              </w:rPr>
              <w:t>33.47</w:t>
            </w:r>
          </w:p>
        </w:tc>
      </w:tr>
      <w:tr w:rsidR="00DF1095" w14:paraId="2865388D" w14:textId="77777777" w:rsidTr="007E5E12">
        <w:tc>
          <w:tcPr>
            <w:tcW w:w="646" w:type="pct"/>
            <w:vAlign w:val="center"/>
          </w:tcPr>
          <w:p w14:paraId="460FD610" w14:textId="356B7949"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AWS8</w:t>
            </w:r>
          </w:p>
        </w:tc>
        <w:tc>
          <w:tcPr>
            <w:tcW w:w="1088" w:type="pct"/>
            <w:vAlign w:val="center"/>
          </w:tcPr>
          <w:p w14:paraId="6894103B"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678.08</w:t>
            </w:r>
            <w:r w:rsidRPr="00FC6FE8">
              <w:rPr>
                <w:rFonts w:ascii="Times New Roman" w:hAnsi="Times New Roman" w:cs="Times New Roman" w:hint="eastAsia"/>
              </w:rPr>
              <w:t>±</w:t>
            </w:r>
            <w:r w:rsidRPr="00FC6FE8">
              <w:rPr>
                <w:rFonts w:ascii="Times New Roman" w:hAnsi="Times New Roman" w:cs="Times New Roman" w:hint="eastAsia"/>
              </w:rPr>
              <w:t>63.47</w:t>
            </w:r>
          </w:p>
        </w:tc>
        <w:tc>
          <w:tcPr>
            <w:tcW w:w="1088" w:type="pct"/>
            <w:vAlign w:val="center"/>
          </w:tcPr>
          <w:p w14:paraId="133FA145"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617.78</w:t>
            </w:r>
            <w:r w:rsidRPr="00FC6FE8">
              <w:rPr>
                <w:rFonts w:ascii="Times New Roman" w:hAnsi="Times New Roman" w:cs="Times New Roman" w:hint="eastAsia"/>
              </w:rPr>
              <w:t>±</w:t>
            </w:r>
            <w:r w:rsidRPr="00FC6FE8">
              <w:rPr>
                <w:rFonts w:ascii="Times New Roman" w:hAnsi="Times New Roman" w:cs="Times New Roman" w:hint="eastAsia"/>
              </w:rPr>
              <w:t>63.69</w:t>
            </w:r>
          </w:p>
        </w:tc>
        <w:tc>
          <w:tcPr>
            <w:tcW w:w="1088" w:type="pct"/>
            <w:vAlign w:val="center"/>
          </w:tcPr>
          <w:p w14:paraId="0B1A94E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679.71</w:t>
            </w:r>
            <w:r w:rsidRPr="00FC6FE8">
              <w:rPr>
                <w:rFonts w:ascii="Times New Roman" w:hAnsi="Times New Roman" w:cs="Times New Roman" w:hint="eastAsia"/>
              </w:rPr>
              <w:t>±</w:t>
            </w:r>
            <w:r w:rsidRPr="00FC6FE8">
              <w:rPr>
                <w:rFonts w:ascii="Times New Roman" w:hAnsi="Times New Roman" w:cs="Times New Roman" w:hint="eastAsia"/>
              </w:rPr>
              <w:t>63.24</w:t>
            </w:r>
          </w:p>
        </w:tc>
        <w:tc>
          <w:tcPr>
            <w:tcW w:w="1088" w:type="pct"/>
            <w:vAlign w:val="center"/>
          </w:tcPr>
          <w:p w14:paraId="15CE5A27"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648.95</w:t>
            </w:r>
            <w:r w:rsidRPr="00FC6FE8">
              <w:rPr>
                <w:rFonts w:ascii="Times New Roman" w:hAnsi="Times New Roman" w:cs="Times New Roman" w:hint="eastAsia"/>
              </w:rPr>
              <w:t>±</w:t>
            </w:r>
            <w:r w:rsidRPr="00FC6FE8">
              <w:rPr>
                <w:rFonts w:ascii="Times New Roman" w:hAnsi="Times New Roman" w:cs="Times New Roman" w:hint="eastAsia"/>
              </w:rPr>
              <w:t>70.90</w:t>
            </w:r>
          </w:p>
        </w:tc>
      </w:tr>
      <w:tr w:rsidR="00DF1095" w14:paraId="310212DB" w14:textId="77777777" w:rsidTr="007E5E12">
        <w:tc>
          <w:tcPr>
            <w:tcW w:w="646" w:type="pct"/>
            <w:vAlign w:val="center"/>
          </w:tcPr>
          <w:p w14:paraId="4E373D68" w14:textId="7718C460"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AWS10</w:t>
            </w:r>
          </w:p>
        </w:tc>
        <w:tc>
          <w:tcPr>
            <w:tcW w:w="1088" w:type="pct"/>
            <w:vAlign w:val="center"/>
          </w:tcPr>
          <w:p w14:paraId="383BA3DC"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715.71</w:t>
            </w:r>
            <w:r w:rsidRPr="00FC6FE8">
              <w:rPr>
                <w:rFonts w:ascii="Times New Roman" w:hAnsi="Times New Roman" w:cs="Times New Roman" w:hint="eastAsia"/>
              </w:rPr>
              <w:t>±</w:t>
            </w:r>
            <w:r w:rsidRPr="00FC6FE8">
              <w:rPr>
                <w:rFonts w:ascii="Times New Roman" w:hAnsi="Times New Roman" w:cs="Times New Roman" w:hint="eastAsia"/>
              </w:rPr>
              <w:t>53.40</w:t>
            </w:r>
          </w:p>
        </w:tc>
        <w:tc>
          <w:tcPr>
            <w:tcW w:w="1088" w:type="pct"/>
            <w:vAlign w:val="center"/>
          </w:tcPr>
          <w:p w14:paraId="630A0A08"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654.69</w:t>
            </w:r>
            <w:r w:rsidRPr="00FC6FE8">
              <w:rPr>
                <w:rFonts w:ascii="Times New Roman" w:hAnsi="Times New Roman" w:cs="Times New Roman" w:hint="eastAsia"/>
              </w:rPr>
              <w:t>±</w:t>
            </w:r>
            <w:r w:rsidRPr="00FC6FE8">
              <w:rPr>
                <w:rFonts w:ascii="Times New Roman" w:hAnsi="Times New Roman" w:cs="Times New Roman" w:hint="eastAsia"/>
              </w:rPr>
              <w:t>66.12</w:t>
            </w:r>
          </w:p>
        </w:tc>
        <w:tc>
          <w:tcPr>
            <w:tcW w:w="1088" w:type="pct"/>
            <w:vAlign w:val="center"/>
          </w:tcPr>
          <w:p w14:paraId="132FD051"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704.41</w:t>
            </w:r>
            <w:r w:rsidRPr="00FC6FE8">
              <w:rPr>
                <w:rFonts w:ascii="Times New Roman" w:hAnsi="Times New Roman" w:cs="Times New Roman" w:hint="eastAsia"/>
              </w:rPr>
              <w:t>±</w:t>
            </w:r>
            <w:r w:rsidRPr="00FC6FE8">
              <w:rPr>
                <w:rFonts w:ascii="Times New Roman" w:hAnsi="Times New Roman" w:cs="Times New Roman" w:hint="eastAsia"/>
              </w:rPr>
              <w:t>45.40</w:t>
            </w:r>
          </w:p>
        </w:tc>
        <w:tc>
          <w:tcPr>
            <w:tcW w:w="1088" w:type="pct"/>
            <w:vAlign w:val="center"/>
          </w:tcPr>
          <w:p w14:paraId="2C576D1F"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681.00</w:t>
            </w:r>
            <w:r w:rsidRPr="00FC6FE8">
              <w:rPr>
                <w:rFonts w:ascii="Times New Roman" w:hAnsi="Times New Roman" w:cs="Times New Roman" w:hint="eastAsia"/>
              </w:rPr>
              <w:t>±</w:t>
            </w:r>
            <w:r w:rsidRPr="00FC6FE8">
              <w:rPr>
                <w:rFonts w:ascii="Times New Roman" w:hAnsi="Times New Roman" w:cs="Times New Roman" w:hint="eastAsia"/>
              </w:rPr>
              <w:t>54.46</w:t>
            </w:r>
          </w:p>
        </w:tc>
      </w:tr>
    </w:tbl>
    <w:p w14:paraId="2430B352" w14:textId="77777777" w:rsidR="00DF1095" w:rsidRDefault="00DF1095" w:rsidP="00903C80">
      <w:pPr>
        <w:spacing w:after="0" w:line="480" w:lineRule="auto"/>
        <w:rPr>
          <w:rFonts w:ascii="Times New Roman" w:hAnsi="Times New Roman" w:cs="Times New Roman"/>
        </w:rPr>
      </w:pPr>
    </w:p>
    <w:p w14:paraId="182747D2" w14:textId="77777777" w:rsidR="00DF1095" w:rsidRDefault="00DF1095" w:rsidP="00903C80">
      <w:pPr>
        <w:spacing w:after="0" w:line="480" w:lineRule="auto"/>
        <w:rPr>
          <w:rFonts w:ascii="Times New Roman" w:hAnsi="Times New Roman" w:cs="Times New Roman"/>
        </w:rPr>
      </w:pPr>
    </w:p>
    <w:p w14:paraId="77CBCA5C" w14:textId="77777777" w:rsidR="00DF1095" w:rsidRDefault="00DF1095" w:rsidP="00903C80">
      <w:pPr>
        <w:spacing w:after="0" w:line="480" w:lineRule="auto"/>
        <w:rPr>
          <w:rFonts w:ascii="Times New Roman" w:hAnsi="Times New Roman" w:cs="Times New Roman"/>
        </w:rPr>
        <w:sectPr w:rsidR="00DF1095">
          <w:pgSz w:w="12240" w:h="15840"/>
          <w:pgMar w:top="1440" w:right="1440" w:bottom="1440" w:left="1440" w:header="720" w:footer="720" w:gutter="0"/>
          <w:cols w:space="720"/>
          <w:docGrid w:linePitch="360"/>
        </w:sectPr>
      </w:pPr>
    </w:p>
    <w:p w14:paraId="70265236" w14:textId="383E2706" w:rsidR="00DF1095" w:rsidRDefault="00DF1095" w:rsidP="00903C80">
      <w:pPr>
        <w:spacing w:after="0" w:line="480" w:lineRule="auto"/>
        <w:rPr>
          <w:rFonts w:ascii="Times New Roman" w:hAnsi="Times New Roman" w:cs="Times New Roman"/>
        </w:rPr>
      </w:pPr>
      <w:bookmarkStart w:id="19" w:name="_Toc224215295"/>
      <w:r w:rsidRPr="004503FB">
        <w:rPr>
          <w:rStyle w:val="Heading1Char"/>
          <w:rFonts w:ascii="Times New Roman" w:hAnsi="Times New Roman" w:cs="Times New Roman"/>
          <w:b/>
          <w:bCs/>
          <w:color w:val="000000" w:themeColor="text1"/>
          <w:sz w:val="24"/>
          <w:szCs w:val="24"/>
        </w:rPr>
        <w:lastRenderedPageBreak/>
        <w:t>Table. S</w:t>
      </w:r>
      <w:r w:rsidR="00FD280D">
        <w:rPr>
          <w:rStyle w:val="Heading1Char"/>
          <w:rFonts w:ascii="Times New Roman" w:hAnsi="Times New Roman" w:cs="Times New Roman" w:hint="eastAsia"/>
          <w:b/>
          <w:bCs/>
          <w:color w:val="000000" w:themeColor="text1"/>
          <w:sz w:val="24"/>
          <w:szCs w:val="24"/>
        </w:rPr>
        <w:t>8</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Mechanical properties’ coefficient of variation</w:t>
      </w:r>
      <w:r w:rsidR="00886CD4">
        <w:rPr>
          <w:rStyle w:val="Heading1Char"/>
          <w:rFonts w:ascii="Times New Roman" w:hAnsi="Times New Roman" w:cs="Times New Roman" w:hint="eastAsia"/>
          <w:color w:val="000000" w:themeColor="text1"/>
          <w:sz w:val="24"/>
          <w:szCs w:val="24"/>
        </w:rPr>
        <w:t xml:space="preserve"> (CV)</w:t>
      </w:r>
      <w:r w:rsidRPr="004503FB">
        <w:rPr>
          <w:rStyle w:val="Heading1Char"/>
          <w:rFonts w:ascii="Times New Roman" w:hAnsi="Times New Roman" w:cs="Times New Roman"/>
          <w:color w:val="000000" w:themeColor="text1"/>
          <w:sz w:val="24"/>
          <w:szCs w:val="24"/>
        </w:rPr>
        <w:t xml:space="preserve"> of the microstructures for all the samples of biochar doped asphalt</w:t>
      </w:r>
      <w:bookmarkEnd w:id="19"/>
      <w:r>
        <w:rPr>
          <w:rFonts w:ascii="Times New Roman" w:hAnsi="Times New Roman" w:cs="Times New Roman" w:hint="eastAsia"/>
        </w:rPr>
        <w:t>.</w:t>
      </w:r>
    </w:p>
    <w:tbl>
      <w:tblPr>
        <w:tblStyle w:val="TableGrid"/>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209"/>
        <w:gridCol w:w="2037"/>
        <w:gridCol w:w="2037"/>
        <w:gridCol w:w="2037"/>
        <w:gridCol w:w="2040"/>
      </w:tblGrid>
      <w:tr w:rsidR="00DF1095" w14:paraId="7E1401EA" w14:textId="77777777" w:rsidTr="00DF1095">
        <w:tc>
          <w:tcPr>
            <w:tcW w:w="646" w:type="pct"/>
            <w:vMerge w:val="restart"/>
            <w:tcBorders>
              <w:top w:val="single" w:sz="12" w:space="0" w:color="auto"/>
              <w:bottom w:val="single" w:sz="4" w:space="0" w:color="auto"/>
            </w:tcBorders>
            <w:vAlign w:val="center"/>
          </w:tcPr>
          <w:p w14:paraId="092CCC78"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Sample</w:t>
            </w:r>
          </w:p>
        </w:tc>
        <w:tc>
          <w:tcPr>
            <w:tcW w:w="4354" w:type="pct"/>
            <w:gridSpan w:val="4"/>
            <w:tcBorders>
              <w:top w:val="single" w:sz="12" w:space="0" w:color="auto"/>
              <w:bottom w:val="single" w:sz="4" w:space="0" w:color="auto"/>
            </w:tcBorders>
            <w:vAlign w:val="center"/>
          </w:tcPr>
          <w:p w14:paraId="16ACCBD2"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CV of Adhesion Force</w:t>
            </w:r>
          </w:p>
        </w:tc>
      </w:tr>
      <w:tr w:rsidR="00DF1095" w14:paraId="6904FC7B" w14:textId="77777777" w:rsidTr="00DF1095">
        <w:tc>
          <w:tcPr>
            <w:tcW w:w="646" w:type="pct"/>
            <w:vMerge/>
            <w:tcBorders>
              <w:top w:val="nil"/>
              <w:bottom w:val="single" w:sz="4" w:space="0" w:color="auto"/>
            </w:tcBorders>
            <w:vAlign w:val="center"/>
          </w:tcPr>
          <w:p w14:paraId="609A6AE9" w14:textId="77777777" w:rsidR="00DF1095" w:rsidRPr="00FC6FE8" w:rsidRDefault="00DF1095" w:rsidP="00903C80">
            <w:pPr>
              <w:spacing w:line="480" w:lineRule="auto"/>
              <w:jc w:val="center"/>
              <w:rPr>
                <w:rFonts w:ascii="Times New Roman" w:hAnsi="Times New Roman" w:cs="Times New Roman"/>
                <w:b/>
                <w:bCs/>
              </w:rPr>
            </w:pPr>
          </w:p>
        </w:tc>
        <w:tc>
          <w:tcPr>
            <w:tcW w:w="1088" w:type="pct"/>
            <w:tcBorders>
              <w:top w:val="single" w:sz="4" w:space="0" w:color="auto"/>
              <w:bottom w:val="single" w:sz="4" w:space="0" w:color="auto"/>
            </w:tcBorders>
            <w:vAlign w:val="center"/>
          </w:tcPr>
          <w:p w14:paraId="1F04650E"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Crest</w:t>
            </w:r>
          </w:p>
        </w:tc>
        <w:tc>
          <w:tcPr>
            <w:tcW w:w="1088" w:type="pct"/>
            <w:tcBorders>
              <w:top w:val="single" w:sz="4" w:space="0" w:color="auto"/>
              <w:bottom w:val="single" w:sz="4" w:space="0" w:color="auto"/>
            </w:tcBorders>
            <w:vAlign w:val="center"/>
          </w:tcPr>
          <w:p w14:paraId="06A59FF5"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Valley</w:t>
            </w:r>
          </w:p>
        </w:tc>
        <w:tc>
          <w:tcPr>
            <w:tcW w:w="1088" w:type="pct"/>
            <w:tcBorders>
              <w:top w:val="single" w:sz="4" w:space="0" w:color="auto"/>
              <w:bottom w:val="single" w:sz="4" w:space="0" w:color="auto"/>
            </w:tcBorders>
            <w:vAlign w:val="center"/>
          </w:tcPr>
          <w:p w14:paraId="1AF633A0"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Surrounding</w:t>
            </w:r>
          </w:p>
        </w:tc>
        <w:tc>
          <w:tcPr>
            <w:tcW w:w="1088" w:type="pct"/>
            <w:tcBorders>
              <w:top w:val="single" w:sz="4" w:space="0" w:color="auto"/>
              <w:bottom w:val="single" w:sz="4" w:space="0" w:color="auto"/>
            </w:tcBorders>
            <w:vAlign w:val="center"/>
          </w:tcPr>
          <w:p w14:paraId="72274EBF"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Smooth</w:t>
            </w:r>
          </w:p>
        </w:tc>
      </w:tr>
      <w:tr w:rsidR="00DF1095" w14:paraId="6428051B" w14:textId="77777777" w:rsidTr="00DF1095">
        <w:tc>
          <w:tcPr>
            <w:tcW w:w="646" w:type="pct"/>
            <w:tcBorders>
              <w:top w:val="single" w:sz="4" w:space="0" w:color="auto"/>
            </w:tcBorders>
            <w:vAlign w:val="center"/>
          </w:tcPr>
          <w:p w14:paraId="7F56E7B3"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w:t>
            </w:r>
          </w:p>
        </w:tc>
        <w:tc>
          <w:tcPr>
            <w:tcW w:w="1088" w:type="pct"/>
            <w:tcBorders>
              <w:top w:val="single" w:sz="4" w:space="0" w:color="auto"/>
            </w:tcBorders>
            <w:vAlign w:val="center"/>
          </w:tcPr>
          <w:p w14:paraId="4403C93F"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0.076</w:t>
            </w:r>
          </w:p>
        </w:tc>
        <w:tc>
          <w:tcPr>
            <w:tcW w:w="1088" w:type="pct"/>
            <w:tcBorders>
              <w:top w:val="single" w:sz="4" w:space="0" w:color="auto"/>
            </w:tcBorders>
            <w:vAlign w:val="center"/>
          </w:tcPr>
          <w:p w14:paraId="604C3C18"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0.107</w:t>
            </w:r>
          </w:p>
        </w:tc>
        <w:tc>
          <w:tcPr>
            <w:tcW w:w="1088" w:type="pct"/>
            <w:tcBorders>
              <w:top w:val="single" w:sz="4" w:space="0" w:color="auto"/>
            </w:tcBorders>
            <w:vAlign w:val="center"/>
          </w:tcPr>
          <w:p w14:paraId="67AA4620"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w:t>
            </w:r>
          </w:p>
        </w:tc>
        <w:tc>
          <w:tcPr>
            <w:tcW w:w="1088" w:type="pct"/>
            <w:tcBorders>
              <w:top w:val="single" w:sz="4" w:space="0" w:color="auto"/>
            </w:tcBorders>
            <w:vAlign w:val="center"/>
          </w:tcPr>
          <w:p w14:paraId="0A511890"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0.075</w:t>
            </w:r>
          </w:p>
        </w:tc>
      </w:tr>
      <w:tr w:rsidR="00DF1095" w14:paraId="72426DF0" w14:textId="77777777" w:rsidTr="007E5E12">
        <w:tc>
          <w:tcPr>
            <w:tcW w:w="646" w:type="pct"/>
            <w:vAlign w:val="center"/>
          </w:tcPr>
          <w:p w14:paraId="6E58D0DF"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2%</w:t>
            </w:r>
          </w:p>
        </w:tc>
        <w:tc>
          <w:tcPr>
            <w:tcW w:w="1088" w:type="pct"/>
            <w:vAlign w:val="center"/>
          </w:tcPr>
          <w:p w14:paraId="6051E2B6"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0.069</w:t>
            </w:r>
          </w:p>
        </w:tc>
        <w:tc>
          <w:tcPr>
            <w:tcW w:w="1088" w:type="pct"/>
            <w:vAlign w:val="center"/>
          </w:tcPr>
          <w:p w14:paraId="407348F1"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0.069</w:t>
            </w:r>
          </w:p>
        </w:tc>
        <w:tc>
          <w:tcPr>
            <w:tcW w:w="1088" w:type="pct"/>
            <w:vAlign w:val="center"/>
          </w:tcPr>
          <w:p w14:paraId="21C223D0"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w:t>
            </w:r>
          </w:p>
        </w:tc>
        <w:tc>
          <w:tcPr>
            <w:tcW w:w="1088" w:type="pct"/>
            <w:vAlign w:val="center"/>
          </w:tcPr>
          <w:p w14:paraId="2FE4A95F"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0.064</w:t>
            </w:r>
          </w:p>
        </w:tc>
      </w:tr>
      <w:tr w:rsidR="00DF1095" w14:paraId="20B70009" w14:textId="77777777" w:rsidTr="007E5E12">
        <w:tc>
          <w:tcPr>
            <w:tcW w:w="646" w:type="pct"/>
            <w:vAlign w:val="center"/>
          </w:tcPr>
          <w:p w14:paraId="79807483"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w:t>
            </w:r>
          </w:p>
        </w:tc>
        <w:tc>
          <w:tcPr>
            <w:tcW w:w="1088" w:type="pct"/>
            <w:vAlign w:val="center"/>
          </w:tcPr>
          <w:p w14:paraId="5002CE2F"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0.062</w:t>
            </w:r>
          </w:p>
        </w:tc>
        <w:tc>
          <w:tcPr>
            <w:tcW w:w="1088" w:type="pct"/>
            <w:vAlign w:val="center"/>
          </w:tcPr>
          <w:p w14:paraId="16ACC003"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0.045</w:t>
            </w:r>
          </w:p>
        </w:tc>
        <w:tc>
          <w:tcPr>
            <w:tcW w:w="1088" w:type="pct"/>
            <w:vAlign w:val="center"/>
          </w:tcPr>
          <w:p w14:paraId="7C4EEBE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w:t>
            </w:r>
          </w:p>
        </w:tc>
        <w:tc>
          <w:tcPr>
            <w:tcW w:w="1088" w:type="pct"/>
            <w:vAlign w:val="center"/>
          </w:tcPr>
          <w:p w14:paraId="7ABC312A"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0.044</w:t>
            </w:r>
          </w:p>
        </w:tc>
      </w:tr>
      <w:tr w:rsidR="00DF1095" w14:paraId="6ADBDC65" w14:textId="77777777" w:rsidTr="007E5E12">
        <w:tc>
          <w:tcPr>
            <w:tcW w:w="646" w:type="pct"/>
            <w:vAlign w:val="center"/>
          </w:tcPr>
          <w:p w14:paraId="278922C7"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w:t>
            </w:r>
          </w:p>
        </w:tc>
        <w:tc>
          <w:tcPr>
            <w:tcW w:w="1088" w:type="pct"/>
            <w:vAlign w:val="center"/>
          </w:tcPr>
          <w:p w14:paraId="5307E709"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0.052</w:t>
            </w:r>
          </w:p>
        </w:tc>
        <w:tc>
          <w:tcPr>
            <w:tcW w:w="1088" w:type="pct"/>
            <w:vAlign w:val="center"/>
          </w:tcPr>
          <w:p w14:paraId="71372DB1"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0.046</w:t>
            </w:r>
          </w:p>
        </w:tc>
        <w:tc>
          <w:tcPr>
            <w:tcW w:w="1088" w:type="pct"/>
            <w:vAlign w:val="center"/>
          </w:tcPr>
          <w:p w14:paraId="6CE0CEF1"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0.043</w:t>
            </w:r>
          </w:p>
        </w:tc>
        <w:tc>
          <w:tcPr>
            <w:tcW w:w="1088" w:type="pct"/>
            <w:vAlign w:val="center"/>
          </w:tcPr>
          <w:p w14:paraId="076FE61F"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0.035</w:t>
            </w:r>
          </w:p>
        </w:tc>
      </w:tr>
      <w:tr w:rsidR="00DF1095" w14:paraId="69CA6B42" w14:textId="77777777" w:rsidTr="007E5E12">
        <w:tc>
          <w:tcPr>
            <w:tcW w:w="646" w:type="pct"/>
            <w:vAlign w:val="center"/>
          </w:tcPr>
          <w:p w14:paraId="0FA3042F"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8%</w:t>
            </w:r>
          </w:p>
        </w:tc>
        <w:tc>
          <w:tcPr>
            <w:tcW w:w="1088" w:type="pct"/>
            <w:vAlign w:val="center"/>
          </w:tcPr>
          <w:p w14:paraId="7BE42B5A"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0.077</w:t>
            </w:r>
          </w:p>
        </w:tc>
        <w:tc>
          <w:tcPr>
            <w:tcW w:w="1088" w:type="pct"/>
            <w:vAlign w:val="center"/>
          </w:tcPr>
          <w:p w14:paraId="7B60294E"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0.065</w:t>
            </w:r>
          </w:p>
        </w:tc>
        <w:tc>
          <w:tcPr>
            <w:tcW w:w="1088" w:type="pct"/>
            <w:vAlign w:val="center"/>
          </w:tcPr>
          <w:p w14:paraId="331DA114"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0.068</w:t>
            </w:r>
          </w:p>
        </w:tc>
        <w:tc>
          <w:tcPr>
            <w:tcW w:w="1088" w:type="pct"/>
            <w:vAlign w:val="center"/>
          </w:tcPr>
          <w:p w14:paraId="12B94CF7"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0.069</w:t>
            </w:r>
          </w:p>
        </w:tc>
      </w:tr>
      <w:tr w:rsidR="00DF1095" w14:paraId="2FBE2A01" w14:textId="77777777" w:rsidTr="00DF1095">
        <w:tc>
          <w:tcPr>
            <w:tcW w:w="646" w:type="pct"/>
            <w:tcBorders>
              <w:bottom w:val="single" w:sz="12" w:space="0" w:color="auto"/>
            </w:tcBorders>
            <w:vAlign w:val="center"/>
          </w:tcPr>
          <w:p w14:paraId="1581A06A"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10%</w:t>
            </w:r>
          </w:p>
        </w:tc>
        <w:tc>
          <w:tcPr>
            <w:tcW w:w="1088" w:type="pct"/>
            <w:tcBorders>
              <w:bottom w:val="single" w:sz="12" w:space="0" w:color="auto"/>
            </w:tcBorders>
            <w:vAlign w:val="center"/>
          </w:tcPr>
          <w:p w14:paraId="28F3C964"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0.117</w:t>
            </w:r>
          </w:p>
        </w:tc>
        <w:tc>
          <w:tcPr>
            <w:tcW w:w="1088" w:type="pct"/>
            <w:tcBorders>
              <w:bottom w:val="single" w:sz="12" w:space="0" w:color="auto"/>
            </w:tcBorders>
            <w:vAlign w:val="center"/>
          </w:tcPr>
          <w:p w14:paraId="2B81D4BA"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0.164</w:t>
            </w:r>
          </w:p>
        </w:tc>
        <w:tc>
          <w:tcPr>
            <w:tcW w:w="1088" w:type="pct"/>
            <w:tcBorders>
              <w:bottom w:val="single" w:sz="12" w:space="0" w:color="auto"/>
            </w:tcBorders>
            <w:vAlign w:val="center"/>
          </w:tcPr>
          <w:p w14:paraId="2ECA9D6B"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0.066</w:t>
            </w:r>
          </w:p>
        </w:tc>
        <w:tc>
          <w:tcPr>
            <w:tcW w:w="1088" w:type="pct"/>
            <w:tcBorders>
              <w:bottom w:val="single" w:sz="12" w:space="0" w:color="auto"/>
            </w:tcBorders>
            <w:vAlign w:val="center"/>
          </w:tcPr>
          <w:p w14:paraId="2E05CE0A"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0.102</w:t>
            </w:r>
          </w:p>
        </w:tc>
      </w:tr>
      <w:tr w:rsidR="00DF1095" w14:paraId="35F2D22A" w14:textId="77777777" w:rsidTr="00DF1095">
        <w:tc>
          <w:tcPr>
            <w:tcW w:w="646" w:type="pct"/>
            <w:vMerge w:val="restart"/>
            <w:tcBorders>
              <w:top w:val="single" w:sz="12" w:space="0" w:color="auto"/>
              <w:bottom w:val="single" w:sz="4" w:space="0" w:color="auto"/>
            </w:tcBorders>
            <w:vAlign w:val="center"/>
          </w:tcPr>
          <w:p w14:paraId="2D5E3012"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Sample</w:t>
            </w:r>
          </w:p>
        </w:tc>
        <w:tc>
          <w:tcPr>
            <w:tcW w:w="4354" w:type="pct"/>
            <w:gridSpan w:val="4"/>
            <w:tcBorders>
              <w:top w:val="single" w:sz="12" w:space="0" w:color="auto"/>
              <w:bottom w:val="single" w:sz="4" w:space="0" w:color="auto"/>
            </w:tcBorders>
            <w:vAlign w:val="center"/>
          </w:tcPr>
          <w:p w14:paraId="1166F5DD"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CV of Young</w:t>
            </w:r>
            <w:r w:rsidRPr="00FC6FE8">
              <w:rPr>
                <w:rFonts w:ascii="Times New Roman" w:hAnsi="Times New Roman" w:cs="Times New Roman"/>
                <w:b/>
                <w:bCs/>
              </w:rPr>
              <w:t>’</w:t>
            </w:r>
            <w:r w:rsidRPr="00FC6FE8">
              <w:rPr>
                <w:rFonts w:ascii="Times New Roman" w:hAnsi="Times New Roman" w:cs="Times New Roman" w:hint="eastAsia"/>
                <w:b/>
                <w:bCs/>
              </w:rPr>
              <w:t>s Modulus</w:t>
            </w:r>
          </w:p>
        </w:tc>
      </w:tr>
      <w:tr w:rsidR="00DF1095" w14:paraId="46710C0E" w14:textId="77777777" w:rsidTr="00DF1095">
        <w:tc>
          <w:tcPr>
            <w:tcW w:w="646" w:type="pct"/>
            <w:vMerge/>
            <w:tcBorders>
              <w:top w:val="nil"/>
              <w:bottom w:val="single" w:sz="4" w:space="0" w:color="auto"/>
            </w:tcBorders>
            <w:vAlign w:val="center"/>
          </w:tcPr>
          <w:p w14:paraId="3F75558C" w14:textId="77777777" w:rsidR="00DF1095" w:rsidRPr="00FC6FE8" w:rsidRDefault="00DF1095" w:rsidP="00903C80">
            <w:pPr>
              <w:spacing w:line="480" w:lineRule="auto"/>
              <w:jc w:val="center"/>
              <w:rPr>
                <w:rFonts w:ascii="Times New Roman" w:hAnsi="Times New Roman" w:cs="Times New Roman"/>
                <w:b/>
                <w:bCs/>
              </w:rPr>
            </w:pPr>
          </w:p>
        </w:tc>
        <w:tc>
          <w:tcPr>
            <w:tcW w:w="1088" w:type="pct"/>
            <w:tcBorders>
              <w:top w:val="single" w:sz="4" w:space="0" w:color="auto"/>
              <w:bottom w:val="single" w:sz="4" w:space="0" w:color="auto"/>
            </w:tcBorders>
            <w:vAlign w:val="center"/>
          </w:tcPr>
          <w:p w14:paraId="135FAFDB"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Crest</w:t>
            </w:r>
          </w:p>
        </w:tc>
        <w:tc>
          <w:tcPr>
            <w:tcW w:w="1088" w:type="pct"/>
            <w:tcBorders>
              <w:top w:val="single" w:sz="4" w:space="0" w:color="auto"/>
              <w:bottom w:val="single" w:sz="4" w:space="0" w:color="auto"/>
            </w:tcBorders>
            <w:vAlign w:val="center"/>
          </w:tcPr>
          <w:p w14:paraId="58EA2FC9"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Valley</w:t>
            </w:r>
          </w:p>
        </w:tc>
        <w:tc>
          <w:tcPr>
            <w:tcW w:w="1088" w:type="pct"/>
            <w:tcBorders>
              <w:top w:val="single" w:sz="4" w:space="0" w:color="auto"/>
              <w:bottom w:val="single" w:sz="4" w:space="0" w:color="auto"/>
            </w:tcBorders>
            <w:vAlign w:val="center"/>
          </w:tcPr>
          <w:p w14:paraId="2B3819F2"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Surrounding</w:t>
            </w:r>
          </w:p>
        </w:tc>
        <w:tc>
          <w:tcPr>
            <w:tcW w:w="1088" w:type="pct"/>
            <w:tcBorders>
              <w:top w:val="single" w:sz="4" w:space="0" w:color="auto"/>
              <w:bottom w:val="single" w:sz="4" w:space="0" w:color="auto"/>
            </w:tcBorders>
            <w:vAlign w:val="center"/>
          </w:tcPr>
          <w:p w14:paraId="22483048" w14:textId="77777777" w:rsidR="00DF1095" w:rsidRPr="00FC6FE8" w:rsidRDefault="00DF109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Smooth</w:t>
            </w:r>
          </w:p>
        </w:tc>
      </w:tr>
      <w:tr w:rsidR="00DF1095" w14:paraId="114CEBFB" w14:textId="77777777" w:rsidTr="00DF1095">
        <w:tc>
          <w:tcPr>
            <w:tcW w:w="646" w:type="pct"/>
            <w:tcBorders>
              <w:top w:val="single" w:sz="4" w:space="0" w:color="auto"/>
            </w:tcBorders>
            <w:vAlign w:val="center"/>
          </w:tcPr>
          <w:p w14:paraId="79E83D04"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w:t>
            </w:r>
          </w:p>
        </w:tc>
        <w:tc>
          <w:tcPr>
            <w:tcW w:w="1088" w:type="pct"/>
            <w:tcBorders>
              <w:top w:val="single" w:sz="4" w:space="0" w:color="auto"/>
            </w:tcBorders>
            <w:vAlign w:val="center"/>
          </w:tcPr>
          <w:p w14:paraId="5D79AAAD"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0.136</w:t>
            </w:r>
          </w:p>
        </w:tc>
        <w:tc>
          <w:tcPr>
            <w:tcW w:w="1088" w:type="pct"/>
            <w:tcBorders>
              <w:top w:val="single" w:sz="4" w:space="0" w:color="auto"/>
            </w:tcBorders>
            <w:vAlign w:val="center"/>
          </w:tcPr>
          <w:p w14:paraId="1F95A22A"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0.154</w:t>
            </w:r>
          </w:p>
        </w:tc>
        <w:tc>
          <w:tcPr>
            <w:tcW w:w="1088" w:type="pct"/>
            <w:tcBorders>
              <w:top w:val="single" w:sz="4" w:space="0" w:color="auto"/>
            </w:tcBorders>
            <w:vAlign w:val="center"/>
          </w:tcPr>
          <w:p w14:paraId="4A7AEDA3"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w:t>
            </w:r>
          </w:p>
        </w:tc>
        <w:tc>
          <w:tcPr>
            <w:tcW w:w="1088" w:type="pct"/>
            <w:tcBorders>
              <w:top w:val="single" w:sz="4" w:space="0" w:color="auto"/>
            </w:tcBorders>
            <w:vAlign w:val="center"/>
          </w:tcPr>
          <w:p w14:paraId="68FB71E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0.130</w:t>
            </w:r>
          </w:p>
        </w:tc>
      </w:tr>
      <w:tr w:rsidR="00DF1095" w14:paraId="16C62441" w14:textId="77777777" w:rsidTr="007E5E12">
        <w:tc>
          <w:tcPr>
            <w:tcW w:w="646" w:type="pct"/>
            <w:vAlign w:val="center"/>
          </w:tcPr>
          <w:p w14:paraId="4F05BFD8"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2%</w:t>
            </w:r>
          </w:p>
        </w:tc>
        <w:tc>
          <w:tcPr>
            <w:tcW w:w="1088" w:type="pct"/>
            <w:vAlign w:val="center"/>
          </w:tcPr>
          <w:p w14:paraId="2A9D9C2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0.086</w:t>
            </w:r>
          </w:p>
        </w:tc>
        <w:tc>
          <w:tcPr>
            <w:tcW w:w="1088" w:type="pct"/>
            <w:vAlign w:val="center"/>
          </w:tcPr>
          <w:p w14:paraId="7B7B95F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0.094</w:t>
            </w:r>
          </w:p>
        </w:tc>
        <w:tc>
          <w:tcPr>
            <w:tcW w:w="1088" w:type="pct"/>
            <w:vAlign w:val="center"/>
          </w:tcPr>
          <w:p w14:paraId="4F345DB3"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w:t>
            </w:r>
          </w:p>
        </w:tc>
        <w:tc>
          <w:tcPr>
            <w:tcW w:w="1088" w:type="pct"/>
            <w:vAlign w:val="center"/>
          </w:tcPr>
          <w:p w14:paraId="26FB6E60"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0.088</w:t>
            </w:r>
          </w:p>
        </w:tc>
      </w:tr>
      <w:tr w:rsidR="00DF1095" w14:paraId="50D0CE4E" w14:textId="77777777" w:rsidTr="007E5E12">
        <w:tc>
          <w:tcPr>
            <w:tcW w:w="646" w:type="pct"/>
            <w:vAlign w:val="center"/>
          </w:tcPr>
          <w:p w14:paraId="4A69A11D"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4%</w:t>
            </w:r>
          </w:p>
        </w:tc>
        <w:tc>
          <w:tcPr>
            <w:tcW w:w="1088" w:type="pct"/>
            <w:vAlign w:val="center"/>
          </w:tcPr>
          <w:p w14:paraId="5156A4A9"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0.087</w:t>
            </w:r>
          </w:p>
        </w:tc>
        <w:tc>
          <w:tcPr>
            <w:tcW w:w="1088" w:type="pct"/>
            <w:vAlign w:val="center"/>
          </w:tcPr>
          <w:p w14:paraId="03F7BA0B"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0.079</w:t>
            </w:r>
          </w:p>
        </w:tc>
        <w:tc>
          <w:tcPr>
            <w:tcW w:w="1088" w:type="pct"/>
            <w:vAlign w:val="center"/>
          </w:tcPr>
          <w:p w14:paraId="51A8F8E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w:t>
            </w:r>
          </w:p>
        </w:tc>
        <w:tc>
          <w:tcPr>
            <w:tcW w:w="1088" w:type="pct"/>
            <w:vAlign w:val="center"/>
          </w:tcPr>
          <w:p w14:paraId="5A60DB7A"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0.063</w:t>
            </w:r>
          </w:p>
        </w:tc>
      </w:tr>
      <w:tr w:rsidR="00DF1095" w14:paraId="5CFAA155" w14:textId="77777777" w:rsidTr="007E5E12">
        <w:tc>
          <w:tcPr>
            <w:tcW w:w="646" w:type="pct"/>
            <w:vAlign w:val="center"/>
          </w:tcPr>
          <w:p w14:paraId="75877141"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6%</w:t>
            </w:r>
          </w:p>
        </w:tc>
        <w:tc>
          <w:tcPr>
            <w:tcW w:w="1088" w:type="pct"/>
            <w:vAlign w:val="center"/>
          </w:tcPr>
          <w:p w14:paraId="6810D288"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0.069</w:t>
            </w:r>
          </w:p>
        </w:tc>
        <w:tc>
          <w:tcPr>
            <w:tcW w:w="1088" w:type="pct"/>
            <w:vAlign w:val="center"/>
          </w:tcPr>
          <w:p w14:paraId="68699846"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0.080</w:t>
            </w:r>
          </w:p>
        </w:tc>
        <w:tc>
          <w:tcPr>
            <w:tcW w:w="1088" w:type="pct"/>
            <w:vAlign w:val="center"/>
          </w:tcPr>
          <w:p w14:paraId="3603B2B6"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0.058</w:t>
            </w:r>
          </w:p>
        </w:tc>
        <w:tc>
          <w:tcPr>
            <w:tcW w:w="1088" w:type="pct"/>
            <w:vAlign w:val="center"/>
          </w:tcPr>
          <w:p w14:paraId="46EBBE91"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0.055</w:t>
            </w:r>
          </w:p>
        </w:tc>
      </w:tr>
      <w:tr w:rsidR="00DF1095" w14:paraId="14CBAD32" w14:textId="77777777" w:rsidTr="007E5E12">
        <w:tc>
          <w:tcPr>
            <w:tcW w:w="646" w:type="pct"/>
            <w:vAlign w:val="center"/>
          </w:tcPr>
          <w:p w14:paraId="160C1FDC"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8%</w:t>
            </w:r>
          </w:p>
        </w:tc>
        <w:tc>
          <w:tcPr>
            <w:tcW w:w="1088" w:type="pct"/>
            <w:vAlign w:val="center"/>
          </w:tcPr>
          <w:p w14:paraId="6A2EF690"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0.079</w:t>
            </w:r>
          </w:p>
        </w:tc>
        <w:tc>
          <w:tcPr>
            <w:tcW w:w="1088" w:type="pct"/>
            <w:vAlign w:val="center"/>
          </w:tcPr>
          <w:p w14:paraId="26B5E2A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0.088</w:t>
            </w:r>
          </w:p>
        </w:tc>
        <w:tc>
          <w:tcPr>
            <w:tcW w:w="1088" w:type="pct"/>
            <w:vAlign w:val="center"/>
          </w:tcPr>
          <w:p w14:paraId="2AC41F0B"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0.079</w:t>
            </w:r>
          </w:p>
        </w:tc>
        <w:tc>
          <w:tcPr>
            <w:tcW w:w="1088" w:type="pct"/>
            <w:vAlign w:val="center"/>
          </w:tcPr>
          <w:p w14:paraId="40E7B9B2"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0.093</w:t>
            </w:r>
          </w:p>
        </w:tc>
      </w:tr>
      <w:tr w:rsidR="00DF1095" w14:paraId="1D9ACA58" w14:textId="77777777" w:rsidTr="007E5E12">
        <w:tc>
          <w:tcPr>
            <w:tcW w:w="646" w:type="pct"/>
            <w:vAlign w:val="center"/>
          </w:tcPr>
          <w:p w14:paraId="64C00E3C"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10%</w:t>
            </w:r>
          </w:p>
        </w:tc>
        <w:tc>
          <w:tcPr>
            <w:tcW w:w="1088" w:type="pct"/>
            <w:vAlign w:val="center"/>
          </w:tcPr>
          <w:p w14:paraId="36EF010B"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0.063</w:t>
            </w:r>
          </w:p>
        </w:tc>
        <w:tc>
          <w:tcPr>
            <w:tcW w:w="1088" w:type="pct"/>
            <w:vAlign w:val="center"/>
          </w:tcPr>
          <w:p w14:paraId="0A07D665"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0.086</w:t>
            </w:r>
          </w:p>
        </w:tc>
        <w:tc>
          <w:tcPr>
            <w:tcW w:w="1088" w:type="pct"/>
            <w:vAlign w:val="center"/>
          </w:tcPr>
          <w:p w14:paraId="69B89A89"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0.055</w:t>
            </w:r>
          </w:p>
        </w:tc>
        <w:tc>
          <w:tcPr>
            <w:tcW w:w="1088" w:type="pct"/>
            <w:vAlign w:val="center"/>
          </w:tcPr>
          <w:p w14:paraId="6A0D5C4C" w14:textId="77777777" w:rsidR="00DF1095" w:rsidRPr="00FC6FE8" w:rsidRDefault="00DF1095" w:rsidP="00903C80">
            <w:pPr>
              <w:spacing w:line="480" w:lineRule="auto"/>
              <w:jc w:val="center"/>
              <w:rPr>
                <w:rFonts w:ascii="Times New Roman" w:hAnsi="Times New Roman" w:cs="Times New Roman"/>
              </w:rPr>
            </w:pPr>
            <w:r w:rsidRPr="00FC6FE8">
              <w:rPr>
                <w:rFonts w:ascii="Times New Roman" w:hAnsi="Times New Roman" w:cs="Times New Roman" w:hint="eastAsia"/>
              </w:rPr>
              <w:t>0.068</w:t>
            </w:r>
          </w:p>
        </w:tc>
      </w:tr>
    </w:tbl>
    <w:p w14:paraId="5C064C79" w14:textId="77777777" w:rsidR="00DF1095" w:rsidRDefault="00DF1095" w:rsidP="00903C80">
      <w:pPr>
        <w:spacing w:after="0" w:line="480" w:lineRule="auto"/>
        <w:rPr>
          <w:rFonts w:ascii="Times New Roman" w:hAnsi="Times New Roman" w:cs="Times New Roman"/>
        </w:rPr>
      </w:pPr>
    </w:p>
    <w:p w14:paraId="2DD56F94" w14:textId="77777777" w:rsidR="00DF1095" w:rsidRDefault="00DF1095" w:rsidP="00903C80">
      <w:pPr>
        <w:spacing w:after="0" w:line="480" w:lineRule="auto"/>
        <w:rPr>
          <w:rFonts w:ascii="Times New Roman" w:hAnsi="Times New Roman" w:cs="Times New Roman"/>
        </w:rPr>
      </w:pPr>
    </w:p>
    <w:p w14:paraId="38E5F37C" w14:textId="77777777" w:rsidR="00DF1095" w:rsidRDefault="00DF1095" w:rsidP="00903C80">
      <w:pPr>
        <w:spacing w:after="0" w:line="480" w:lineRule="auto"/>
        <w:rPr>
          <w:rFonts w:ascii="Times New Roman" w:hAnsi="Times New Roman" w:cs="Times New Roman"/>
        </w:rPr>
        <w:sectPr w:rsidR="00DF1095">
          <w:pgSz w:w="12240" w:h="15840"/>
          <w:pgMar w:top="1440" w:right="1440" w:bottom="1440" w:left="1440" w:header="720" w:footer="720" w:gutter="0"/>
          <w:cols w:space="720"/>
          <w:docGrid w:linePitch="360"/>
        </w:sectPr>
      </w:pPr>
    </w:p>
    <w:p w14:paraId="4E9B4CFD" w14:textId="4AE83341" w:rsidR="00982525" w:rsidRPr="000D7C4E" w:rsidRDefault="00982525" w:rsidP="00903C80">
      <w:pPr>
        <w:spacing w:after="0" w:line="480" w:lineRule="auto"/>
        <w:jc w:val="both"/>
        <w:rPr>
          <w:rFonts w:ascii="Times New Roman" w:hAnsi="Times New Roman" w:cs="Times New Roman"/>
          <w:b/>
          <w:bCs/>
        </w:rPr>
      </w:pPr>
      <w:bookmarkStart w:id="20" w:name="_Toc224215296"/>
      <w:r w:rsidRPr="004503FB">
        <w:rPr>
          <w:rStyle w:val="Heading1Char"/>
          <w:rFonts w:ascii="Times New Roman" w:hAnsi="Times New Roman" w:cs="Times New Roman"/>
          <w:b/>
          <w:bCs/>
          <w:color w:val="000000" w:themeColor="text1"/>
          <w:sz w:val="24"/>
          <w:szCs w:val="24"/>
        </w:rPr>
        <w:lastRenderedPageBreak/>
        <w:t>Table S</w:t>
      </w:r>
      <w:r w:rsidR="00FD280D">
        <w:rPr>
          <w:rStyle w:val="Heading1Char"/>
          <w:rFonts w:ascii="Times New Roman" w:hAnsi="Times New Roman" w:cs="Times New Roman" w:hint="eastAsia"/>
          <w:b/>
          <w:bCs/>
          <w:color w:val="000000" w:themeColor="text1"/>
          <w:sz w:val="24"/>
          <w:szCs w:val="24"/>
        </w:rPr>
        <w:t>9</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HOMO-LUMO energy gaps of twelve asphalt molecules and their corresponding WS-biochar-asphalt complexes calculated by DFT</w:t>
      </w:r>
      <w:bookmarkEnd w:id="20"/>
      <w:r w:rsidRPr="000D7C4E">
        <w:rPr>
          <w:rFonts w:ascii="Times New Roman" w:hAnsi="Times New Roman" w:cs="Times New Roman"/>
        </w:rPr>
        <w: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7"/>
        <w:gridCol w:w="2509"/>
        <w:gridCol w:w="2723"/>
        <w:gridCol w:w="2331"/>
      </w:tblGrid>
      <w:tr w:rsidR="00982525" w:rsidRPr="00FC6FE8" w14:paraId="476BEE97" w14:textId="77777777" w:rsidTr="000B58A3">
        <w:tc>
          <w:tcPr>
            <w:tcW w:w="1800" w:type="dxa"/>
            <w:vMerge w:val="restart"/>
            <w:tcBorders>
              <w:top w:val="single" w:sz="12" w:space="0" w:color="auto"/>
            </w:tcBorders>
            <w:vAlign w:val="center"/>
          </w:tcPr>
          <w:p w14:paraId="36E55B67" w14:textId="77777777" w:rsidR="00982525" w:rsidRPr="00FC6FE8" w:rsidRDefault="0098252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Four-component</w:t>
            </w:r>
          </w:p>
        </w:tc>
        <w:tc>
          <w:tcPr>
            <w:tcW w:w="2484" w:type="dxa"/>
            <w:vMerge w:val="restart"/>
            <w:tcBorders>
              <w:top w:val="single" w:sz="12" w:space="0" w:color="auto"/>
            </w:tcBorders>
            <w:vAlign w:val="center"/>
          </w:tcPr>
          <w:p w14:paraId="17F061ED" w14:textId="77777777" w:rsidR="00982525" w:rsidRPr="00FC6FE8" w:rsidRDefault="0098252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M</w:t>
            </w:r>
            <w:r w:rsidRPr="00FC6FE8">
              <w:rPr>
                <w:rFonts w:ascii="Times New Roman" w:hAnsi="Times New Roman" w:cs="Times New Roman"/>
                <w:b/>
                <w:bCs/>
              </w:rPr>
              <w:t>olecule</w:t>
            </w:r>
            <w:r w:rsidRPr="00FC6FE8">
              <w:rPr>
                <w:rFonts w:ascii="Times New Roman" w:hAnsi="Times New Roman" w:cs="Times New Roman" w:hint="eastAsia"/>
                <w:b/>
                <w:bCs/>
              </w:rPr>
              <w:t>s</w:t>
            </w:r>
          </w:p>
        </w:tc>
        <w:tc>
          <w:tcPr>
            <w:tcW w:w="5076" w:type="dxa"/>
            <w:gridSpan w:val="2"/>
            <w:tcBorders>
              <w:top w:val="single" w:sz="12" w:space="0" w:color="auto"/>
              <w:bottom w:val="single" w:sz="4" w:space="0" w:color="auto"/>
            </w:tcBorders>
            <w:vAlign w:val="center"/>
          </w:tcPr>
          <w:p w14:paraId="7BE97CF6" w14:textId="77777777" w:rsidR="00982525" w:rsidRPr="00FC6FE8" w:rsidRDefault="00982525" w:rsidP="00903C80">
            <w:pPr>
              <w:spacing w:line="480" w:lineRule="auto"/>
              <w:jc w:val="center"/>
              <w:rPr>
                <w:rFonts w:ascii="Times New Roman" w:hAnsi="Times New Roman" w:cs="Times New Roman"/>
                <w:b/>
                <w:bCs/>
              </w:rPr>
            </w:pPr>
            <w:r w:rsidRPr="00FC6FE8">
              <w:rPr>
                <w:rFonts w:ascii="Times New Roman" w:hAnsi="Times New Roman" w:cs="Times New Roman"/>
                <w:b/>
                <w:bCs/>
              </w:rPr>
              <w:t>ΔE</w:t>
            </w:r>
            <w:r w:rsidRPr="00FC6FE8">
              <w:rPr>
                <w:rFonts w:ascii="Times New Roman" w:hAnsi="Times New Roman" w:cs="Times New Roman" w:hint="eastAsia"/>
                <w:b/>
                <w:bCs/>
                <w:vertAlign w:val="subscript"/>
              </w:rPr>
              <w:t>HOMO-LUMO</w:t>
            </w:r>
            <w:r w:rsidRPr="00FC6FE8">
              <w:rPr>
                <w:rFonts w:ascii="Times New Roman" w:hAnsi="Times New Roman" w:cs="Times New Roman" w:hint="eastAsia"/>
                <w:b/>
                <w:bCs/>
              </w:rPr>
              <w:t xml:space="preserve"> </w:t>
            </w:r>
            <w:r w:rsidRPr="00FC6FE8">
              <w:rPr>
                <w:rFonts w:ascii="Times New Roman" w:hAnsi="Times New Roman" w:cs="Times New Roman" w:hint="eastAsia"/>
              </w:rPr>
              <w:t>(eV)</w:t>
            </w:r>
          </w:p>
        </w:tc>
      </w:tr>
      <w:tr w:rsidR="00982525" w:rsidRPr="00FC6FE8" w14:paraId="01C9EBE8" w14:textId="77777777" w:rsidTr="000B58A3">
        <w:tc>
          <w:tcPr>
            <w:tcW w:w="1800" w:type="dxa"/>
            <w:vMerge/>
            <w:tcBorders>
              <w:bottom w:val="single" w:sz="4" w:space="0" w:color="auto"/>
            </w:tcBorders>
            <w:vAlign w:val="center"/>
          </w:tcPr>
          <w:p w14:paraId="12ACEF0D" w14:textId="77777777" w:rsidR="00982525" w:rsidRPr="00FC6FE8" w:rsidRDefault="00982525" w:rsidP="00903C80">
            <w:pPr>
              <w:spacing w:line="480" w:lineRule="auto"/>
              <w:jc w:val="center"/>
              <w:rPr>
                <w:rFonts w:ascii="Times New Roman" w:hAnsi="Times New Roman" w:cs="Times New Roman"/>
                <w:b/>
                <w:bCs/>
              </w:rPr>
            </w:pPr>
          </w:p>
        </w:tc>
        <w:tc>
          <w:tcPr>
            <w:tcW w:w="2484" w:type="dxa"/>
            <w:vMerge/>
            <w:tcBorders>
              <w:bottom w:val="single" w:sz="4" w:space="0" w:color="auto"/>
            </w:tcBorders>
            <w:vAlign w:val="center"/>
          </w:tcPr>
          <w:p w14:paraId="0F5B712F" w14:textId="77777777" w:rsidR="00982525" w:rsidRPr="00FC6FE8" w:rsidRDefault="00982525" w:rsidP="00903C80">
            <w:pPr>
              <w:spacing w:line="480" w:lineRule="auto"/>
              <w:jc w:val="center"/>
              <w:rPr>
                <w:rFonts w:ascii="Times New Roman" w:hAnsi="Times New Roman" w:cs="Times New Roman"/>
                <w:b/>
                <w:bCs/>
              </w:rPr>
            </w:pPr>
          </w:p>
        </w:tc>
        <w:tc>
          <w:tcPr>
            <w:tcW w:w="2736" w:type="dxa"/>
            <w:tcBorders>
              <w:top w:val="single" w:sz="4" w:space="0" w:color="auto"/>
              <w:bottom w:val="single" w:sz="4" w:space="0" w:color="auto"/>
            </w:tcBorders>
            <w:vAlign w:val="center"/>
          </w:tcPr>
          <w:p w14:paraId="4211D90A" w14:textId="77777777" w:rsidR="00982525" w:rsidRPr="00FC6FE8" w:rsidRDefault="00982525" w:rsidP="00903C80">
            <w:pPr>
              <w:spacing w:line="480" w:lineRule="auto"/>
              <w:jc w:val="center"/>
              <w:rPr>
                <w:rFonts w:ascii="Times New Roman" w:hAnsi="Times New Roman" w:cs="Times New Roman"/>
                <w:b/>
                <w:bCs/>
              </w:rPr>
            </w:pPr>
            <w:r w:rsidRPr="00FC6FE8">
              <w:rPr>
                <w:rFonts w:ascii="Times New Roman" w:hAnsi="Times New Roman" w:cs="Times New Roman"/>
                <w:b/>
                <w:bCs/>
              </w:rPr>
              <w:t>F</w:t>
            </w:r>
            <w:r w:rsidRPr="00FC6FE8">
              <w:rPr>
                <w:rFonts w:ascii="Times New Roman" w:hAnsi="Times New Roman" w:cs="Times New Roman" w:hint="eastAsia"/>
                <w:b/>
                <w:bCs/>
              </w:rPr>
              <w:t>ree Asphalt</w:t>
            </w:r>
          </w:p>
        </w:tc>
        <w:tc>
          <w:tcPr>
            <w:tcW w:w="2340" w:type="dxa"/>
            <w:tcBorders>
              <w:top w:val="single" w:sz="4" w:space="0" w:color="auto"/>
              <w:bottom w:val="single" w:sz="4" w:space="0" w:color="auto"/>
            </w:tcBorders>
            <w:vAlign w:val="center"/>
          </w:tcPr>
          <w:p w14:paraId="41C01A9E" w14:textId="77777777" w:rsidR="00982525" w:rsidRPr="00FC6FE8" w:rsidRDefault="0098252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Complex</w:t>
            </w:r>
          </w:p>
        </w:tc>
      </w:tr>
      <w:tr w:rsidR="00982525" w:rsidRPr="00FC6FE8" w14:paraId="242CF591" w14:textId="77777777" w:rsidTr="000B58A3">
        <w:tc>
          <w:tcPr>
            <w:tcW w:w="1800" w:type="dxa"/>
            <w:vMerge w:val="restart"/>
            <w:tcBorders>
              <w:top w:val="single" w:sz="4" w:space="0" w:color="auto"/>
            </w:tcBorders>
            <w:vAlign w:val="center"/>
          </w:tcPr>
          <w:p w14:paraId="3A6BC1DA"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Asphaltenes</w:t>
            </w:r>
          </w:p>
        </w:tc>
        <w:tc>
          <w:tcPr>
            <w:tcW w:w="2484" w:type="dxa"/>
            <w:tcBorders>
              <w:top w:val="single" w:sz="4" w:space="0" w:color="auto"/>
            </w:tcBorders>
            <w:vAlign w:val="center"/>
          </w:tcPr>
          <w:p w14:paraId="52F8A63B"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Pyrrole</w:t>
            </w:r>
          </w:p>
        </w:tc>
        <w:tc>
          <w:tcPr>
            <w:tcW w:w="2736" w:type="dxa"/>
            <w:tcBorders>
              <w:top w:val="single" w:sz="4" w:space="0" w:color="auto"/>
            </w:tcBorders>
            <w:vAlign w:val="center"/>
          </w:tcPr>
          <w:p w14:paraId="280E14B4"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2.9607</w:t>
            </w:r>
          </w:p>
        </w:tc>
        <w:tc>
          <w:tcPr>
            <w:tcW w:w="2340" w:type="dxa"/>
            <w:tcBorders>
              <w:top w:val="single" w:sz="4" w:space="0" w:color="auto"/>
            </w:tcBorders>
            <w:vAlign w:val="center"/>
          </w:tcPr>
          <w:p w14:paraId="3F3D0D1D"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1.4112</w:t>
            </w:r>
          </w:p>
        </w:tc>
      </w:tr>
      <w:tr w:rsidR="00982525" w:rsidRPr="00FC6FE8" w14:paraId="17A931EB" w14:textId="77777777" w:rsidTr="000B58A3">
        <w:tc>
          <w:tcPr>
            <w:tcW w:w="1800" w:type="dxa"/>
            <w:vMerge/>
            <w:vAlign w:val="center"/>
          </w:tcPr>
          <w:p w14:paraId="6BD581F5" w14:textId="77777777" w:rsidR="00982525" w:rsidRPr="00FC6FE8" w:rsidRDefault="00982525" w:rsidP="00903C80">
            <w:pPr>
              <w:spacing w:line="480" w:lineRule="auto"/>
              <w:jc w:val="center"/>
              <w:rPr>
                <w:rFonts w:ascii="Times New Roman" w:hAnsi="Times New Roman" w:cs="Times New Roman"/>
              </w:rPr>
            </w:pPr>
          </w:p>
        </w:tc>
        <w:tc>
          <w:tcPr>
            <w:tcW w:w="2484" w:type="dxa"/>
            <w:tcBorders>
              <w:bottom w:val="nil"/>
            </w:tcBorders>
            <w:vAlign w:val="center"/>
          </w:tcPr>
          <w:p w14:paraId="78E77C60"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Phenol</w:t>
            </w:r>
          </w:p>
        </w:tc>
        <w:tc>
          <w:tcPr>
            <w:tcW w:w="2736" w:type="dxa"/>
            <w:tcBorders>
              <w:bottom w:val="nil"/>
            </w:tcBorders>
            <w:vAlign w:val="center"/>
          </w:tcPr>
          <w:p w14:paraId="639B7020"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3.0111</w:t>
            </w:r>
          </w:p>
        </w:tc>
        <w:tc>
          <w:tcPr>
            <w:tcW w:w="2340" w:type="dxa"/>
            <w:tcBorders>
              <w:bottom w:val="nil"/>
            </w:tcBorders>
            <w:vAlign w:val="center"/>
          </w:tcPr>
          <w:p w14:paraId="5D296233"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1.3308</w:t>
            </w:r>
          </w:p>
        </w:tc>
      </w:tr>
      <w:tr w:rsidR="00982525" w:rsidRPr="00FC6FE8" w14:paraId="50E7AB20" w14:textId="77777777" w:rsidTr="000B58A3">
        <w:tc>
          <w:tcPr>
            <w:tcW w:w="1800" w:type="dxa"/>
            <w:vMerge/>
            <w:vAlign w:val="center"/>
          </w:tcPr>
          <w:p w14:paraId="50ECD3B8" w14:textId="77777777" w:rsidR="00982525" w:rsidRPr="00FC6FE8" w:rsidRDefault="00982525" w:rsidP="00903C80">
            <w:pPr>
              <w:spacing w:line="480" w:lineRule="auto"/>
              <w:jc w:val="center"/>
              <w:rPr>
                <w:rFonts w:ascii="Times New Roman" w:hAnsi="Times New Roman" w:cs="Times New Roman"/>
              </w:rPr>
            </w:pPr>
          </w:p>
        </w:tc>
        <w:tc>
          <w:tcPr>
            <w:tcW w:w="2484" w:type="dxa"/>
            <w:tcBorders>
              <w:top w:val="nil"/>
              <w:bottom w:val="single" w:sz="4" w:space="0" w:color="auto"/>
            </w:tcBorders>
            <w:vAlign w:val="center"/>
          </w:tcPr>
          <w:p w14:paraId="28832165"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Thiophene</w:t>
            </w:r>
          </w:p>
        </w:tc>
        <w:tc>
          <w:tcPr>
            <w:tcW w:w="2736" w:type="dxa"/>
            <w:tcBorders>
              <w:top w:val="nil"/>
              <w:bottom w:val="single" w:sz="4" w:space="0" w:color="auto"/>
            </w:tcBorders>
            <w:vAlign w:val="center"/>
          </w:tcPr>
          <w:p w14:paraId="49A4FA94"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3.2385</w:t>
            </w:r>
          </w:p>
        </w:tc>
        <w:tc>
          <w:tcPr>
            <w:tcW w:w="2340" w:type="dxa"/>
            <w:tcBorders>
              <w:top w:val="nil"/>
              <w:bottom w:val="single" w:sz="4" w:space="0" w:color="auto"/>
            </w:tcBorders>
            <w:vAlign w:val="center"/>
          </w:tcPr>
          <w:p w14:paraId="592DE644"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1.4098</w:t>
            </w:r>
          </w:p>
        </w:tc>
      </w:tr>
      <w:tr w:rsidR="00982525" w:rsidRPr="00FC6FE8" w14:paraId="7EB3041F" w14:textId="77777777" w:rsidTr="000B58A3">
        <w:tc>
          <w:tcPr>
            <w:tcW w:w="1800" w:type="dxa"/>
            <w:vMerge w:val="restart"/>
            <w:vAlign w:val="center"/>
          </w:tcPr>
          <w:p w14:paraId="629CBE18"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Naphthene</w:t>
            </w:r>
          </w:p>
          <w:p w14:paraId="323585E5"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Aromatics</w:t>
            </w:r>
          </w:p>
        </w:tc>
        <w:tc>
          <w:tcPr>
            <w:tcW w:w="2484" w:type="dxa"/>
            <w:tcBorders>
              <w:top w:val="single" w:sz="4" w:space="0" w:color="auto"/>
              <w:bottom w:val="nil"/>
            </w:tcBorders>
            <w:vAlign w:val="center"/>
          </w:tcPr>
          <w:p w14:paraId="4A5E809A"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PHPN</w:t>
            </w:r>
          </w:p>
        </w:tc>
        <w:tc>
          <w:tcPr>
            <w:tcW w:w="2736" w:type="dxa"/>
            <w:tcBorders>
              <w:top w:val="single" w:sz="4" w:space="0" w:color="auto"/>
              <w:bottom w:val="nil"/>
            </w:tcBorders>
            <w:vAlign w:val="center"/>
          </w:tcPr>
          <w:p w14:paraId="267868B1"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4.4535</w:t>
            </w:r>
          </w:p>
        </w:tc>
        <w:tc>
          <w:tcPr>
            <w:tcW w:w="2340" w:type="dxa"/>
            <w:tcBorders>
              <w:top w:val="single" w:sz="4" w:space="0" w:color="auto"/>
              <w:bottom w:val="nil"/>
            </w:tcBorders>
            <w:vAlign w:val="center"/>
          </w:tcPr>
          <w:p w14:paraId="7455127C"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1.2892</w:t>
            </w:r>
          </w:p>
        </w:tc>
      </w:tr>
      <w:tr w:rsidR="00982525" w:rsidRPr="00FC6FE8" w14:paraId="5AF56EB2" w14:textId="77777777" w:rsidTr="000B58A3">
        <w:tc>
          <w:tcPr>
            <w:tcW w:w="1800" w:type="dxa"/>
            <w:vMerge/>
            <w:vAlign w:val="center"/>
          </w:tcPr>
          <w:p w14:paraId="34B21AD0" w14:textId="77777777" w:rsidR="00982525" w:rsidRPr="00FC6FE8" w:rsidRDefault="00982525" w:rsidP="00903C80">
            <w:pPr>
              <w:spacing w:line="480" w:lineRule="auto"/>
              <w:jc w:val="center"/>
              <w:rPr>
                <w:rFonts w:ascii="Times New Roman" w:hAnsi="Times New Roman" w:cs="Times New Roman"/>
              </w:rPr>
            </w:pPr>
          </w:p>
        </w:tc>
        <w:tc>
          <w:tcPr>
            <w:tcW w:w="2484" w:type="dxa"/>
            <w:tcBorders>
              <w:top w:val="nil"/>
              <w:bottom w:val="single" w:sz="4" w:space="0" w:color="auto"/>
            </w:tcBorders>
            <w:vAlign w:val="center"/>
          </w:tcPr>
          <w:p w14:paraId="2FBB79A7"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DOCHN</w:t>
            </w:r>
          </w:p>
        </w:tc>
        <w:tc>
          <w:tcPr>
            <w:tcW w:w="2736" w:type="dxa"/>
            <w:tcBorders>
              <w:top w:val="nil"/>
              <w:bottom w:val="single" w:sz="4" w:space="0" w:color="auto"/>
            </w:tcBorders>
            <w:vAlign w:val="center"/>
          </w:tcPr>
          <w:p w14:paraId="4636B836"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4.4507</w:t>
            </w:r>
          </w:p>
        </w:tc>
        <w:tc>
          <w:tcPr>
            <w:tcW w:w="2340" w:type="dxa"/>
            <w:tcBorders>
              <w:top w:val="nil"/>
              <w:bottom w:val="single" w:sz="4" w:space="0" w:color="auto"/>
            </w:tcBorders>
            <w:vAlign w:val="center"/>
          </w:tcPr>
          <w:p w14:paraId="3C45C077"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0.4041</w:t>
            </w:r>
          </w:p>
        </w:tc>
      </w:tr>
      <w:tr w:rsidR="00982525" w:rsidRPr="00FC6FE8" w14:paraId="7661B222" w14:textId="77777777" w:rsidTr="000B58A3">
        <w:tc>
          <w:tcPr>
            <w:tcW w:w="1800" w:type="dxa"/>
            <w:vMerge w:val="restart"/>
            <w:vAlign w:val="center"/>
          </w:tcPr>
          <w:p w14:paraId="14A477DC"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Saturates</w:t>
            </w:r>
          </w:p>
        </w:tc>
        <w:tc>
          <w:tcPr>
            <w:tcW w:w="2484" w:type="dxa"/>
            <w:tcBorders>
              <w:top w:val="single" w:sz="4" w:space="0" w:color="auto"/>
              <w:bottom w:val="nil"/>
            </w:tcBorders>
            <w:vAlign w:val="center"/>
          </w:tcPr>
          <w:p w14:paraId="0496FA8F"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Hopane</w:t>
            </w:r>
          </w:p>
        </w:tc>
        <w:tc>
          <w:tcPr>
            <w:tcW w:w="2736" w:type="dxa"/>
            <w:tcBorders>
              <w:top w:val="single" w:sz="4" w:space="0" w:color="auto"/>
              <w:bottom w:val="nil"/>
            </w:tcBorders>
            <w:vAlign w:val="center"/>
          </w:tcPr>
          <w:p w14:paraId="2F16E5F0"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8.4705</w:t>
            </w:r>
          </w:p>
        </w:tc>
        <w:tc>
          <w:tcPr>
            <w:tcW w:w="2340" w:type="dxa"/>
            <w:tcBorders>
              <w:top w:val="single" w:sz="4" w:space="0" w:color="auto"/>
              <w:bottom w:val="nil"/>
            </w:tcBorders>
            <w:vAlign w:val="center"/>
          </w:tcPr>
          <w:p w14:paraId="1C80058D"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1.3831</w:t>
            </w:r>
          </w:p>
        </w:tc>
      </w:tr>
      <w:tr w:rsidR="00982525" w:rsidRPr="00FC6FE8" w14:paraId="306B3DB1" w14:textId="77777777" w:rsidTr="000B58A3">
        <w:tc>
          <w:tcPr>
            <w:tcW w:w="1800" w:type="dxa"/>
            <w:vMerge/>
            <w:vAlign w:val="center"/>
          </w:tcPr>
          <w:p w14:paraId="1CFBC03C" w14:textId="77777777" w:rsidR="00982525" w:rsidRPr="00FC6FE8" w:rsidRDefault="00982525" w:rsidP="00903C80">
            <w:pPr>
              <w:spacing w:line="480" w:lineRule="auto"/>
              <w:jc w:val="center"/>
              <w:rPr>
                <w:rFonts w:ascii="Times New Roman" w:hAnsi="Times New Roman" w:cs="Times New Roman"/>
              </w:rPr>
            </w:pPr>
          </w:p>
        </w:tc>
        <w:tc>
          <w:tcPr>
            <w:tcW w:w="2484" w:type="dxa"/>
            <w:tcBorders>
              <w:top w:val="nil"/>
              <w:bottom w:val="single" w:sz="4" w:space="0" w:color="auto"/>
            </w:tcBorders>
            <w:vAlign w:val="center"/>
          </w:tcPr>
          <w:p w14:paraId="010A7745"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Squalane</w:t>
            </w:r>
          </w:p>
        </w:tc>
        <w:tc>
          <w:tcPr>
            <w:tcW w:w="2736" w:type="dxa"/>
            <w:tcBorders>
              <w:top w:val="nil"/>
              <w:bottom w:val="single" w:sz="4" w:space="0" w:color="auto"/>
            </w:tcBorders>
            <w:vAlign w:val="center"/>
          </w:tcPr>
          <w:p w14:paraId="098E51C2"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9.3028</w:t>
            </w:r>
          </w:p>
        </w:tc>
        <w:tc>
          <w:tcPr>
            <w:tcW w:w="2340" w:type="dxa"/>
            <w:tcBorders>
              <w:top w:val="nil"/>
              <w:bottom w:val="single" w:sz="4" w:space="0" w:color="auto"/>
            </w:tcBorders>
            <w:vAlign w:val="center"/>
          </w:tcPr>
          <w:p w14:paraId="33E34217"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0.4120</w:t>
            </w:r>
          </w:p>
        </w:tc>
      </w:tr>
      <w:tr w:rsidR="00982525" w:rsidRPr="00FC6FE8" w14:paraId="510EC9EE" w14:textId="77777777" w:rsidTr="000B58A3">
        <w:tc>
          <w:tcPr>
            <w:tcW w:w="1800" w:type="dxa"/>
            <w:vMerge w:val="restart"/>
            <w:vAlign w:val="center"/>
          </w:tcPr>
          <w:p w14:paraId="1D2A7C84"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Polar Aromatics</w:t>
            </w:r>
          </w:p>
          <w:p w14:paraId="01F7A18C"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(Resin)</w:t>
            </w:r>
          </w:p>
        </w:tc>
        <w:tc>
          <w:tcPr>
            <w:tcW w:w="2484" w:type="dxa"/>
            <w:tcBorders>
              <w:top w:val="single" w:sz="4" w:space="0" w:color="auto"/>
              <w:bottom w:val="nil"/>
            </w:tcBorders>
            <w:vAlign w:val="center"/>
          </w:tcPr>
          <w:p w14:paraId="13FD1B91"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Pyridinohopane</w:t>
            </w:r>
          </w:p>
        </w:tc>
        <w:tc>
          <w:tcPr>
            <w:tcW w:w="2736" w:type="dxa"/>
            <w:tcBorders>
              <w:top w:val="single" w:sz="4" w:space="0" w:color="auto"/>
              <w:bottom w:val="nil"/>
            </w:tcBorders>
            <w:vAlign w:val="center"/>
          </w:tcPr>
          <w:p w14:paraId="70173F23"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3.6258</w:t>
            </w:r>
          </w:p>
        </w:tc>
        <w:tc>
          <w:tcPr>
            <w:tcW w:w="2340" w:type="dxa"/>
            <w:tcBorders>
              <w:top w:val="single" w:sz="4" w:space="0" w:color="auto"/>
              <w:bottom w:val="nil"/>
            </w:tcBorders>
            <w:vAlign w:val="center"/>
          </w:tcPr>
          <w:p w14:paraId="46DE166A"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1.4182</w:t>
            </w:r>
          </w:p>
        </w:tc>
      </w:tr>
      <w:tr w:rsidR="00982525" w:rsidRPr="00FC6FE8" w14:paraId="4D6C31F0" w14:textId="77777777" w:rsidTr="000B58A3">
        <w:tc>
          <w:tcPr>
            <w:tcW w:w="1800" w:type="dxa"/>
            <w:vMerge/>
            <w:vAlign w:val="center"/>
          </w:tcPr>
          <w:p w14:paraId="3F659F1B" w14:textId="77777777" w:rsidR="00982525" w:rsidRPr="00FC6FE8" w:rsidRDefault="00982525" w:rsidP="00903C80">
            <w:pPr>
              <w:spacing w:line="480" w:lineRule="auto"/>
              <w:jc w:val="center"/>
              <w:rPr>
                <w:rFonts w:ascii="Times New Roman" w:hAnsi="Times New Roman" w:cs="Times New Roman"/>
              </w:rPr>
            </w:pPr>
          </w:p>
        </w:tc>
        <w:tc>
          <w:tcPr>
            <w:tcW w:w="2484" w:type="dxa"/>
            <w:tcBorders>
              <w:top w:val="nil"/>
            </w:tcBorders>
            <w:vAlign w:val="center"/>
          </w:tcPr>
          <w:p w14:paraId="38959B03"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Quinolinohopane</w:t>
            </w:r>
          </w:p>
        </w:tc>
        <w:tc>
          <w:tcPr>
            <w:tcW w:w="2736" w:type="dxa"/>
            <w:tcBorders>
              <w:top w:val="nil"/>
            </w:tcBorders>
            <w:vAlign w:val="center"/>
          </w:tcPr>
          <w:p w14:paraId="5E689183"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4.7185</w:t>
            </w:r>
          </w:p>
        </w:tc>
        <w:tc>
          <w:tcPr>
            <w:tcW w:w="2340" w:type="dxa"/>
            <w:tcBorders>
              <w:top w:val="nil"/>
            </w:tcBorders>
            <w:vAlign w:val="center"/>
          </w:tcPr>
          <w:p w14:paraId="6CA33D1B"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0.4103</w:t>
            </w:r>
          </w:p>
        </w:tc>
      </w:tr>
      <w:tr w:rsidR="00982525" w:rsidRPr="00FC6FE8" w14:paraId="3423657D" w14:textId="77777777" w:rsidTr="000B58A3">
        <w:tc>
          <w:tcPr>
            <w:tcW w:w="1800" w:type="dxa"/>
            <w:vMerge/>
            <w:vAlign w:val="center"/>
          </w:tcPr>
          <w:p w14:paraId="4AC4AB10" w14:textId="77777777" w:rsidR="00982525" w:rsidRPr="00FC6FE8" w:rsidRDefault="00982525" w:rsidP="00903C80">
            <w:pPr>
              <w:spacing w:line="480" w:lineRule="auto"/>
              <w:jc w:val="center"/>
              <w:rPr>
                <w:rFonts w:ascii="Times New Roman" w:hAnsi="Times New Roman" w:cs="Times New Roman"/>
              </w:rPr>
            </w:pPr>
          </w:p>
        </w:tc>
        <w:tc>
          <w:tcPr>
            <w:tcW w:w="2484" w:type="dxa"/>
            <w:vAlign w:val="center"/>
          </w:tcPr>
          <w:p w14:paraId="75E36DB6"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Benzobisbenzothiopene</w:t>
            </w:r>
          </w:p>
        </w:tc>
        <w:tc>
          <w:tcPr>
            <w:tcW w:w="2736" w:type="dxa"/>
            <w:vAlign w:val="center"/>
          </w:tcPr>
          <w:p w14:paraId="30F4C459"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4.2586</w:t>
            </w:r>
          </w:p>
        </w:tc>
        <w:tc>
          <w:tcPr>
            <w:tcW w:w="2340" w:type="dxa"/>
            <w:vAlign w:val="center"/>
          </w:tcPr>
          <w:p w14:paraId="391D4D18"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1.2479</w:t>
            </w:r>
          </w:p>
        </w:tc>
      </w:tr>
      <w:tr w:rsidR="00982525" w:rsidRPr="00FC6FE8" w14:paraId="26FA60F9" w14:textId="77777777" w:rsidTr="000B58A3">
        <w:trPr>
          <w:trHeight w:val="62"/>
        </w:trPr>
        <w:tc>
          <w:tcPr>
            <w:tcW w:w="1800" w:type="dxa"/>
            <w:vMerge/>
            <w:vAlign w:val="center"/>
          </w:tcPr>
          <w:p w14:paraId="4CF94919" w14:textId="77777777" w:rsidR="00982525" w:rsidRPr="00FC6FE8" w:rsidRDefault="00982525" w:rsidP="00903C80">
            <w:pPr>
              <w:spacing w:line="480" w:lineRule="auto"/>
              <w:jc w:val="center"/>
              <w:rPr>
                <w:rFonts w:ascii="Times New Roman" w:hAnsi="Times New Roman" w:cs="Times New Roman"/>
              </w:rPr>
            </w:pPr>
          </w:p>
        </w:tc>
        <w:tc>
          <w:tcPr>
            <w:tcW w:w="2484" w:type="dxa"/>
            <w:vAlign w:val="center"/>
          </w:tcPr>
          <w:p w14:paraId="12761203"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Trimethylbenzene-oxane</w:t>
            </w:r>
          </w:p>
        </w:tc>
        <w:tc>
          <w:tcPr>
            <w:tcW w:w="2736" w:type="dxa"/>
            <w:vAlign w:val="center"/>
          </w:tcPr>
          <w:p w14:paraId="569DACF8"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6.1239</w:t>
            </w:r>
          </w:p>
        </w:tc>
        <w:tc>
          <w:tcPr>
            <w:tcW w:w="2340" w:type="dxa"/>
            <w:vAlign w:val="center"/>
          </w:tcPr>
          <w:p w14:paraId="7A01828D"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0.4375</w:t>
            </w:r>
          </w:p>
        </w:tc>
      </w:tr>
      <w:tr w:rsidR="00982525" w:rsidRPr="00FC6FE8" w14:paraId="138FB33C" w14:textId="77777777" w:rsidTr="000B58A3">
        <w:trPr>
          <w:trHeight w:val="242"/>
        </w:trPr>
        <w:tc>
          <w:tcPr>
            <w:tcW w:w="1800" w:type="dxa"/>
            <w:vMerge/>
            <w:tcBorders>
              <w:bottom w:val="single" w:sz="12" w:space="0" w:color="auto"/>
            </w:tcBorders>
            <w:vAlign w:val="center"/>
          </w:tcPr>
          <w:p w14:paraId="6E66ECC6" w14:textId="77777777" w:rsidR="00982525" w:rsidRPr="00FC6FE8" w:rsidRDefault="00982525" w:rsidP="00903C80">
            <w:pPr>
              <w:spacing w:line="480" w:lineRule="auto"/>
              <w:jc w:val="center"/>
              <w:rPr>
                <w:rFonts w:ascii="Times New Roman" w:hAnsi="Times New Roman" w:cs="Times New Roman"/>
              </w:rPr>
            </w:pPr>
          </w:p>
        </w:tc>
        <w:tc>
          <w:tcPr>
            <w:tcW w:w="2484" w:type="dxa"/>
            <w:tcBorders>
              <w:bottom w:val="single" w:sz="12" w:space="0" w:color="auto"/>
            </w:tcBorders>
            <w:vAlign w:val="center"/>
          </w:tcPr>
          <w:p w14:paraId="7D964A3B"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Thioisorenieratane</w:t>
            </w:r>
          </w:p>
        </w:tc>
        <w:tc>
          <w:tcPr>
            <w:tcW w:w="2736" w:type="dxa"/>
            <w:tcBorders>
              <w:bottom w:val="single" w:sz="12" w:space="0" w:color="auto"/>
            </w:tcBorders>
            <w:vAlign w:val="center"/>
          </w:tcPr>
          <w:p w14:paraId="09AAC5A1"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5.5653</w:t>
            </w:r>
          </w:p>
        </w:tc>
        <w:tc>
          <w:tcPr>
            <w:tcW w:w="2340" w:type="dxa"/>
            <w:tcBorders>
              <w:bottom w:val="single" w:sz="12" w:space="0" w:color="auto"/>
            </w:tcBorders>
            <w:vAlign w:val="center"/>
          </w:tcPr>
          <w:p w14:paraId="776C5F44"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0.4196</w:t>
            </w:r>
          </w:p>
        </w:tc>
      </w:tr>
    </w:tbl>
    <w:p w14:paraId="2AA3B45C" w14:textId="77777777" w:rsidR="00982525" w:rsidRDefault="00982525" w:rsidP="00903C80">
      <w:pPr>
        <w:spacing w:after="0" w:line="480" w:lineRule="auto"/>
        <w:rPr>
          <w:rFonts w:ascii="Times New Roman" w:hAnsi="Times New Roman" w:cs="Times New Roman"/>
        </w:rPr>
      </w:pPr>
    </w:p>
    <w:p w14:paraId="0834C01B" w14:textId="77777777" w:rsidR="00982525" w:rsidRDefault="00982525" w:rsidP="00903C80">
      <w:pPr>
        <w:spacing w:after="0" w:line="480" w:lineRule="auto"/>
        <w:rPr>
          <w:rFonts w:ascii="Times New Roman" w:hAnsi="Times New Roman" w:cs="Times New Roman"/>
        </w:rPr>
      </w:pPr>
    </w:p>
    <w:p w14:paraId="5D0796C4" w14:textId="77777777" w:rsidR="009E1831" w:rsidRDefault="009E1831" w:rsidP="00903C80">
      <w:pPr>
        <w:spacing w:after="0" w:line="480" w:lineRule="auto"/>
        <w:rPr>
          <w:rFonts w:ascii="Times New Roman" w:hAnsi="Times New Roman" w:cs="Times New Roman"/>
        </w:rPr>
        <w:sectPr w:rsidR="009E1831">
          <w:pgSz w:w="12240" w:h="15840"/>
          <w:pgMar w:top="1440" w:right="1440" w:bottom="1440" w:left="1440" w:header="720" w:footer="720" w:gutter="0"/>
          <w:cols w:space="720"/>
          <w:docGrid w:linePitch="360"/>
        </w:sectPr>
      </w:pPr>
    </w:p>
    <w:p w14:paraId="6A228FD2" w14:textId="4453783E" w:rsidR="00982525" w:rsidRPr="000D7C4E" w:rsidRDefault="00982525" w:rsidP="00903C80">
      <w:pPr>
        <w:spacing w:after="0" w:line="480" w:lineRule="auto"/>
        <w:jc w:val="both"/>
        <w:rPr>
          <w:rFonts w:ascii="Times New Roman" w:hAnsi="Times New Roman" w:cs="Times New Roman"/>
          <w:b/>
          <w:bCs/>
        </w:rPr>
      </w:pPr>
      <w:bookmarkStart w:id="21" w:name="_Toc224215297"/>
      <w:r w:rsidRPr="004503FB">
        <w:rPr>
          <w:rStyle w:val="Heading1Char"/>
          <w:rFonts w:ascii="Times New Roman" w:hAnsi="Times New Roman" w:cs="Times New Roman"/>
          <w:b/>
          <w:bCs/>
          <w:color w:val="000000" w:themeColor="text1"/>
          <w:sz w:val="24"/>
          <w:szCs w:val="24"/>
        </w:rPr>
        <w:lastRenderedPageBreak/>
        <w:t>Table S</w:t>
      </w:r>
      <w:r w:rsidR="00FD280D">
        <w:rPr>
          <w:rStyle w:val="Heading1Char"/>
          <w:rFonts w:ascii="Times New Roman" w:hAnsi="Times New Roman" w:cs="Times New Roman" w:hint="eastAsia"/>
          <w:b/>
          <w:bCs/>
          <w:color w:val="000000" w:themeColor="text1"/>
          <w:sz w:val="24"/>
          <w:szCs w:val="24"/>
        </w:rPr>
        <w:t>10</w:t>
      </w:r>
      <w:r w:rsidRPr="004503FB">
        <w:rPr>
          <w:rStyle w:val="Heading1Char"/>
          <w:rFonts w:ascii="Times New Roman" w:hAnsi="Times New Roman" w:cs="Times New Roman"/>
          <w:b/>
          <w:bCs/>
          <w:color w:val="000000" w:themeColor="text1"/>
          <w:sz w:val="24"/>
          <w:szCs w:val="24"/>
        </w:rPr>
        <w:t>.</w:t>
      </w:r>
      <w:r w:rsidRPr="004503FB">
        <w:rPr>
          <w:rStyle w:val="Heading1Char"/>
          <w:rFonts w:ascii="Times New Roman" w:hAnsi="Times New Roman" w:cs="Times New Roman"/>
          <w:color w:val="000000" w:themeColor="text1"/>
          <w:sz w:val="24"/>
          <w:szCs w:val="24"/>
        </w:rPr>
        <w:t xml:space="preserve"> Calculated dipole moments of representative asphalt molecules and their corresponding WS-biochar-asphalt complexes obtained from DFT calculations</w:t>
      </w:r>
      <w:bookmarkEnd w:id="21"/>
      <w:r w:rsidRPr="000D7C4E">
        <w:rPr>
          <w:rFonts w:ascii="Times New Roman" w:hAnsi="Times New Roman" w:cs="Times New Roman"/>
        </w:rPr>
        <w: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7"/>
        <w:gridCol w:w="2509"/>
        <w:gridCol w:w="2723"/>
        <w:gridCol w:w="2331"/>
      </w:tblGrid>
      <w:tr w:rsidR="00982525" w14:paraId="202C6B21" w14:textId="77777777" w:rsidTr="000B58A3">
        <w:tc>
          <w:tcPr>
            <w:tcW w:w="1800" w:type="dxa"/>
            <w:vMerge w:val="restart"/>
            <w:tcBorders>
              <w:top w:val="single" w:sz="12" w:space="0" w:color="auto"/>
            </w:tcBorders>
            <w:vAlign w:val="center"/>
          </w:tcPr>
          <w:p w14:paraId="4AF467D2" w14:textId="77777777" w:rsidR="00982525" w:rsidRPr="00FC6FE8" w:rsidRDefault="0098252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Four-component</w:t>
            </w:r>
          </w:p>
        </w:tc>
        <w:tc>
          <w:tcPr>
            <w:tcW w:w="2484" w:type="dxa"/>
            <w:vMerge w:val="restart"/>
            <w:tcBorders>
              <w:top w:val="single" w:sz="12" w:space="0" w:color="auto"/>
            </w:tcBorders>
            <w:vAlign w:val="center"/>
          </w:tcPr>
          <w:p w14:paraId="1D3FB8C9" w14:textId="77777777" w:rsidR="00982525" w:rsidRPr="00FC6FE8" w:rsidRDefault="0098252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M</w:t>
            </w:r>
            <w:r w:rsidRPr="00FC6FE8">
              <w:rPr>
                <w:rFonts w:ascii="Times New Roman" w:hAnsi="Times New Roman" w:cs="Times New Roman"/>
                <w:b/>
                <w:bCs/>
              </w:rPr>
              <w:t>olecule</w:t>
            </w:r>
            <w:r w:rsidRPr="00FC6FE8">
              <w:rPr>
                <w:rFonts w:ascii="Times New Roman" w:hAnsi="Times New Roman" w:cs="Times New Roman" w:hint="eastAsia"/>
                <w:b/>
                <w:bCs/>
              </w:rPr>
              <w:t>s</w:t>
            </w:r>
          </w:p>
        </w:tc>
        <w:tc>
          <w:tcPr>
            <w:tcW w:w="5076" w:type="dxa"/>
            <w:gridSpan w:val="2"/>
            <w:tcBorders>
              <w:top w:val="single" w:sz="12" w:space="0" w:color="auto"/>
              <w:bottom w:val="single" w:sz="4" w:space="0" w:color="auto"/>
            </w:tcBorders>
            <w:vAlign w:val="center"/>
          </w:tcPr>
          <w:p w14:paraId="30A0B42A" w14:textId="77777777" w:rsidR="00982525" w:rsidRPr="00FC6FE8" w:rsidRDefault="0098252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 xml:space="preserve">Dipole moment </w:t>
            </w:r>
            <w:r w:rsidRPr="00FC6FE8">
              <w:rPr>
                <w:rFonts w:ascii="Times New Roman" w:hAnsi="Times New Roman" w:cs="Times New Roman" w:hint="eastAsia"/>
              </w:rPr>
              <w:t>(</w:t>
            </w:r>
            <w:r w:rsidRPr="00FC6FE8">
              <w:rPr>
                <w:rFonts w:ascii="Times New Roman" w:hAnsi="Times New Roman" w:cs="Times New Roman"/>
              </w:rPr>
              <w:t>Debye</w:t>
            </w:r>
            <w:r w:rsidRPr="00FC6FE8">
              <w:rPr>
                <w:rFonts w:ascii="Times New Roman" w:hAnsi="Times New Roman" w:cs="Times New Roman" w:hint="eastAsia"/>
              </w:rPr>
              <w:t>)</w:t>
            </w:r>
          </w:p>
        </w:tc>
      </w:tr>
      <w:tr w:rsidR="00982525" w14:paraId="437AB293" w14:textId="77777777" w:rsidTr="000B58A3">
        <w:tc>
          <w:tcPr>
            <w:tcW w:w="1800" w:type="dxa"/>
            <w:vMerge/>
            <w:tcBorders>
              <w:bottom w:val="single" w:sz="4" w:space="0" w:color="auto"/>
            </w:tcBorders>
            <w:vAlign w:val="center"/>
          </w:tcPr>
          <w:p w14:paraId="6316897B" w14:textId="77777777" w:rsidR="00982525" w:rsidRPr="00FC6FE8" w:rsidRDefault="00982525" w:rsidP="00903C80">
            <w:pPr>
              <w:spacing w:line="480" w:lineRule="auto"/>
              <w:jc w:val="center"/>
              <w:rPr>
                <w:rFonts w:ascii="Times New Roman" w:hAnsi="Times New Roman" w:cs="Times New Roman"/>
                <w:b/>
                <w:bCs/>
              </w:rPr>
            </w:pPr>
          </w:p>
        </w:tc>
        <w:tc>
          <w:tcPr>
            <w:tcW w:w="2484" w:type="dxa"/>
            <w:vMerge/>
            <w:tcBorders>
              <w:bottom w:val="single" w:sz="4" w:space="0" w:color="auto"/>
            </w:tcBorders>
            <w:vAlign w:val="center"/>
          </w:tcPr>
          <w:p w14:paraId="72A5323C" w14:textId="77777777" w:rsidR="00982525" w:rsidRPr="00FC6FE8" w:rsidRDefault="00982525" w:rsidP="00903C80">
            <w:pPr>
              <w:spacing w:line="480" w:lineRule="auto"/>
              <w:jc w:val="center"/>
              <w:rPr>
                <w:rFonts w:ascii="Times New Roman" w:hAnsi="Times New Roman" w:cs="Times New Roman"/>
                <w:b/>
                <w:bCs/>
              </w:rPr>
            </w:pPr>
          </w:p>
        </w:tc>
        <w:tc>
          <w:tcPr>
            <w:tcW w:w="2736" w:type="dxa"/>
            <w:tcBorders>
              <w:top w:val="single" w:sz="4" w:space="0" w:color="auto"/>
              <w:bottom w:val="single" w:sz="4" w:space="0" w:color="auto"/>
            </w:tcBorders>
            <w:vAlign w:val="center"/>
          </w:tcPr>
          <w:p w14:paraId="46851FFB" w14:textId="77777777" w:rsidR="00982525" w:rsidRPr="00FC6FE8" w:rsidRDefault="00982525" w:rsidP="00903C80">
            <w:pPr>
              <w:spacing w:line="480" w:lineRule="auto"/>
              <w:jc w:val="center"/>
              <w:rPr>
                <w:rFonts w:ascii="Times New Roman" w:hAnsi="Times New Roman" w:cs="Times New Roman"/>
                <w:b/>
                <w:bCs/>
              </w:rPr>
            </w:pPr>
            <w:r w:rsidRPr="00FC6FE8">
              <w:rPr>
                <w:rFonts w:ascii="Times New Roman" w:hAnsi="Times New Roman" w:cs="Times New Roman"/>
                <w:b/>
                <w:bCs/>
              </w:rPr>
              <w:t>F</w:t>
            </w:r>
            <w:r w:rsidRPr="00FC6FE8">
              <w:rPr>
                <w:rFonts w:ascii="Times New Roman" w:hAnsi="Times New Roman" w:cs="Times New Roman" w:hint="eastAsia"/>
                <w:b/>
                <w:bCs/>
              </w:rPr>
              <w:t>ree Asphalt</w:t>
            </w:r>
          </w:p>
        </w:tc>
        <w:tc>
          <w:tcPr>
            <w:tcW w:w="2340" w:type="dxa"/>
            <w:tcBorders>
              <w:top w:val="single" w:sz="4" w:space="0" w:color="auto"/>
              <w:bottom w:val="single" w:sz="4" w:space="0" w:color="auto"/>
            </w:tcBorders>
            <w:vAlign w:val="center"/>
          </w:tcPr>
          <w:p w14:paraId="7C28C782" w14:textId="77777777" w:rsidR="00982525" w:rsidRPr="00FC6FE8" w:rsidRDefault="00982525" w:rsidP="00903C80">
            <w:pPr>
              <w:spacing w:line="480" w:lineRule="auto"/>
              <w:jc w:val="center"/>
              <w:rPr>
                <w:rFonts w:ascii="Times New Roman" w:hAnsi="Times New Roman" w:cs="Times New Roman"/>
                <w:b/>
                <w:bCs/>
              </w:rPr>
            </w:pPr>
            <w:r w:rsidRPr="00FC6FE8">
              <w:rPr>
                <w:rFonts w:ascii="Times New Roman" w:hAnsi="Times New Roman" w:cs="Times New Roman" w:hint="eastAsia"/>
                <w:b/>
                <w:bCs/>
              </w:rPr>
              <w:t>Complex</w:t>
            </w:r>
          </w:p>
        </w:tc>
      </w:tr>
      <w:tr w:rsidR="00982525" w14:paraId="5AA73A19" w14:textId="77777777" w:rsidTr="000B58A3">
        <w:tc>
          <w:tcPr>
            <w:tcW w:w="1800" w:type="dxa"/>
            <w:vMerge w:val="restart"/>
            <w:tcBorders>
              <w:top w:val="single" w:sz="4" w:space="0" w:color="auto"/>
            </w:tcBorders>
            <w:vAlign w:val="center"/>
          </w:tcPr>
          <w:p w14:paraId="55217DE7"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Asphaltenes</w:t>
            </w:r>
          </w:p>
        </w:tc>
        <w:tc>
          <w:tcPr>
            <w:tcW w:w="2484" w:type="dxa"/>
            <w:tcBorders>
              <w:top w:val="single" w:sz="4" w:space="0" w:color="auto"/>
            </w:tcBorders>
            <w:vAlign w:val="center"/>
          </w:tcPr>
          <w:p w14:paraId="00E7F238"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Pyrrole</w:t>
            </w:r>
          </w:p>
        </w:tc>
        <w:tc>
          <w:tcPr>
            <w:tcW w:w="2736" w:type="dxa"/>
            <w:tcBorders>
              <w:top w:val="single" w:sz="4" w:space="0" w:color="auto"/>
            </w:tcBorders>
            <w:vAlign w:val="center"/>
          </w:tcPr>
          <w:p w14:paraId="5D440604"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2.3744</w:t>
            </w:r>
          </w:p>
        </w:tc>
        <w:tc>
          <w:tcPr>
            <w:tcW w:w="2340" w:type="dxa"/>
            <w:tcBorders>
              <w:top w:val="single" w:sz="4" w:space="0" w:color="auto"/>
            </w:tcBorders>
            <w:vAlign w:val="center"/>
          </w:tcPr>
          <w:p w14:paraId="15A79FB9"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18.1715</w:t>
            </w:r>
          </w:p>
        </w:tc>
      </w:tr>
      <w:tr w:rsidR="00982525" w14:paraId="389FF203" w14:textId="77777777" w:rsidTr="000B58A3">
        <w:tc>
          <w:tcPr>
            <w:tcW w:w="1800" w:type="dxa"/>
            <w:vMerge/>
            <w:vAlign w:val="center"/>
          </w:tcPr>
          <w:p w14:paraId="5C6CAC45" w14:textId="77777777" w:rsidR="00982525" w:rsidRPr="00FC6FE8" w:rsidRDefault="00982525" w:rsidP="00903C80">
            <w:pPr>
              <w:spacing w:line="480" w:lineRule="auto"/>
              <w:jc w:val="center"/>
              <w:rPr>
                <w:rFonts w:ascii="Times New Roman" w:hAnsi="Times New Roman" w:cs="Times New Roman"/>
              </w:rPr>
            </w:pPr>
          </w:p>
        </w:tc>
        <w:tc>
          <w:tcPr>
            <w:tcW w:w="2484" w:type="dxa"/>
            <w:tcBorders>
              <w:bottom w:val="nil"/>
            </w:tcBorders>
            <w:vAlign w:val="center"/>
          </w:tcPr>
          <w:p w14:paraId="5019AF14"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Phenol</w:t>
            </w:r>
          </w:p>
        </w:tc>
        <w:tc>
          <w:tcPr>
            <w:tcW w:w="2736" w:type="dxa"/>
            <w:tcBorders>
              <w:bottom w:val="nil"/>
            </w:tcBorders>
            <w:vAlign w:val="center"/>
          </w:tcPr>
          <w:p w14:paraId="045E6E35"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1.4995</w:t>
            </w:r>
          </w:p>
        </w:tc>
        <w:tc>
          <w:tcPr>
            <w:tcW w:w="2340" w:type="dxa"/>
            <w:tcBorders>
              <w:bottom w:val="nil"/>
            </w:tcBorders>
            <w:vAlign w:val="center"/>
          </w:tcPr>
          <w:p w14:paraId="35B695DC"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16.4793</w:t>
            </w:r>
          </w:p>
        </w:tc>
      </w:tr>
      <w:tr w:rsidR="00982525" w14:paraId="5D88BFDB" w14:textId="77777777" w:rsidTr="000B58A3">
        <w:tc>
          <w:tcPr>
            <w:tcW w:w="1800" w:type="dxa"/>
            <w:vMerge/>
            <w:vAlign w:val="center"/>
          </w:tcPr>
          <w:p w14:paraId="6B1435CD" w14:textId="77777777" w:rsidR="00982525" w:rsidRPr="00FC6FE8" w:rsidRDefault="00982525" w:rsidP="00903C80">
            <w:pPr>
              <w:spacing w:line="480" w:lineRule="auto"/>
              <w:jc w:val="center"/>
              <w:rPr>
                <w:rFonts w:ascii="Times New Roman" w:hAnsi="Times New Roman" w:cs="Times New Roman"/>
              </w:rPr>
            </w:pPr>
          </w:p>
        </w:tc>
        <w:tc>
          <w:tcPr>
            <w:tcW w:w="2484" w:type="dxa"/>
            <w:tcBorders>
              <w:top w:val="nil"/>
              <w:bottom w:val="single" w:sz="4" w:space="0" w:color="auto"/>
            </w:tcBorders>
            <w:vAlign w:val="center"/>
          </w:tcPr>
          <w:p w14:paraId="0160FC14"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Thiophene</w:t>
            </w:r>
          </w:p>
        </w:tc>
        <w:tc>
          <w:tcPr>
            <w:tcW w:w="2736" w:type="dxa"/>
            <w:tcBorders>
              <w:top w:val="nil"/>
              <w:bottom w:val="single" w:sz="4" w:space="0" w:color="auto"/>
            </w:tcBorders>
            <w:vAlign w:val="center"/>
          </w:tcPr>
          <w:p w14:paraId="00B32F76"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1.2299</w:t>
            </w:r>
          </w:p>
        </w:tc>
        <w:tc>
          <w:tcPr>
            <w:tcW w:w="2340" w:type="dxa"/>
            <w:tcBorders>
              <w:top w:val="nil"/>
              <w:bottom w:val="single" w:sz="4" w:space="0" w:color="auto"/>
            </w:tcBorders>
            <w:vAlign w:val="center"/>
          </w:tcPr>
          <w:p w14:paraId="75306B13"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16.2775</w:t>
            </w:r>
          </w:p>
        </w:tc>
      </w:tr>
      <w:tr w:rsidR="00982525" w14:paraId="223E880C" w14:textId="77777777" w:rsidTr="000B58A3">
        <w:tc>
          <w:tcPr>
            <w:tcW w:w="1800" w:type="dxa"/>
            <w:vMerge w:val="restart"/>
            <w:vAlign w:val="center"/>
          </w:tcPr>
          <w:p w14:paraId="62352121"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Naphthene</w:t>
            </w:r>
          </w:p>
          <w:p w14:paraId="2B44D066"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Aromatics</w:t>
            </w:r>
          </w:p>
        </w:tc>
        <w:tc>
          <w:tcPr>
            <w:tcW w:w="2484" w:type="dxa"/>
            <w:tcBorders>
              <w:top w:val="single" w:sz="4" w:space="0" w:color="auto"/>
              <w:bottom w:val="nil"/>
            </w:tcBorders>
            <w:vAlign w:val="center"/>
          </w:tcPr>
          <w:p w14:paraId="09FB91A1"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PHPN</w:t>
            </w:r>
          </w:p>
        </w:tc>
        <w:tc>
          <w:tcPr>
            <w:tcW w:w="2736" w:type="dxa"/>
            <w:tcBorders>
              <w:top w:val="single" w:sz="4" w:space="0" w:color="auto"/>
              <w:bottom w:val="nil"/>
            </w:tcBorders>
            <w:vAlign w:val="center"/>
          </w:tcPr>
          <w:p w14:paraId="130E8649"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0.7210</w:t>
            </w:r>
          </w:p>
        </w:tc>
        <w:tc>
          <w:tcPr>
            <w:tcW w:w="2340" w:type="dxa"/>
            <w:tcBorders>
              <w:top w:val="single" w:sz="4" w:space="0" w:color="auto"/>
              <w:bottom w:val="nil"/>
            </w:tcBorders>
            <w:vAlign w:val="center"/>
          </w:tcPr>
          <w:p w14:paraId="2F426C39"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21.9530</w:t>
            </w:r>
          </w:p>
        </w:tc>
      </w:tr>
      <w:tr w:rsidR="00982525" w14:paraId="3FC5F035" w14:textId="77777777" w:rsidTr="000B58A3">
        <w:tc>
          <w:tcPr>
            <w:tcW w:w="1800" w:type="dxa"/>
            <w:vMerge/>
            <w:vAlign w:val="center"/>
          </w:tcPr>
          <w:p w14:paraId="53F5F6D2" w14:textId="77777777" w:rsidR="00982525" w:rsidRPr="00FC6FE8" w:rsidRDefault="00982525" w:rsidP="00903C80">
            <w:pPr>
              <w:spacing w:line="480" w:lineRule="auto"/>
              <w:jc w:val="center"/>
              <w:rPr>
                <w:rFonts w:ascii="Times New Roman" w:hAnsi="Times New Roman" w:cs="Times New Roman"/>
              </w:rPr>
            </w:pPr>
          </w:p>
        </w:tc>
        <w:tc>
          <w:tcPr>
            <w:tcW w:w="2484" w:type="dxa"/>
            <w:tcBorders>
              <w:top w:val="nil"/>
              <w:bottom w:val="single" w:sz="4" w:space="0" w:color="auto"/>
            </w:tcBorders>
            <w:vAlign w:val="center"/>
          </w:tcPr>
          <w:p w14:paraId="1E0AB48D"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DOCHN</w:t>
            </w:r>
          </w:p>
        </w:tc>
        <w:tc>
          <w:tcPr>
            <w:tcW w:w="2736" w:type="dxa"/>
            <w:tcBorders>
              <w:top w:val="nil"/>
              <w:bottom w:val="single" w:sz="4" w:space="0" w:color="auto"/>
            </w:tcBorders>
            <w:vAlign w:val="center"/>
          </w:tcPr>
          <w:p w14:paraId="1BBD4C08"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1.2342</w:t>
            </w:r>
          </w:p>
        </w:tc>
        <w:tc>
          <w:tcPr>
            <w:tcW w:w="2340" w:type="dxa"/>
            <w:tcBorders>
              <w:top w:val="nil"/>
              <w:bottom w:val="single" w:sz="4" w:space="0" w:color="auto"/>
            </w:tcBorders>
            <w:vAlign w:val="center"/>
          </w:tcPr>
          <w:p w14:paraId="481A9B55"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15.8590</w:t>
            </w:r>
          </w:p>
        </w:tc>
      </w:tr>
      <w:tr w:rsidR="00982525" w14:paraId="78BFECB5" w14:textId="77777777" w:rsidTr="000B58A3">
        <w:tc>
          <w:tcPr>
            <w:tcW w:w="1800" w:type="dxa"/>
            <w:vMerge w:val="restart"/>
            <w:vAlign w:val="center"/>
          </w:tcPr>
          <w:p w14:paraId="279D0369"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Polar Aromatics</w:t>
            </w:r>
          </w:p>
          <w:p w14:paraId="4D98AB09"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(Resin)</w:t>
            </w:r>
          </w:p>
        </w:tc>
        <w:tc>
          <w:tcPr>
            <w:tcW w:w="2484" w:type="dxa"/>
            <w:tcBorders>
              <w:top w:val="single" w:sz="4" w:space="0" w:color="auto"/>
              <w:bottom w:val="nil"/>
            </w:tcBorders>
            <w:vAlign w:val="center"/>
          </w:tcPr>
          <w:p w14:paraId="74E65494"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Pyridinohopane</w:t>
            </w:r>
          </w:p>
        </w:tc>
        <w:tc>
          <w:tcPr>
            <w:tcW w:w="2736" w:type="dxa"/>
            <w:tcBorders>
              <w:top w:val="single" w:sz="4" w:space="0" w:color="auto"/>
              <w:bottom w:val="nil"/>
            </w:tcBorders>
            <w:vAlign w:val="center"/>
          </w:tcPr>
          <w:p w14:paraId="4347A993"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2.6456</w:t>
            </w:r>
          </w:p>
        </w:tc>
        <w:tc>
          <w:tcPr>
            <w:tcW w:w="2340" w:type="dxa"/>
            <w:tcBorders>
              <w:top w:val="single" w:sz="4" w:space="0" w:color="auto"/>
              <w:bottom w:val="nil"/>
            </w:tcBorders>
            <w:vAlign w:val="center"/>
          </w:tcPr>
          <w:p w14:paraId="2F415754"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9.6475</w:t>
            </w:r>
          </w:p>
        </w:tc>
      </w:tr>
      <w:tr w:rsidR="00982525" w14:paraId="488C017B" w14:textId="77777777" w:rsidTr="000B58A3">
        <w:tc>
          <w:tcPr>
            <w:tcW w:w="1800" w:type="dxa"/>
            <w:vMerge/>
            <w:vAlign w:val="center"/>
          </w:tcPr>
          <w:p w14:paraId="75E8C89F" w14:textId="77777777" w:rsidR="00982525" w:rsidRPr="00FC6FE8" w:rsidRDefault="00982525" w:rsidP="00903C80">
            <w:pPr>
              <w:spacing w:line="480" w:lineRule="auto"/>
              <w:jc w:val="center"/>
              <w:rPr>
                <w:rFonts w:ascii="Times New Roman" w:hAnsi="Times New Roman" w:cs="Times New Roman"/>
              </w:rPr>
            </w:pPr>
          </w:p>
        </w:tc>
        <w:tc>
          <w:tcPr>
            <w:tcW w:w="2484" w:type="dxa"/>
            <w:tcBorders>
              <w:top w:val="nil"/>
            </w:tcBorders>
            <w:vAlign w:val="center"/>
          </w:tcPr>
          <w:p w14:paraId="7E65791D"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Quinolinohopane</w:t>
            </w:r>
          </w:p>
        </w:tc>
        <w:tc>
          <w:tcPr>
            <w:tcW w:w="2736" w:type="dxa"/>
            <w:tcBorders>
              <w:top w:val="nil"/>
            </w:tcBorders>
            <w:vAlign w:val="center"/>
          </w:tcPr>
          <w:p w14:paraId="15E44965"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2.5964</w:t>
            </w:r>
          </w:p>
        </w:tc>
        <w:tc>
          <w:tcPr>
            <w:tcW w:w="2340" w:type="dxa"/>
            <w:tcBorders>
              <w:top w:val="nil"/>
            </w:tcBorders>
            <w:vAlign w:val="center"/>
          </w:tcPr>
          <w:p w14:paraId="71E064E8"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24.6042</w:t>
            </w:r>
          </w:p>
        </w:tc>
      </w:tr>
      <w:tr w:rsidR="00982525" w14:paraId="36AF7386" w14:textId="77777777" w:rsidTr="000B58A3">
        <w:tc>
          <w:tcPr>
            <w:tcW w:w="1800" w:type="dxa"/>
            <w:vMerge/>
            <w:vAlign w:val="center"/>
          </w:tcPr>
          <w:p w14:paraId="3E21A66C" w14:textId="77777777" w:rsidR="00982525" w:rsidRPr="00FC6FE8" w:rsidRDefault="00982525" w:rsidP="00903C80">
            <w:pPr>
              <w:spacing w:line="480" w:lineRule="auto"/>
              <w:jc w:val="center"/>
              <w:rPr>
                <w:rFonts w:ascii="Times New Roman" w:hAnsi="Times New Roman" w:cs="Times New Roman"/>
              </w:rPr>
            </w:pPr>
          </w:p>
        </w:tc>
        <w:tc>
          <w:tcPr>
            <w:tcW w:w="2484" w:type="dxa"/>
            <w:vAlign w:val="center"/>
          </w:tcPr>
          <w:p w14:paraId="2BFA55CD"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Benzobisbenzothiopene</w:t>
            </w:r>
          </w:p>
        </w:tc>
        <w:tc>
          <w:tcPr>
            <w:tcW w:w="2736" w:type="dxa"/>
            <w:vAlign w:val="center"/>
          </w:tcPr>
          <w:p w14:paraId="3DBA67C6"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0.3378</w:t>
            </w:r>
          </w:p>
        </w:tc>
        <w:tc>
          <w:tcPr>
            <w:tcW w:w="2340" w:type="dxa"/>
            <w:vAlign w:val="center"/>
          </w:tcPr>
          <w:p w14:paraId="332BE9A7"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16.7517</w:t>
            </w:r>
          </w:p>
        </w:tc>
      </w:tr>
      <w:tr w:rsidR="00982525" w14:paraId="44634CCF" w14:textId="77777777" w:rsidTr="000B58A3">
        <w:trPr>
          <w:trHeight w:val="62"/>
        </w:trPr>
        <w:tc>
          <w:tcPr>
            <w:tcW w:w="1800" w:type="dxa"/>
            <w:vMerge/>
            <w:vAlign w:val="center"/>
          </w:tcPr>
          <w:p w14:paraId="03EFBCF1" w14:textId="77777777" w:rsidR="00982525" w:rsidRPr="00FC6FE8" w:rsidRDefault="00982525" w:rsidP="00903C80">
            <w:pPr>
              <w:spacing w:line="480" w:lineRule="auto"/>
              <w:jc w:val="center"/>
              <w:rPr>
                <w:rFonts w:ascii="Times New Roman" w:hAnsi="Times New Roman" w:cs="Times New Roman"/>
              </w:rPr>
            </w:pPr>
          </w:p>
        </w:tc>
        <w:tc>
          <w:tcPr>
            <w:tcW w:w="2484" w:type="dxa"/>
            <w:vAlign w:val="center"/>
          </w:tcPr>
          <w:p w14:paraId="1F301430"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Trimethylbenzene-oxane</w:t>
            </w:r>
          </w:p>
        </w:tc>
        <w:tc>
          <w:tcPr>
            <w:tcW w:w="2736" w:type="dxa"/>
            <w:vAlign w:val="center"/>
          </w:tcPr>
          <w:p w14:paraId="1283367A"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2.3187</w:t>
            </w:r>
          </w:p>
        </w:tc>
        <w:tc>
          <w:tcPr>
            <w:tcW w:w="2340" w:type="dxa"/>
            <w:vAlign w:val="center"/>
          </w:tcPr>
          <w:p w14:paraId="4ECDB345"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30.2682</w:t>
            </w:r>
          </w:p>
        </w:tc>
      </w:tr>
      <w:tr w:rsidR="00982525" w14:paraId="596801AE" w14:textId="77777777" w:rsidTr="000B58A3">
        <w:trPr>
          <w:trHeight w:val="242"/>
        </w:trPr>
        <w:tc>
          <w:tcPr>
            <w:tcW w:w="1800" w:type="dxa"/>
            <w:vMerge/>
            <w:tcBorders>
              <w:bottom w:val="single" w:sz="12" w:space="0" w:color="auto"/>
            </w:tcBorders>
            <w:vAlign w:val="center"/>
          </w:tcPr>
          <w:p w14:paraId="30868CDF" w14:textId="77777777" w:rsidR="00982525" w:rsidRPr="00FC6FE8" w:rsidRDefault="00982525" w:rsidP="00903C80">
            <w:pPr>
              <w:spacing w:line="480" w:lineRule="auto"/>
              <w:jc w:val="center"/>
              <w:rPr>
                <w:rFonts w:ascii="Times New Roman" w:hAnsi="Times New Roman" w:cs="Times New Roman"/>
              </w:rPr>
            </w:pPr>
          </w:p>
        </w:tc>
        <w:tc>
          <w:tcPr>
            <w:tcW w:w="2484" w:type="dxa"/>
            <w:tcBorders>
              <w:bottom w:val="single" w:sz="12" w:space="0" w:color="auto"/>
            </w:tcBorders>
            <w:vAlign w:val="center"/>
          </w:tcPr>
          <w:p w14:paraId="34D72187"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rPr>
              <w:t>Thioisorenieratane</w:t>
            </w:r>
          </w:p>
        </w:tc>
        <w:tc>
          <w:tcPr>
            <w:tcW w:w="2736" w:type="dxa"/>
            <w:tcBorders>
              <w:bottom w:val="single" w:sz="12" w:space="0" w:color="auto"/>
            </w:tcBorders>
            <w:vAlign w:val="center"/>
          </w:tcPr>
          <w:p w14:paraId="3C2DFBB4"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1.1430</w:t>
            </w:r>
          </w:p>
        </w:tc>
        <w:tc>
          <w:tcPr>
            <w:tcW w:w="2340" w:type="dxa"/>
            <w:tcBorders>
              <w:bottom w:val="single" w:sz="12" w:space="0" w:color="auto"/>
            </w:tcBorders>
            <w:vAlign w:val="center"/>
          </w:tcPr>
          <w:p w14:paraId="4B1E030E" w14:textId="77777777" w:rsidR="00982525" w:rsidRPr="00FC6FE8" w:rsidRDefault="00982525" w:rsidP="00903C80">
            <w:pPr>
              <w:spacing w:line="480" w:lineRule="auto"/>
              <w:jc w:val="center"/>
              <w:rPr>
                <w:rFonts w:ascii="Times New Roman" w:hAnsi="Times New Roman" w:cs="Times New Roman"/>
              </w:rPr>
            </w:pPr>
            <w:r w:rsidRPr="00FC6FE8">
              <w:rPr>
                <w:rFonts w:ascii="Times New Roman" w:hAnsi="Times New Roman" w:cs="Times New Roman" w:hint="eastAsia"/>
              </w:rPr>
              <w:t>29.5435</w:t>
            </w:r>
          </w:p>
        </w:tc>
      </w:tr>
    </w:tbl>
    <w:p w14:paraId="06156900" w14:textId="77777777" w:rsidR="00982525" w:rsidRDefault="00982525" w:rsidP="00903C80">
      <w:pPr>
        <w:spacing w:after="0" w:line="480" w:lineRule="auto"/>
        <w:rPr>
          <w:rFonts w:ascii="Times New Roman" w:hAnsi="Times New Roman" w:cs="Times New Roman"/>
        </w:rPr>
      </w:pPr>
    </w:p>
    <w:p w14:paraId="52322E2F" w14:textId="77777777" w:rsidR="00982525" w:rsidRPr="008C59A1" w:rsidRDefault="00982525" w:rsidP="00903C80">
      <w:pPr>
        <w:spacing w:after="0" w:line="480" w:lineRule="auto"/>
        <w:rPr>
          <w:rFonts w:ascii="Times New Roman" w:hAnsi="Times New Roman" w:cs="Times New Roman"/>
        </w:rPr>
      </w:pPr>
    </w:p>
    <w:p w14:paraId="3F3F9823" w14:textId="77777777" w:rsidR="00F21082" w:rsidRDefault="00F21082" w:rsidP="00903C80">
      <w:pPr>
        <w:spacing w:after="0" w:line="480" w:lineRule="auto"/>
        <w:rPr>
          <w:rFonts w:ascii="Times New Roman" w:hAnsi="Times New Roman" w:cs="Times New Roman"/>
        </w:rPr>
      </w:pPr>
    </w:p>
    <w:p w14:paraId="48144DA0" w14:textId="77777777" w:rsidR="00F21082" w:rsidRDefault="00F21082" w:rsidP="00903C80">
      <w:pPr>
        <w:spacing w:after="0" w:line="480" w:lineRule="auto"/>
        <w:rPr>
          <w:rFonts w:ascii="Times New Roman" w:hAnsi="Times New Roman" w:cs="Times New Roman"/>
        </w:rPr>
        <w:sectPr w:rsidR="00F21082">
          <w:pgSz w:w="12240" w:h="15840"/>
          <w:pgMar w:top="1440" w:right="1440" w:bottom="1440" w:left="1440" w:header="720" w:footer="720" w:gutter="0"/>
          <w:cols w:space="720"/>
          <w:docGrid w:linePitch="360"/>
        </w:sectPr>
      </w:pPr>
    </w:p>
    <w:p w14:paraId="32AF0F91" w14:textId="799A0D25" w:rsidR="002F3A63" w:rsidRDefault="00CC2055" w:rsidP="00903C80">
      <w:pPr>
        <w:spacing w:after="0" w:line="480" w:lineRule="auto"/>
        <w:rPr>
          <w:rFonts w:ascii="Times New Roman" w:hAnsi="Times New Roman" w:cs="Times New Roman"/>
        </w:rPr>
      </w:pPr>
      <w:r>
        <w:rPr>
          <w:rFonts w:ascii="Times New Roman" w:hAnsi="Times New Roman" w:cs="Times New Roman" w:hint="eastAsia"/>
        </w:rPr>
        <w:lastRenderedPageBreak/>
        <w:t>REFERENCE</w:t>
      </w:r>
    </w:p>
    <w:p w14:paraId="10F12170" w14:textId="77777777" w:rsidR="00FD280D" w:rsidRPr="00B60DBF" w:rsidRDefault="00CC2055" w:rsidP="00FD280D">
      <w:pPr>
        <w:pStyle w:val="Bibliography"/>
        <w:rPr>
          <w:rFonts w:ascii="Times New Roman" w:hAnsi="Times New Roman" w:cs="Times New Roman"/>
        </w:rPr>
      </w:pPr>
      <w:r w:rsidRPr="00B60DBF">
        <w:rPr>
          <w:rFonts w:ascii="Times New Roman" w:hAnsi="Times New Roman" w:cs="Times New Roman"/>
        </w:rPr>
        <w:fldChar w:fldCharType="begin"/>
      </w:r>
      <w:r w:rsidR="00FD280D" w:rsidRPr="00B60DBF">
        <w:rPr>
          <w:rFonts w:ascii="Times New Roman" w:hAnsi="Times New Roman" w:cs="Times New Roman"/>
        </w:rPr>
        <w:instrText xml:space="preserve"> ADDIN ZOTERO_BIBL {"uncited":[],"omitted":[],"custom":[]} CSL_BIBLIOGRAPHY </w:instrText>
      </w:r>
      <w:r w:rsidRPr="00B60DBF">
        <w:rPr>
          <w:rFonts w:ascii="Times New Roman" w:hAnsi="Times New Roman" w:cs="Times New Roman"/>
        </w:rPr>
        <w:fldChar w:fldCharType="separate"/>
      </w:r>
      <w:r w:rsidR="00FD280D" w:rsidRPr="00B60DBF">
        <w:rPr>
          <w:rFonts w:ascii="Times New Roman" w:hAnsi="Times New Roman" w:cs="Times New Roman"/>
        </w:rPr>
        <w:t>[1]</w:t>
      </w:r>
      <w:r w:rsidR="00FD280D" w:rsidRPr="00B60DBF">
        <w:rPr>
          <w:rFonts w:ascii="Times New Roman" w:hAnsi="Times New Roman" w:cs="Times New Roman"/>
        </w:rPr>
        <w:tab/>
        <w:t>J. Shirokoff, L. Lye, A Review of Asphalt Binders Characterized by X-ray Diffraction, Innovations in Corrosion and Materials Science (Formerly Recent Patents on Corrosion Science) 9 (2019) 28. https://doi.org/10.2174/2352094909666190401205036.</w:t>
      </w:r>
    </w:p>
    <w:p w14:paraId="0D9C7E30"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t>[2]</w:t>
      </w:r>
      <w:r w:rsidRPr="00B60DBF">
        <w:rPr>
          <w:rFonts w:ascii="Times New Roman" w:hAnsi="Times New Roman" w:cs="Times New Roman"/>
        </w:rPr>
        <w:tab/>
        <w:t>J. Alshammari, J. Alshammari, J.K.C. Lewis, J. Shirokoff, Nanosize Asphaltene in Asphalt Binders Characterized by X-ray Diffraction, Nanoparticle 1 (2019) 1–4.</w:t>
      </w:r>
    </w:p>
    <w:p w14:paraId="47A1A944"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t>[3]</w:t>
      </w:r>
      <w:r w:rsidRPr="00B60DBF">
        <w:rPr>
          <w:rFonts w:ascii="Times New Roman" w:hAnsi="Times New Roman" w:cs="Times New Roman"/>
        </w:rPr>
        <w:tab/>
        <w:t xml:space="preserve">S. Das Bakshi, D. Sinha, S. Ghosh Chowdhury, Anisotropic broadening of XRD peaks of </w:t>
      </w:r>
      <w:r w:rsidRPr="00B60DBF">
        <w:rPr>
          <w:rFonts w:ascii="Times New Roman" w:hAnsi="Times New Roman" w:cs="Times New Roman"/>
          <w:i/>
          <w:iCs/>
        </w:rPr>
        <w:t>α′</w:t>
      </w:r>
      <w:r w:rsidRPr="00B60DBF">
        <w:rPr>
          <w:rFonts w:ascii="Times New Roman" w:hAnsi="Times New Roman" w:cs="Times New Roman"/>
        </w:rPr>
        <w:t>-Fe: Williamson-Hall and Warren-Averbach analysis using full width at half maximum (FWHM) and integral breadth (IB), Materials Characterization 142 (2018) 144–153. https://doi.org/10.1016/j.matchar.2018.05.018.</w:t>
      </w:r>
    </w:p>
    <w:p w14:paraId="1FE76787"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t>[4]</w:t>
      </w:r>
      <w:r w:rsidRPr="00B60DBF">
        <w:rPr>
          <w:rFonts w:ascii="Times New Roman" w:hAnsi="Times New Roman" w:cs="Times New Roman"/>
        </w:rPr>
        <w:tab/>
        <w:t>A. Muiruri, M. Maringa, W. du Preez, Evaluation of Dislocation Densities in Various Microstructures of Additively Manufactured Ti6Al4V (Eli) by the Method of X-ray Diffraction, Materials 13 (2020) 5355. https://doi.org/10.3390/ma13235355.</w:t>
      </w:r>
    </w:p>
    <w:p w14:paraId="0B7B6702"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t>[5]</w:t>
      </w:r>
      <w:r w:rsidRPr="00B60DBF">
        <w:rPr>
          <w:rFonts w:ascii="Times New Roman" w:hAnsi="Times New Roman" w:cs="Times New Roman"/>
        </w:rPr>
        <w:tab/>
        <w:t>D. Nath, R. Das, Assessing the dislocation density in CdSe nanocrystals from XRD peak profile analysis (XDPPA) assisted by first principles method, Physica E: Low-Dimensional Systems and Nanostructures 144 (2022) 115376. https://doi.org/10.1016/j.physe.2022.115376.</w:t>
      </w:r>
    </w:p>
    <w:p w14:paraId="182B7DB6"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t>[6]</w:t>
      </w:r>
      <w:r w:rsidRPr="00B60DBF">
        <w:rPr>
          <w:rFonts w:ascii="Times New Roman" w:hAnsi="Times New Roman" w:cs="Times New Roman"/>
        </w:rPr>
        <w:tab/>
        <w:t>G.K. Williamson, W.H. Hall, X-ray line broadening from filed aluminium and wolfram, Acta Metallurgica 1 (1953) 22–31. https://doi.org/10.1016/0001-6160(53)90006-6.</w:t>
      </w:r>
    </w:p>
    <w:p w14:paraId="57827B9E"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t>[7]</w:t>
      </w:r>
      <w:r w:rsidRPr="00B60DBF">
        <w:rPr>
          <w:rFonts w:ascii="Times New Roman" w:hAnsi="Times New Roman" w:cs="Times New Roman"/>
        </w:rPr>
        <w:tab/>
        <w:t>R. Wood, O. Mašek, V. Erastova, Biochars at the Molecular Level Part 2 – Development of Realistic Molecular Models of Biochars, (2023). https://doi.org/10.2139/ssrn.4606268.</w:t>
      </w:r>
    </w:p>
    <w:p w14:paraId="43CD47B2"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t>[8]</w:t>
      </w:r>
      <w:r w:rsidRPr="00B60DBF">
        <w:rPr>
          <w:rFonts w:ascii="Times New Roman" w:hAnsi="Times New Roman" w:cs="Times New Roman"/>
        </w:rPr>
        <w:tab/>
        <w:t>T. Hao, Q. Zhou, J. Jiang, H. Song, Y. Pan, D. Shi, Density functional theory study on the microscopic mechanism of NO2 adsorption and reduction by potassium-doped biochar: the key role of the active sites, Biochar 7 (2025) 67. https://doi.org/10.1007/s42773-025-00449-z.</w:t>
      </w:r>
    </w:p>
    <w:p w14:paraId="354455B3"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t>[9]</w:t>
      </w:r>
      <w:r w:rsidRPr="00B60DBF">
        <w:rPr>
          <w:rFonts w:ascii="Times New Roman" w:hAnsi="Times New Roman" w:cs="Times New Roman"/>
        </w:rPr>
        <w:tab/>
        <w:t>J. Jiang, Z. Pan, X. Huang, J. Ren, L. Deng, Z. Huang, D. Che, DFT study on adsorption of Pb(</w:t>
      </w:r>
      <w:r w:rsidRPr="00B60DBF">
        <w:rPr>
          <w:rFonts w:ascii="Times New Roman" w:eastAsia="Microsoft YaHei" w:hAnsi="Times New Roman" w:cs="Times New Roman"/>
        </w:rPr>
        <w:t>Ⅱ</w:t>
      </w:r>
      <w:r w:rsidRPr="00B60DBF">
        <w:rPr>
          <w:rFonts w:ascii="Times New Roman" w:hAnsi="Times New Roman" w:cs="Times New Roman"/>
        </w:rPr>
        <w:t>) by biochar: focusing on molecular structure and alkali and alkaline earth metals, Separation and Purification Technology 377 (2025) 134474. https://doi.org/10.1016/j.seppur.2025.134474.</w:t>
      </w:r>
    </w:p>
    <w:p w14:paraId="19988C4C"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t>[10]</w:t>
      </w:r>
      <w:r w:rsidRPr="00B60DBF">
        <w:rPr>
          <w:rFonts w:ascii="Times New Roman" w:hAnsi="Times New Roman" w:cs="Times New Roman"/>
        </w:rPr>
        <w:tab/>
        <w:t>Y. Wang, X. Gu, Y. Huang, Z. Ding, Y. Chen, X. Hu, Insight into biomass feedstock on formation of biochar-bound environmentally persistent free radicals under different pyrolysis temperatures, RSC Adv 12 (n.d.) 19318–19326. https://doi.org/10.1039/d2ra03052g.</w:t>
      </w:r>
    </w:p>
    <w:p w14:paraId="0C4AF20A"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t>[11]</w:t>
      </w:r>
      <w:r w:rsidRPr="00B60DBF">
        <w:rPr>
          <w:rFonts w:ascii="Times New Roman" w:hAnsi="Times New Roman" w:cs="Times New Roman"/>
        </w:rPr>
        <w:tab/>
        <w:t>Biochar-Derived Persistent Free Radicals: A Plethora of Environmental Applications in a Lights and Shadows Scenario[v1] | Preprints.org, (n.d.). https://www.preprints.org/manuscript/202403.0855?utm_source=chatgpt.com (accessed January 2, 2026).</w:t>
      </w:r>
    </w:p>
    <w:p w14:paraId="3234267A"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t>[12]</w:t>
      </w:r>
      <w:r w:rsidRPr="00B60DBF">
        <w:rPr>
          <w:rFonts w:ascii="Times New Roman" w:hAnsi="Times New Roman" w:cs="Times New Roman"/>
        </w:rPr>
        <w:tab/>
        <w:t>X. Chen, P.J.J. Alvarez, C.A. Masiello, Environmentally Persistent Free Radicals in Biochar: Environmental Context and Future Research Needs, Environ. Sci. Technol. 59 (2025) 11440–11454. https://doi.org/10.1021/acs.est.4c13603.</w:t>
      </w:r>
    </w:p>
    <w:p w14:paraId="15B4DCAE"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t>[13]</w:t>
      </w:r>
      <w:r w:rsidRPr="00B60DBF">
        <w:rPr>
          <w:rFonts w:ascii="Times New Roman" w:hAnsi="Times New Roman" w:cs="Times New Roman"/>
        </w:rPr>
        <w:tab/>
        <w:t>C. Guo, J. Richmond-Bryant, A Critical Review of Environmentally Persistent Free Radical (EPFR) Solvent Extraction Methodology and Retrieval Efficiency, Chemosphere 284 (2021) 131353. https://doi.org/10.1016/j.chemosphere.2021.131353.</w:t>
      </w:r>
    </w:p>
    <w:p w14:paraId="5682C831"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t>[14]</w:t>
      </w:r>
      <w:r w:rsidRPr="00B60DBF">
        <w:rPr>
          <w:rFonts w:ascii="Times New Roman" w:hAnsi="Times New Roman" w:cs="Times New Roman"/>
        </w:rPr>
        <w:tab/>
        <w:t>Q. Zhao, Y. Huang, X. Hu, A Si/C nanocomposite anode by ball milling for highly reversible sodium storage, Electrochemistry Communications 70 (2016) 8–12. https://doi.org/10.1016/j.elecom.2016.06.012.</w:t>
      </w:r>
    </w:p>
    <w:p w14:paraId="7246D67D" w14:textId="77777777" w:rsidR="00FD280D" w:rsidRPr="00B60DBF" w:rsidRDefault="00FD280D" w:rsidP="00FD280D">
      <w:pPr>
        <w:pStyle w:val="Bibliography"/>
        <w:rPr>
          <w:rFonts w:ascii="Times New Roman" w:hAnsi="Times New Roman" w:cs="Times New Roman"/>
        </w:rPr>
      </w:pPr>
      <w:r w:rsidRPr="00B60DBF">
        <w:rPr>
          <w:rFonts w:ascii="Times New Roman" w:hAnsi="Times New Roman" w:cs="Times New Roman"/>
        </w:rPr>
        <w:lastRenderedPageBreak/>
        <w:t>[15]</w:t>
      </w:r>
      <w:r w:rsidRPr="00B60DBF">
        <w:rPr>
          <w:rFonts w:ascii="Times New Roman" w:hAnsi="Times New Roman" w:cs="Times New Roman"/>
        </w:rPr>
        <w:tab/>
        <w:t>C. Yu, D. Zhang, X. Dong, Q. Lin, Pyrolytic behavior of a zero-valent iron biochar composite and its Cu(II) removal mechanism, RSC Adv. 8 (2018) 34151–34160. https://doi.org/10.1039/C8RA05676E.</w:t>
      </w:r>
    </w:p>
    <w:p w14:paraId="1670C963" w14:textId="6178E7D6" w:rsidR="00CC2055" w:rsidRPr="002F3A63" w:rsidRDefault="00CC2055" w:rsidP="00903C80">
      <w:pPr>
        <w:spacing w:after="0" w:line="480" w:lineRule="auto"/>
        <w:rPr>
          <w:rFonts w:ascii="Times New Roman" w:hAnsi="Times New Roman" w:cs="Times New Roman"/>
        </w:rPr>
      </w:pPr>
      <w:r w:rsidRPr="00B60DBF">
        <w:rPr>
          <w:rFonts w:ascii="Times New Roman" w:hAnsi="Times New Roman" w:cs="Times New Roman"/>
        </w:rPr>
        <w:fldChar w:fldCharType="end"/>
      </w:r>
    </w:p>
    <w:sectPr w:rsidR="00CC2055" w:rsidRPr="002F3A6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59323C" w14:textId="77777777" w:rsidR="0010178B" w:rsidRDefault="0010178B" w:rsidP="005F1A88">
      <w:pPr>
        <w:spacing w:after="0" w:line="240" w:lineRule="auto"/>
      </w:pPr>
      <w:r>
        <w:separator/>
      </w:r>
    </w:p>
  </w:endnote>
  <w:endnote w:type="continuationSeparator" w:id="0">
    <w:p w14:paraId="26F37BC2" w14:textId="77777777" w:rsidR="0010178B" w:rsidRDefault="0010178B" w:rsidP="005F1A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KaiTi">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61444841"/>
      <w:docPartObj>
        <w:docPartGallery w:val="Page Numbers (Bottom of Page)"/>
        <w:docPartUnique/>
      </w:docPartObj>
    </w:sdtPr>
    <w:sdtContent>
      <w:p w14:paraId="5A04D00D" w14:textId="0DF0C8AD" w:rsidR="005F1A88" w:rsidRDefault="005F1A88" w:rsidP="000A088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6F898A6" w14:textId="77777777" w:rsidR="005F1A88" w:rsidRDefault="005F1A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357939915"/>
      <w:docPartObj>
        <w:docPartGallery w:val="Page Numbers (Bottom of Page)"/>
        <w:docPartUnique/>
      </w:docPartObj>
    </w:sdtPr>
    <w:sdtContent>
      <w:p w14:paraId="59B51D6D" w14:textId="408E864F" w:rsidR="005F1A88" w:rsidRDefault="005F1A88" w:rsidP="000A088E">
        <w:pPr>
          <w:pStyle w:val="Footer"/>
          <w:framePr w:wrap="none" w:vAnchor="text" w:hAnchor="margin" w:xAlign="center" w:y="1"/>
          <w:rPr>
            <w:rStyle w:val="PageNumber"/>
          </w:rPr>
        </w:pPr>
        <w:r>
          <w:rPr>
            <w:rStyle w:val="PageNumber"/>
          </w:rPr>
          <w:t>S</w:t>
        </w: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2643796" w14:textId="77777777" w:rsidR="005F1A88" w:rsidRDefault="005F1A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4E70EA" w14:textId="77777777" w:rsidR="0010178B" w:rsidRDefault="0010178B" w:rsidP="005F1A88">
      <w:pPr>
        <w:spacing w:after="0" w:line="240" w:lineRule="auto"/>
      </w:pPr>
      <w:r>
        <w:separator/>
      </w:r>
    </w:p>
  </w:footnote>
  <w:footnote w:type="continuationSeparator" w:id="0">
    <w:p w14:paraId="66B0794C" w14:textId="77777777" w:rsidR="0010178B" w:rsidRDefault="0010178B" w:rsidP="005F1A8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C2694"/>
    <w:multiLevelType w:val="hybridMultilevel"/>
    <w:tmpl w:val="F6CEE1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861F15"/>
    <w:multiLevelType w:val="hybridMultilevel"/>
    <w:tmpl w:val="0DE2EDEE"/>
    <w:lvl w:ilvl="0" w:tplc="588C51C0">
      <w:start w:val="45"/>
      <w:numFmt w:val="upperLetter"/>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A207B45"/>
    <w:multiLevelType w:val="hybridMultilevel"/>
    <w:tmpl w:val="425E9C76"/>
    <w:lvl w:ilvl="0" w:tplc="04090015">
      <w:start w:val="4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A3E62F0"/>
    <w:multiLevelType w:val="hybridMultilevel"/>
    <w:tmpl w:val="4B8C8E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FBC1436"/>
    <w:multiLevelType w:val="hybridMultilevel"/>
    <w:tmpl w:val="EF6E00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7AD33EB2"/>
    <w:multiLevelType w:val="hybridMultilevel"/>
    <w:tmpl w:val="2A3A60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89887343">
    <w:abstractNumId w:val="3"/>
  </w:num>
  <w:num w:numId="2" w16cid:durableId="1861703605">
    <w:abstractNumId w:val="0"/>
  </w:num>
  <w:num w:numId="3" w16cid:durableId="132529919">
    <w:abstractNumId w:val="4"/>
  </w:num>
  <w:num w:numId="4" w16cid:durableId="1468429219">
    <w:abstractNumId w:val="5"/>
  </w:num>
  <w:num w:numId="5" w16cid:durableId="291250637">
    <w:abstractNumId w:val="1"/>
  </w:num>
  <w:num w:numId="6" w16cid:durableId="5093419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0"/>
  <w:defaultTabStop w:val="720"/>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35A7"/>
    <w:rsid w:val="00003D68"/>
    <w:rsid w:val="00006A76"/>
    <w:rsid w:val="000176A0"/>
    <w:rsid w:val="00023D61"/>
    <w:rsid w:val="00032A13"/>
    <w:rsid w:val="00033E0C"/>
    <w:rsid w:val="00036716"/>
    <w:rsid w:val="00037FEB"/>
    <w:rsid w:val="00044329"/>
    <w:rsid w:val="000513B8"/>
    <w:rsid w:val="000529DD"/>
    <w:rsid w:val="00055523"/>
    <w:rsid w:val="0005611C"/>
    <w:rsid w:val="00057BD5"/>
    <w:rsid w:val="000600C5"/>
    <w:rsid w:val="000639F8"/>
    <w:rsid w:val="00064677"/>
    <w:rsid w:val="000664A8"/>
    <w:rsid w:val="00067339"/>
    <w:rsid w:val="000744D1"/>
    <w:rsid w:val="00074B1C"/>
    <w:rsid w:val="00076481"/>
    <w:rsid w:val="00081C71"/>
    <w:rsid w:val="0008239B"/>
    <w:rsid w:val="000830E1"/>
    <w:rsid w:val="000839D8"/>
    <w:rsid w:val="000950C2"/>
    <w:rsid w:val="00097088"/>
    <w:rsid w:val="000A1EED"/>
    <w:rsid w:val="000A498B"/>
    <w:rsid w:val="000A6E57"/>
    <w:rsid w:val="000A7D86"/>
    <w:rsid w:val="000B6FFC"/>
    <w:rsid w:val="000C1297"/>
    <w:rsid w:val="000C26DB"/>
    <w:rsid w:val="000C296C"/>
    <w:rsid w:val="000C5361"/>
    <w:rsid w:val="000C76FB"/>
    <w:rsid w:val="000D004A"/>
    <w:rsid w:val="000D7C4E"/>
    <w:rsid w:val="000E414A"/>
    <w:rsid w:val="000F35A7"/>
    <w:rsid w:val="000F435B"/>
    <w:rsid w:val="000F6172"/>
    <w:rsid w:val="0010178B"/>
    <w:rsid w:val="001028C6"/>
    <w:rsid w:val="00105740"/>
    <w:rsid w:val="00105A54"/>
    <w:rsid w:val="00106B12"/>
    <w:rsid w:val="0011051E"/>
    <w:rsid w:val="00112255"/>
    <w:rsid w:val="00116A85"/>
    <w:rsid w:val="00121741"/>
    <w:rsid w:val="001220A5"/>
    <w:rsid w:val="00131D88"/>
    <w:rsid w:val="001439F8"/>
    <w:rsid w:val="0014412A"/>
    <w:rsid w:val="001465C4"/>
    <w:rsid w:val="00152244"/>
    <w:rsid w:val="00155E25"/>
    <w:rsid w:val="00160331"/>
    <w:rsid w:val="00165FB8"/>
    <w:rsid w:val="001678E0"/>
    <w:rsid w:val="00170F59"/>
    <w:rsid w:val="00176626"/>
    <w:rsid w:val="00180723"/>
    <w:rsid w:val="001854D8"/>
    <w:rsid w:val="001874FC"/>
    <w:rsid w:val="00187D39"/>
    <w:rsid w:val="0019184B"/>
    <w:rsid w:val="00193C13"/>
    <w:rsid w:val="001944C6"/>
    <w:rsid w:val="001A0BEF"/>
    <w:rsid w:val="001A5BC2"/>
    <w:rsid w:val="001A7B1D"/>
    <w:rsid w:val="001B677D"/>
    <w:rsid w:val="001E2DCC"/>
    <w:rsid w:val="001F1270"/>
    <w:rsid w:val="001F3E91"/>
    <w:rsid w:val="001F53D3"/>
    <w:rsid w:val="001F71B7"/>
    <w:rsid w:val="001F7909"/>
    <w:rsid w:val="00202370"/>
    <w:rsid w:val="00202BAF"/>
    <w:rsid w:val="00205509"/>
    <w:rsid w:val="002102AA"/>
    <w:rsid w:val="00216443"/>
    <w:rsid w:val="00220DBA"/>
    <w:rsid w:val="00221E93"/>
    <w:rsid w:val="002250E2"/>
    <w:rsid w:val="00227D92"/>
    <w:rsid w:val="00236E16"/>
    <w:rsid w:val="002447BD"/>
    <w:rsid w:val="00250515"/>
    <w:rsid w:val="00256D73"/>
    <w:rsid w:val="00262CEF"/>
    <w:rsid w:val="00264800"/>
    <w:rsid w:val="0027049C"/>
    <w:rsid w:val="00270823"/>
    <w:rsid w:val="00271453"/>
    <w:rsid w:val="002753D7"/>
    <w:rsid w:val="0028017A"/>
    <w:rsid w:val="0028090B"/>
    <w:rsid w:val="00287F13"/>
    <w:rsid w:val="00290914"/>
    <w:rsid w:val="00293E14"/>
    <w:rsid w:val="00296473"/>
    <w:rsid w:val="0029713D"/>
    <w:rsid w:val="0029745E"/>
    <w:rsid w:val="002A097C"/>
    <w:rsid w:val="002A225A"/>
    <w:rsid w:val="002A33CF"/>
    <w:rsid w:val="002A4D34"/>
    <w:rsid w:val="002A6480"/>
    <w:rsid w:val="002B14C2"/>
    <w:rsid w:val="002B3E58"/>
    <w:rsid w:val="002B42E4"/>
    <w:rsid w:val="002B4CE8"/>
    <w:rsid w:val="002C1CE4"/>
    <w:rsid w:val="002C3683"/>
    <w:rsid w:val="002C4E50"/>
    <w:rsid w:val="002E0A93"/>
    <w:rsid w:val="002E38BD"/>
    <w:rsid w:val="002E610E"/>
    <w:rsid w:val="002F3A63"/>
    <w:rsid w:val="002F64F6"/>
    <w:rsid w:val="00300AA6"/>
    <w:rsid w:val="00303810"/>
    <w:rsid w:val="00306E7D"/>
    <w:rsid w:val="00310E15"/>
    <w:rsid w:val="00312D43"/>
    <w:rsid w:val="003153A2"/>
    <w:rsid w:val="00321022"/>
    <w:rsid w:val="00326BD5"/>
    <w:rsid w:val="00331F98"/>
    <w:rsid w:val="00333E00"/>
    <w:rsid w:val="00334AD9"/>
    <w:rsid w:val="00334BE2"/>
    <w:rsid w:val="003379FF"/>
    <w:rsid w:val="00337FC0"/>
    <w:rsid w:val="0034454A"/>
    <w:rsid w:val="00355EBC"/>
    <w:rsid w:val="0035782A"/>
    <w:rsid w:val="003613F5"/>
    <w:rsid w:val="00362E38"/>
    <w:rsid w:val="003648AF"/>
    <w:rsid w:val="00365367"/>
    <w:rsid w:val="00374E15"/>
    <w:rsid w:val="00377165"/>
    <w:rsid w:val="00383946"/>
    <w:rsid w:val="00390D44"/>
    <w:rsid w:val="003A1B2A"/>
    <w:rsid w:val="003B6730"/>
    <w:rsid w:val="003C2A9A"/>
    <w:rsid w:val="003C2E48"/>
    <w:rsid w:val="003C2F4B"/>
    <w:rsid w:val="003C3CDF"/>
    <w:rsid w:val="003C67F2"/>
    <w:rsid w:val="003D0857"/>
    <w:rsid w:val="003D274D"/>
    <w:rsid w:val="003D3343"/>
    <w:rsid w:val="003D6CFF"/>
    <w:rsid w:val="003F6A8F"/>
    <w:rsid w:val="00400D62"/>
    <w:rsid w:val="00407C5B"/>
    <w:rsid w:val="00411FFD"/>
    <w:rsid w:val="00412A4C"/>
    <w:rsid w:val="0041424F"/>
    <w:rsid w:val="0042213A"/>
    <w:rsid w:val="00423B6E"/>
    <w:rsid w:val="00426330"/>
    <w:rsid w:val="00426B12"/>
    <w:rsid w:val="004272EF"/>
    <w:rsid w:val="004303EB"/>
    <w:rsid w:val="00436063"/>
    <w:rsid w:val="0043608A"/>
    <w:rsid w:val="0043664B"/>
    <w:rsid w:val="00440736"/>
    <w:rsid w:val="00443A5B"/>
    <w:rsid w:val="004503FB"/>
    <w:rsid w:val="00455626"/>
    <w:rsid w:val="00456F69"/>
    <w:rsid w:val="00464995"/>
    <w:rsid w:val="004665E0"/>
    <w:rsid w:val="00473EC5"/>
    <w:rsid w:val="00474386"/>
    <w:rsid w:val="00475669"/>
    <w:rsid w:val="004930B9"/>
    <w:rsid w:val="00494DDA"/>
    <w:rsid w:val="00496985"/>
    <w:rsid w:val="00497CD5"/>
    <w:rsid w:val="004A0BE9"/>
    <w:rsid w:val="004A1697"/>
    <w:rsid w:val="004A3342"/>
    <w:rsid w:val="004A3998"/>
    <w:rsid w:val="004A62BA"/>
    <w:rsid w:val="004B1234"/>
    <w:rsid w:val="004B2904"/>
    <w:rsid w:val="004B558D"/>
    <w:rsid w:val="004B7E2A"/>
    <w:rsid w:val="004C2369"/>
    <w:rsid w:val="004C2489"/>
    <w:rsid w:val="004C590B"/>
    <w:rsid w:val="004C7CB8"/>
    <w:rsid w:val="004D06E1"/>
    <w:rsid w:val="004D4410"/>
    <w:rsid w:val="004D65A7"/>
    <w:rsid w:val="004E3BF5"/>
    <w:rsid w:val="004F2CAF"/>
    <w:rsid w:val="004F3CDE"/>
    <w:rsid w:val="00504995"/>
    <w:rsid w:val="00506C03"/>
    <w:rsid w:val="0051224A"/>
    <w:rsid w:val="005140EE"/>
    <w:rsid w:val="00520A19"/>
    <w:rsid w:val="00523829"/>
    <w:rsid w:val="00523B05"/>
    <w:rsid w:val="005319C6"/>
    <w:rsid w:val="00536F5E"/>
    <w:rsid w:val="005422AD"/>
    <w:rsid w:val="00545F44"/>
    <w:rsid w:val="00550CCE"/>
    <w:rsid w:val="00553508"/>
    <w:rsid w:val="00553C0C"/>
    <w:rsid w:val="00560D0B"/>
    <w:rsid w:val="00565521"/>
    <w:rsid w:val="005655E1"/>
    <w:rsid w:val="00570FDB"/>
    <w:rsid w:val="00586AE4"/>
    <w:rsid w:val="00586C7D"/>
    <w:rsid w:val="005A0E96"/>
    <w:rsid w:val="005A1E32"/>
    <w:rsid w:val="005A62A5"/>
    <w:rsid w:val="005B090D"/>
    <w:rsid w:val="005B166F"/>
    <w:rsid w:val="005B6A2A"/>
    <w:rsid w:val="005C0D0C"/>
    <w:rsid w:val="005C3090"/>
    <w:rsid w:val="005D0E9C"/>
    <w:rsid w:val="005D2435"/>
    <w:rsid w:val="005D2D6A"/>
    <w:rsid w:val="005D4B71"/>
    <w:rsid w:val="005D74AC"/>
    <w:rsid w:val="005E2B73"/>
    <w:rsid w:val="005F1A88"/>
    <w:rsid w:val="00614D8F"/>
    <w:rsid w:val="00624A1D"/>
    <w:rsid w:val="00624E6F"/>
    <w:rsid w:val="0062592D"/>
    <w:rsid w:val="00627C58"/>
    <w:rsid w:val="006355C3"/>
    <w:rsid w:val="006407B9"/>
    <w:rsid w:val="00640D13"/>
    <w:rsid w:val="00643987"/>
    <w:rsid w:val="006522AE"/>
    <w:rsid w:val="00656D08"/>
    <w:rsid w:val="00663F0E"/>
    <w:rsid w:val="00665D0E"/>
    <w:rsid w:val="00670F37"/>
    <w:rsid w:val="006862D2"/>
    <w:rsid w:val="00690B27"/>
    <w:rsid w:val="0069286A"/>
    <w:rsid w:val="006959DB"/>
    <w:rsid w:val="006A0606"/>
    <w:rsid w:val="006A2DAA"/>
    <w:rsid w:val="006A3DA1"/>
    <w:rsid w:val="006A40BA"/>
    <w:rsid w:val="006A4E97"/>
    <w:rsid w:val="006B16B6"/>
    <w:rsid w:val="006B3ABC"/>
    <w:rsid w:val="006B56A5"/>
    <w:rsid w:val="006B6FAC"/>
    <w:rsid w:val="006C1040"/>
    <w:rsid w:val="006C5C67"/>
    <w:rsid w:val="006C6BE8"/>
    <w:rsid w:val="006E67FF"/>
    <w:rsid w:val="006F514A"/>
    <w:rsid w:val="006F5932"/>
    <w:rsid w:val="00705AC9"/>
    <w:rsid w:val="00705B1E"/>
    <w:rsid w:val="00724370"/>
    <w:rsid w:val="00730A60"/>
    <w:rsid w:val="00736315"/>
    <w:rsid w:val="00736D0E"/>
    <w:rsid w:val="007479B4"/>
    <w:rsid w:val="00750CF6"/>
    <w:rsid w:val="00753F3A"/>
    <w:rsid w:val="00754371"/>
    <w:rsid w:val="00754D0E"/>
    <w:rsid w:val="00756BB9"/>
    <w:rsid w:val="00757464"/>
    <w:rsid w:val="007650E4"/>
    <w:rsid w:val="007731CF"/>
    <w:rsid w:val="00776379"/>
    <w:rsid w:val="00780BA6"/>
    <w:rsid w:val="007817D4"/>
    <w:rsid w:val="00792A97"/>
    <w:rsid w:val="00793D02"/>
    <w:rsid w:val="007A0B76"/>
    <w:rsid w:val="007A171D"/>
    <w:rsid w:val="007A17A6"/>
    <w:rsid w:val="007A2CA3"/>
    <w:rsid w:val="007A31B4"/>
    <w:rsid w:val="007A33B5"/>
    <w:rsid w:val="007A6339"/>
    <w:rsid w:val="007C3B31"/>
    <w:rsid w:val="007C4E29"/>
    <w:rsid w:val="007D5AC1"/>
    <w:rsid w:val="007E2E7B"/>
    <w:rsid w:val="007F3F64"/>
    <w:rsid w:val="007F630D"/>
    <w:rsid w:val="007F6332"/>
    <w:rsid w:val="00801DFC"/>
    <w:rsid w:val="0081488A"/>
    <w:rsid w:val="00814C6B"/>
    <w:rsid w:val="008171D1"/>
    <w:rsid w:val="0081752B"/>
    <w:rsid w:val="00821B65"/>
    <w:rsid w:val="00822456"/>
    <w:rsid w:val="00822DC9"/>
    <w:rsid w:val="00824AA8"/>
    <w:rsid w:val="008254A9"/>
    <w:rsid w:val="008269E3"/>
    <w:rsid w:val="00830EAC"/>
    <w:rsid w:val="00834DC6"/>
    <w:rsid w:val="00837A66"/>
    <w:rsid w:val="00841B79"/>
    <w:rsid w:val="0084217A"/>
    <w:rsid w:val="008526AB"/>
    <w:rsid w:val="008552D5"/>
    <w:rsid w:val="0085551A"/>
    <w:rsid w:val="008629E3"/>
    <w:rsid w:val="00873EFA"/>
    <w:rsid w:val="0087659D"/>
    <w:rsid w:val="00882130"/>
    <w:rsid w:val="00886CD4"/>
    <w:rsid w:val="00892318"/>
    <w:rsid w:val="00897FBD"/>
    <w:rsid w:val="008A3AFC"/>
    <w:rsid w:val="008B3282"/>
    <w:rsid w:val="008B34AE"/>
    <w:rsid w:val="008B56A1"/>
    <w:rsid w:val="008C36B9"/>
    <w:rsid w:val="008C59A1"/>
    <w:rsid w:val="008C6B1A"/>
    <w:rsid w:val="008D7C4F"/>
    <w:rsid w:val="008E40C4"/>
    <w:rsid w:val="00900300"/>
    <w:rsid w:val="0090133E"/>
    <w:rsid w:val="009038D6"/>
    <w:rsid w:val="00903C80"/>
    <w:rsid w:val="00910ACB"/>
    <w:rsid w:val="00923D14"/>
    <w:rsid w:val="00924C4B"/>
    <w:rsid w:val="00926566"/>
    <w:rsid w:val="0092676F"/>
    <w:rsid w:val="00931599"/>
    <w:rsid w:val="00932F27"/>
    <w:rsid w:val="00935500"/>
    <w:rsid w:val="00935B9E"/>
    <w:rsid w:val="0093624B"/>
    <w:rsid w:val="00941A09"/>
    <w:rsid w:val="0094369F"/>
    <w:rsid w:val="009502C9"/>
    <w:rsid w:val="00952E47"/>
    <w:rsid w:val="00954FC8"/>
    <w:rsid w:val="0096007C"/>
    <w:rsid w:val="009667C3"/>
    <w:rsid w:val="009669D1"/>
    <w:rsid w:val="00972782"/>
    <w:rsid w:val="00972AF3"/>
    <w:rsid w:val="00982525"/>
    <w:rsid w:val="009848EF"/>
    <w:rsid w:val="00990A50"/>
    <w:rsid w:val="00994E19"/>
    <w:rsid w:val="00997CB4"/>
    <w:rsid w:val="009A3032"/>
    <w:rsid w:val="009A5D4B"/>
    <w:rsid w:val="009A6E53"/>
    <w:rsid w:val="009B40FF"/>
    <w:rsid w:val="009B6066"/>
    <w:rsid w:val="009B758E"/>
    <w:rsid w:val="009C48D5"/>
    <w:rsid w:val="009E1831"/>
    <w:rsid w:val="009E1A17"/>
    <w:rsid w:val="009E4729"/>
    <w:rsid w:val="009E4E26"/>
    <w:rsid w:val="009E5572"/>
    <w:rsid w:val="009F0F78"/>
    <w:rsid w:val="009F3385"/>
    <w:rsid w:val="00A02C40"/>
    <w:rsid w:val="00A0737E"/>
    <w:rsid w:val="00A10ED5"/>
    <w:rsid w:val="00A120BC"/>
    <w:rsid w:val="00A166F6"/>
    <w:rsid w:val="00A16AE5"/>
    <w:rsid w:val="00A20558"/>
    <w:rsid w:val="00A23E3A"/>
    <w:rsid w:val="00A276D2"/>
    <w:rsid w:val="00A315A6"/>
    <w:rsid w:val="00A3283D"/>
    <w:rsid w:val="00A3495C"/>
    <w:rsid w:val="00A357C9"/>
    <w:rsid w:val="00A37E6A"/>
    <w:rsid w:val="00A42398"/>
    <w:rsid w:val="00A529D8"/>
    <w:rsid w:val="00A602F9"/>
    <w:rsid w:val="00A70397"/>
    <w:rsid w:val="00A72776"/>
    <w:rsid w:val="00A804FD"/>
    <w:rsid w:val="00A85EC8"/>
    <w:rsid w:val="00A90857"/>
    <w:rsid w:val="00A91E32"/>
    <w:rsid w:val="00AA01BA"/>
    <w:rsid w:val="00AA082E"/>
    <w:rsid w:val="00AA2C7F"/>
    <w:rsid w:val="00AA45B0"/>
    <w:rsid w:val="00AB2D2F"/>
    <w:rsid w:val="00AB3623"/>
    <w:rsid w:val="00AB53BE"/>
    <w:rsid w:val="00AB64C0"/>
    <w:rsid w:val="00AB7A9C"/>
    <w:rsid w:val="00AC05F7"/>
    <w:rsid w:val="00AC2BFE"/>
    <w:rsid w:val="00AC4847"/>
    <w:rsid w:val="00AC62B0"/>
    <w:rsid w:val="00AE04F6"/>
    <w:rsid w:val="00AE4C04"/>
    <w:rsid w:val="00AE539B"/>
    <w:rsid w:val="00AF0B68"/>
    <w:rsid w:val="00AF1E06"/>
    <w:rsid w:val="00AF2CF7"/>
    <w:rsid w:val="00B03D48"/>
    <w:rsid w:val="00B11717"/>
    <w:rsid w:val="00B22933"/>
    <w:rsid w:val="00B22F64"/>
    <w:rsid w:val="00B32AAA"/>
    <w:rsid w:val="00B36838"/>
    <w:rsid w:val="00B43E87"/>
    <w:rsid w:val="00B513D8"/>
    <w:rsid w:val="00B5195F"/>
    <w:rsid w:val="00B52476"/>
    <w:rsid w:val="00B53A6B"/>
    <w:rsid w:val="00B53CFF"/>
    <w:rsid w:val="00B54190"/>
    <w:rsid w:val="00B60DBF"/>
    <w:rsid w:val="00B629F3"/>
    <w:rsid w:val="00B651B2"/>
    <w:rsid w:val="00B6557B"/>
    <w:rsid w:val="00B720EE"/>
    <w:rsid w:val="00B77970"/>
    <w:rsid w:val="00B8323F"/>
    <w:rsid w:val="00B83B19"/>
    <w:rsid w:val="00B86F14"/>
    <w:rsid w:val="00B918F2"/>
    <w:rsid w:val="00B95F66"/>
    <w:rsid w:val="00B973B4"/>
    <w:rsid w:val="00BA27F5"/>
    <w:rsid w:val="00BB3C7C"/>
    <w:rsid w:val="00BB6695"/>
    <w:rsid w:val="00BC2DEA"/>
    <w:rsid w:val="00BC6855"/>
    <w:rsid w:val="00BD0613"/>
    <w:rsid w:val="00BD1EC1"/>
    <w:rsid w:val="00BE2AD5"/>
    <w:rsid w:val="00BE7D3F"/>
    <w:rsid w:val="00BF0938"/>
    <w:rsid w:val="00BF568C"/>
    <w:rsid w:val="00C03D9B"/>
    <w:rsid w:val="00C05D49"/>
    <w:rsid w:val="00C13B46"/>
    <w:rsid w:val="00C14C12"/>
    <w:rsid w:val="00C1671F"/>
    <w:rsid w:val="00C1703C"/>
    <w:rsid w:val="00C205E9"/>
    <w:rsid w:val="00C20681"/>
    <w:rsid w:val="00C354C4"/>
    <w:rsid w:val="00C35CCF"/>
    <w:rsid w:val="00C36FE0"/>
    <w:rsid w:val="00C44CF2"/>
    <w:rsid w:val="00C47512"/>
    <w:rsid w:val="00C478E9"/>
    <w:rsid w:val="00C50C8C"/>
    <w:rsid w:val="00C53A1D"/>
    <w:rsid w:val="00C56FF0"/>
    <w:rsid w:val="00C61295"/>
    <w:rsid w:val="00C63940"/>
    <w:rsid w:val="00C65080"/>
    <w:rsid w:val="00C74D48"/>
    <w:rsid w:val="00C75758"/>
    <w:rsid w:val="00C76607"/>
    <w:rsid w:val="00C76C9A"/>
    <w:rsid w:val="00C77E23"/>
    <w:rsid w:val="00C83974"/>
    <w:rsid w:val="00C87B6D"/>
    <w:rsid w:val="00C92D30"/>
    <w:rsid w:val="00CA4E27"/>
    <w:rsid w:val="00CA5568"/>
    <w:rsid w:val="00CB41E6"/>
    <w:rsid w:val="00CB5886"/>
    <w:rsid w:val="00CC2055"/>
    <w:rsid w:val="00CE73CF"/>
    <w:rsid w:val="00CF2E3E"/>
    <w:rsid w:val="00CF4908"/>
    <w:rsid w:val="00CF708C"/>
    <w:rsid w:val="00D02D1B"/>
    <w:rsid w:val="00D04680"/>
    <w:rsid w:val="00D135CD"/>
    <w:rsid w:val="00D160DD"/>
    <w:rsid w:val="00D249B0"/>
    <w:rsid w:val="00D24FD8"/>
    <w:rsid w:val="00D3176C"/>
    <w:rsid w:val="00D3425D"/>
    <w:rsid w:val="00D356D5"/>
    <w:rsid w:val="00D36481"/>
    <w:rsid w:val="00D41F97"/>
    <w:rsid w:val="00D56048"/>
    <w:rsid w:val="00D562F2"/>
    <w:rsid w:val="00D56C36"/>
    <w:rsid w:val="00D56C56"/>
    <w:rsid w:val="00D66246"/>
    <w:rsid w:val="00D71C73"/>
    <w:rsid w:val="00D74AC3"/>
    <w:rsid w:val="00D7568D"/>
    <w:rsid w:val="00D82B89"/>
    <w:rsid w:val="00D87CA2"/>
    <w:rsid w:val="00D93393"/>
    <w:rsid w:val="00D9371A"/>
    <w:rsid w:val="00D9371E"/>
    <w:rsid w:val="00D95461"/>
    <w:rsid w:val="00D955FB"/>
    <w:rsid w:val="00D96915"/>
    <w:rsid w:val="00D96B39"/>
    <w:rsid w:val="00DB4B2F"/>
    <w:rsid w:val="00DC431D"/>
    <w:rsid w:val="00DC5003"/>
    <w:rsid w:val="00DC6315"/>
    <w:rsid w:val="00DD04E7"/>
    <w:rsid w:val="00DD0990"/>
    <w:rsid w:val="00DD1623"/>
    <w:rsid w:val="00DE3A6B"/>
    <w:rsid w:val="00DE3AC2"/>
    <w:rsid w:val="00DE3EC8"/>
    <w:rsid w:val="00DE5893"/>
    <w:rsid w:val="00DF1095"/>
    <w:rsid w:val="00DF135D"/>
    <w:rsid w:val="00DF1613"/>
    <w:rsid w:val="00DF36BE"/>
    <w:rsid w:val="00DF689F"/>
    <w:rsid w:val="00E10D10"/>
    <w:rsid w:val="00E14696"/>
    <w:rsid w:val="00E16256"/>
    <w:rsid w:val="00E208FA"/>
    <w:rsid w:val="00E2609C"/>
    <w:rsid w:val="00E33D25"/>
    <w:rsid w:val="00E40D31"/>
    <w:rsid w:val="00E42FCD"/>
    <w:rsid w:val="00E443DC"/>
    <w:rsid w:val="00E467CC"/>
    <w:rsid w:val="00E52EDE"/>
    <w:rsid w:val="00E53DAA"/>
    <w:rsid w:val="00E57113"/>
    <w:rsid w:val="00E60596"/>
    <w:rsid w:val="00E652FC"/>
    <w:rsid w:val="00E73ADF"/>
    <w:rsid w:val="00E81AE0"/>
    <w:rsid w:val="00E874AC"/>
    <w:rsid w:val="00E952B7"/>
    <w:rsid w:val="00EA12A3"/>
    <w:rsid w:val="00EA12F2"/>
    <w:rsid w:val="00EA2A51"/>
    <w:rsid w:val="00EB2CAF"/>
    <w:rsid w:val="00EB44E1"/>
    <w:rsid w:val="00EB68C8"/>
    <w:rsid w:val="00EB735E"/>
    <w:rsid w:val="00EC1113"/>
    <w:rsid w:val="00EC57F2"/>
    <w:rsid w:val="00ED310C"/>
    <w:rsid w:val="00ED3B23"/>
    <w:rsid w:val="00ED433B"/>
    <w:rsid w:val="00ED6BCA"/>
    <w:rsid w:val="00ED6F72"/>
    <w:rsid w:val="00EE2771"/>
    <w:rsid w:val="00F01E49"/>
    <w:rsid w:val="00F02B4C"/>
    <w:rsid w:val="00F07FFC"/>
    <w:rsid w:val="00F133B7"/>
    <w:rsid w:val="00F1647A"/>
    <w:rsid w:val="00F21082"/>
    <w:rsid w:val="00F2115A"/>
    <w:rsid w:val="00F2740C"/>
    <w:rsid w:val="00F31F20"/>
    <w:rsid w:val="00F413FC"/>
    <w:rsid w:val="00F41E82"/>
    <w:rsid w:val="00F4478C"/>
    <w:rsid w:val="00F46496"/>
    <w:rsid w:val="00F46F2D"/>
    <w:rsid w:val="00F470C8"/>
    <w:rsid w:val="00F601B8"/>
    <w:rsid w:val="00F6107B"/>
    <w:rsid w:val="00F65094"/>
    <w:rsid w:val="00F677AF"/>
    <w:rsid w:val="00F710C1"/>
    <w:rsid w:val="00F71AEA"/>
    <w:rsid w:val="00F74630"/>
    <w:rsid w:val="00F85386"/>
    <w:rsid w:val="00F9036E"/>
    <w:rsid w:val="00F93718"/>
    <w:rsid w:val="00F94DDF"/>
    <w:rsid w:val="00FB0F18"/>
    <w:rsid w:val="00FB1AE3"/>
    <w:rsid w:val="00FB43CA"/>
    <w:rsid w:val="00FB6224"/>
    <w:rsid w:val="00FB6718"/>
    <w:rsid w:val="00FB67C7"/>
    <w:rsid w:val="00FC3B87"/>
    <w:rsid w:val="00FC54C6"/>
    <w:rsid w:val="00FC6FE8"/>
    <w:rsid w:val="00FC7FBE"/>
    <w:rsid w:val="00FD280D"/>
    <w:rsid w:val="00FD33C4"/>
    <w:rsid w:val="00FD3D11"/>
    <w:rsid w:val="00FE54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6BFE77"/>
  <w15:chartTrackingRefBased/>
  <w15:docId w15:val="{12B081C6-378E-E249-93EB-81CE1C9294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F35A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F35A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F35A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F35A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F35A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F35A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F35A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F35A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F35A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35A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F35A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F35A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F35A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F35A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F35A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F35A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F35A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F35A7"/>
    <w:rPr>
      <w:rFonts w:eastAsiaTheme="majorEastAsia" w:cstheme="majorBidi"/>
      <w:color w:val="272727" w:themeColor="text1" w:themeTint="D8"/>
    </w:rPr>
  </w:style>
  <w:style w:type="paragraph" w:styleId="Title">
    <w:name w:val="Title"/>
    <w:basedOn w:val="Normal"/>
    <w:next w:val="Normal"/>
    <w:link w:val="TitleChar"/>
    <w:uiPriority w:val="10"/>
    <w:qFormat/>
    <w:rsid w:val="000F35A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F35A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F35A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F35A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F35A7"/>
    <w:pPr>
      <w:spacing w:before="160"/>
      <w:jc w:val="center"/>
    </w:pPr>
    <w:rPr>
      <w:i/>
      <w:iCs/>
      <w:color w:val="404040" w:themeColor="text1" w:themeTint="BF"/>
    </w:rPr>
  </w:style>
  <w:style w:type="character" w:customStyle="1" w:styleId="QuoteChar">
    <w:name w:val="Quote Char"/>
    <w:basedOn w:val="DefaultParagraphFont"/>
    <w:link w:val="Quote"/>
    <w:uiPriority w:val="29"/>
    <w:rsid w:val="000F35A7"/>
    <w:rPr>
      <w:i/>
      <w:iCs/>
      <w:color w:val="404040" w:themeColor="text1" w:themeTint="BF"/>
    </w:rPr>
  </w:style>
  <w:style w:type="paragraph" w:styleId="ListParagraph">
    <w:name w:val="List Paragraph"/>
    <w:basedOn w:val="Normal"/>
    <w:uiPriority w:val="34"/>
    <w:qFormat/>
    <w:rsid w:val="000F35A7"/>
    <w:pPr>
      <w:ind w:left="720"/>
      <w:contextualSpacing/>
    </w:pPr>
  </w:style>
  <w:style w:type="character" w:styleId="IntenseEmphasis">
    <w:name w:val="Intense Emphasis"/>
    <w:basedOn w:val="DefaultParagraphFont"/>
    <w:uiPriority w:val="21"/>
    <w:qFormat/>
    <w:rsid w:val="000F35A7"/>
    <w:rPr>
      <w:i/>
      <w:iCs/>
      <w:color w:val="0F4761" w:themeColor="accent1" w:themeShade="BF"/>
    </w:rPr>
  </w:style>
  <w:style w:type="paragraph" w:styleId="IntenseQuote">
    <w:name w:val="Intense Quote"/>
    <w:basedOn w:val="Normal"/>
    <w:next w:val="Normal"/>
    <w:link w:val="IntenseQuoteChar"/>
    <w:uiPriority w:val="30"/>
    <w:qFormat/>
    <w:rsid w:val="000F35A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F35A7"/>
    <w:rPr>
      <w:i/>
      <w:iCs/>
      <w:color w:val="0F4761" w:themeColor="accent1" w:themeShade="BF"/>
    </w:rPr>
  </w:style>
  <w:style w:type="character" w:styleId="IntenseReference">
    <w:name w:val="Intense Reference"/>
    <w:basedOn w:val="DefaultParagraphFont"/>
    <w:uiPriority w:val="32"/>
    <w:qFormat/>
    <w:rsid w:val="000F35A7"/>
    <w:rPr>
      <w:b/>
      <w:bCs/>
      <w:smallCaps/>
      <w:color w:val="0F4761" w:themeColor="accent1" w:themeShade="BF"/>
      <w:spacing w:val="5"/>
    </w:rPr>
  </w:style>
  <w:style w:type="table" w:styleId="TableGrid">
    <w:name w:val="Table Grid"/>
    <w:basedOn w:val="TableNormal"/>
    <w:uiPriority w:val="39"/>
    <w:qFormat/>
    <w:rsid w:val="00E605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har"/>
    <w:uiPriority w:val="99"/>
    <w:unhideWhenUsed/>
    <w:qFormat/>
    <w:rsid w:val="008C59A1"/>
    <w:rPr>
      <w:rFonts w:ascii="Times New Roman" w:hAnsi="Times New Roman" w:cs="Times New Roman"/>
    </w:rPr>
  </w:style>
  <w:style w:type="paragraph" w:customStyle="1" w:styleId="BATitle">
    <w:name w:val="BA_Title"/>
    <w:basedOn w:val="Normal"/>
    <w:next w:val="Normal"/>
    <w:rsid w:val="008E40C4"/>
    <w:pPr>
      <w:spacing w:before="720" w:after="360" w:line="480" w:lineRule="auto"/>
      <w:jc w:val="center"/>
    </w:pPr>
    <w:rPr>
      <w:rFonts w:ascii="Times New Roman" w:eastAsia="SimSun" w:hAnsi="Times New Roman" w:cs="Times New Roman"/>
      <w:kern w:val="0"/>
      <w:sz w:val="44"/>
      <w:szCs w:val="20"/>
      <w:lang w:eastAsia="en-US"/>
      <w14:ligatures w14:val="none"/>
    </w:rPr>
  </w:style>
  <w:style w:type="paragraph" w:customStyle="1" w:styleId="BBAuthorName">
    <w:name w:val="BB_Author_Name"/>
    <w:basedOn w:val="Normal"/>
    <w:next w:val="BCAuthorAddress"/>
    <w:rsid w:val="008E40C4"/>
    <w:pPr>
      <w:spacing w:after="240" w:line="480" w:lineRule="auto"/>
      <w:jc w:val="center"/>
    </w:pPr>
    <w:rPr>
      <w:rFonts w:ascii="Times" w:eastAsia="SimSun" w:hAnsi="Times" w:cs="Times New Roman"/>
      <w:i/>
      <w:kern w:val="0"/>
      <w:szCs w:val="20"/>
      <w:lang w:eastAsia="en-US"/>
      <w14:ligatures w14:val="none"/>
    </w:rPr>
  </w:style>
  <w:style w:type="paragraph" w:customStyle="1" w:styleId="BCAuthorAddress">
    <w:name w:val="BC_Author_Address"/>
    <w:basedOn w:val="Normal"/>
    <w:next w:val="Normal"/>
    <w:rsid w:val="008E40C4"/>
    <w:pPr>
      <w:spacing w:after="240" w:line="480" w:lineRule="auto"/>
      <w:jc w:val="center"/>
    </w:pPr>
    <w:rPr>
      <w:rFonts w:ascii="Times" w:eastAsia="SimSun" w:hAnsi="Times" w:cs="Times New Roman"/>
      <w:kern w:val="0"/>
      <w:szCs w:val="20"/>
      <w:lang w:eastAsia="en-US"/>
      <w14:ligatures w14:val="none"/>
    </w:rPr>
  </w:style>
  <w:style w:type="paragraph" w:customStyle="1" w:styleId="FACorrespondingAuthorFootnote">
    <w:name w:val="FA_Corresponding_Author_Footnote"/>
    <w:basedOn w:val="Normal"/>
    <w:next w:val="Normal"/>
    <w:rsid w:val="008E40C4"/>
    <w:pPr>
      <w:spacing w:after="200" w:line="480" w:lineRule="auto"/>
      <w:jc w:val="both"/>
    </w:pPr>
    <w:rPr>
      <w:rFonts w:ascii="Times" w:eastAsia="SimSun" w:hAnsi="Times" w:cs="Times New Roman"/>
      <w:kern w:val="0"/>
      <w:szCs w:val="20"/>
      <w:lang w:eastAsia="en-US"/>
      <w14:ligatures w14:val="none"/>
    </w:rPr>
  </w:style>
  <w:style w:type="paragraph" w:customStyle="1" w:styleId="FAAuthorInfoSubtitle">
    <w:name w:val="FA_Author_Info_Subtitle"/>
    <w:basedOn w:val="Normal"/>
    <w:link w:val="FAAuthorInfoSubtitleChar"/>
    <w:autoRedefine/>
    <w:rsid w:val="008E40C4"/>
    <w:pPr>
      <w:spacing w:before="120" w:after="60" w:line="480" w:lineRule="auto"/>
    </w:pPr>
    <w:rPr>
      <w:rFonts w:ascii="Times" w:eastAsia="SimSun" w:hAnsi="Times" w:cs="Times New Roman"/>
      <w:b/>
      <w:kern w:val="0"/>
      <w:szCs w:val="20"/>
      <w:lang w:eastAsia="en-US"/>
      <w14:ligatures w14:val="none"/>
    </w:rPr>
  </w:style>
  <w:style w:type="character" w:customStyle="1" w:styleId="FAAuthorInfoSubtitleChar">
    <w:name w:val="FA_Author_Info_Subtitle Char"/>
    <w:link w:val="FAAuthorInfoSubtitle"/>
    <w:rsid w:val="008E40C4"/>
    <w:rPr>
      <w:rFonts w:ascii="Times" w:eastAsia="SimSun" w:hAnsi="Times" w:cs="Times New Roman"/>
      <w:b/>
      <w:kern w:val="0"/>
      <w:szCs w:val="20"/>
      <w:lang w:eastAsia="en-US"/>
      <w14:ligatures w14:val="none"/>
    </w:rPr>
  </w:style>
  <w:style w:type="character" w:styleId="Hyperlink">
    <w:name w:val="Hyperlink"/>
    <w:basedOn w:val="DefaultParagraphFont"/>
    <w:uiPriority w:val="99"/>
    <w:unhideWhenUsed/>
    <w:qFormat/>
    <w:rsid w:val="002F3A63"/>
    <w:rPr>
      <w:color w:val="467886" w:themeColor="hyperlink"/>
      <w:u w:val="single"/>
    </w:rPr>
  </w:style>
  <w:style w:type="character" w:styleId="UnresolvedMention">
    <w:name w:val="Unresolved Mention"/>
    <w:basedOn w:val="DefaultParagraphFont"/>
    <w:uiPriority w:val="99"/>
    <w:semiHidden/>
    <w:unhideWhenUsed/>
    <w:rsid w:val="002F3A63"/>
    <w:rPr>
      <w:color w:val="605E5C"/>
      <w:shd w:val="clear" w:color="auto" w:fill="E1DFDD"/>
    </w:rPr>
  </w:style>
  <w:style w:type="table" w:styleId="PlainTable2">
    <w:name w:val="Plain Table 2"/>
    <w:basedOn w:val="TableNormal"/>
    <w:uiPriority w:val="42"/>
    <w:rsid w:val="00B86F1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ormalWebChar">
    <w:name w:val="Normal (Web) Char"/>
    <w:basedOn w:val="DefaultParagraphFont"/>
    <w:link w:val="NormalWeb"/>
    <w:uiPriority w:val="99"/>
    <w:rsid w:val="006C5C67"/>
    <w:rPr>
      <w:rFonts w:ascii="Times New Roman" w:hAnsi="Times New Roman" w:cs="Times New Roman"/>
    </w:rPr>
  </w:style>
  <w:style w:type="character" w:styleId="PlaceholderText">
    <w:name w:val="Placeholder Text"/>
    <w:basedOn w:val="DefaultParagraphFont"/>
    <w:uiPriority w:val="99"/>
    <w:semiHidden/>
    <w:rsid w:val="002A4D34"/>
    <w:rPr>
      <w:color w:val="666666"/>
    </w:rPr>
  </w:style>
  <w:style w:type="paragraph" w:styleId="Bibliography">
    <w:name w:val="Bibliography"/>
    <w:basedOn w:val="Normal"/>
    <w:next w:val="Normal"/>
    <w:uiPriority w:val="37"/>
    <w:unhideWhenUsed/>
    <w:rsid w:val="00CC2055"/>
    <w:pPr>
      <w:tabs>
        <w:tab w:val="left" w:pos="380"/>
      </w:tabs>
      <w:spacing w:after="0" w:line="240" w:lineRule="auto"/>
      <w:ind w:left="384" w:hanging="384"/>
    </w:pPr>
  </w:style>
  <w:style w:type="character" w:styleId="CommentReference">
    <w:name w:val="annotation reference"/>
    <w:basedOn w:val="DefaultParagraphFont"/>
    <w:uiPriority w:val="99"/>
    <w:semiHidden/>
    <w:unhideWhenUsed/>
    <w:rsid w:val="006B3ABC"/>
    <w:rPr>
      <w:sz w:val="16"/>
      <w:szCs w:val="16"/>
    </w:rPr>
  </w:style>
  <w:style w:type="paragraph" w:styleId="CommentText">
    <w:name w:val="annotation text"/>
    <w:basedOn w:val="Normal"/>
    <w:link w:val="CommentTextChar"/>
    <w:uiPriority w:val="99"/>
    <w:semiHidden/>
    <w:unhideWhenUsed/>
    <w:rsid w:val="006B3ABC"/>
    <w:pPr>
      <w:spacing w:line="240" w:lineRule="auto"/>
    </w:pPr>
    <w:rPr>
      <w:sz w:val="20"/>
      <w:szCs w:val="20"/>
    </w:rPr>
  </w:style>
  <w:style w:type="character" w:customStyle="1" w:styleId="CommentTextChar">
    <w:name w:val="Comment Text Char"/>
    <w:basedOn w:val="DefaultParagraphFont"/>
    <w:link w:val="CommentText"/>
    <w:uiPriority w:val="99"/>
    <w:semiHidden/>
    <w:rsid w:val="006B3ABC"/>
    <w:rPr>
      <w:sz w:val="20"/>
      <w:szCs w:val="20"/>
    </w:rPr>
  </w:style>
  <w:style w:type="paragraph" w:styleId="CommentSubject">
    <w:name w:val="annotation subject"/>
    <w:basedOn w:val="CommentText"/>
    <w:next w:val="CommentText"/>
    <w:link w:val="CommentSubjectChar"/>
    <w:uiPriority w:val="99"/>
    <w:semiHidden/>
    <w:unhideWhenUsed/>
    <w:rsid w:val="006B3ABC"/>
    <w:rPr>
      <w:b/>
      <w:bCs/>
    </w:rPr>
  </w:style>
  <w:style w:type="character" w:customStyle="1" w:styleId="CommentSubjectChar">
    <w:name w:val="Comment Subject Char"/>
    <w:basedOn w:val="CommentTextChar"/>
    <w:link w:val="CommentSubject"/>
    <w:uiPriority w:val="99"/>
    <w:semiHidden/>
    <w:rsid w:val="006B3ABC"/>
    <w:rPr>
      <w:b/>
      <w:bCs/>
      <w:sz w:val="20"/>
      <w:szCs w:val="20"/>
    </w:rPr>
  </w:style>
  <w:style w:type="paragraph" w:styleId="TOC1">
    <w:name w:val="toc 1"/>
    <w:basedOn w:val="Normal"/>
    <w:next w:val="Normal"/>
    <w:autoRedefine/>
    <w:uiPriority w:val="39"/>
    <w:unhideWhenUsed/>
    <w:rsid w:val="00F93718"/>
    <w:pPr>
      <w:spacing w:after="100"/>
    </w:pPr>
  </w:style>
  <w:style w:type="paragraph" w:styleId="Footer">
    <w:name w:val="footer"/>
    <w:basedOn w:val="Normal"/>
    <w:link w:val="FooterChar"/>
    <w:uiPriority w:val="99"/>
    <w:unhideWhenUsed/>
    <w:rsid w:val="005F1A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1A88"/>
  </w:style>
  <w:style w:type="character" w:styleId="PageNumber">
    <w:name w:val="page number"/>
    <w:basedOn w:val="DefaultParagraphFont"/>
    <w:uiPriority w:val="99"/>
    <w:semiHidden/>
    <w:unhideWhenUsed/>
    <w:rsid w:val="005F1A88"/>
  </w:style>
  <w:style w:type="paragraph" w:styleId="Header">
    <w:name w:val="header"/>
    <w:basedOn w:val="Normal"/>
    <w:link w:val="HeaderChar"/>
    <w:uiPriority w:val="99"/>
    <w:unhideWhenUsed/>
    <w:rsid w:val="005F1A88"/>
    <w:pPr>
      <w:tabs>
        <w:tab w:val="center" w:pos="4680"/>
        <w:tab w:val="right" w:pos="9360"/>
      </w:tabs>
      <w:spacing w:after="0" w:line="240" w:lineRule="auto"/>
    </w:pPr>
  </w:style>
  <w:style w:type="character" w:customStyle="1" w:styleId="HeaderChar">
    <w:name w:val="Header Char"/>
    <w:basedOn w:val="DefaultParagraphFont"/>
    <w:link w:val="Header"/>
    <w:uiPriority w:val="99"/>
    <w:rsid w:val="005F1A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646111">
      <w:bodyDiv w:val="1"/>
      <w:marLeft w:val="0"/>
      <w:marRight w:val="0"/>
      <w:marTop w:val="0"/>
      <w:marBottom w:val="0"/>
      <w:divBdr>
        <w:top w:val="none" w:sz="0" w:space="0" w:color="auto"/>
        <w:left w:val="none" w:sz="0" w:space="0" w:color="auto"/>
        <w:bottom w:val="none" w:sz="0" w:space="0" w:color="auto"/>
        <w:right w:val="none" w:sz="0" w:space="0" w:color="auto"/>
      </w:divBdr>
    </w:div>
    <w:div w:id="74404797">
      <w:bodyDiv w:val="1"/>
      <w:marLeft w:val="0"/>
      <w:marRight w:val="0"/>
      <w:marTop w:val="0"/>
      <w:marBottom w:val="0"/>
      <w:divBdr>
        <w:top w:val="none" w:sz="0" w:space="0" w:color="auto"/>
        <w:left w:val="none" w:sz="0" w:space="0" w:color="auto"/>
        <w:bottom w:val="none" w:sz="0" w:space="0" w:color="auto"/>
        <w:right w:val="none" w:sz="0" w:space="0" w:color="auto"/>
      </w:divBdr>
      <w:divsChild>
        <w:div w:id="200285219">
          <w:marLeft w:val="0"/>
          <w:marRight w:val="0"/>
          <w:marTop w:val="0"/>
          <w:marBottom w:val="0"/>
          <w:divBdr>
            <w:top w:val="none" w:sz="0" w:space="0" w:color="auto"/>
            <w:left w:val="none" w:sz="0" w:space="0" w:color="auto"/>
            <w:bottom w:val="none" w:sz="0" w:space="0" w:color="auto"/>
            <w:right w:val="none" w:sz="0" w:space="0" w:color="auto"/>
          </w:divBdr>
          <w:divsChild>
            <w:div w:id="326712645">
              <w:marLeft w:val="0"/>
              <w:marRight w:val="0"/>
              <w:marTop w:val="0"/>
              <w:marBottom w:val="0"/>
              <w:divBdr>
                <w:top w:val="none" w:sz="0" w:space="0" w:color="auto"/>
                <w:left w:val="none" w:sz="0" w:space="0" w:color="auto"/>
                <w:bottom w:val="none" w:sz="0" w:space="0" w:color="auto"/>
                <w:right w:val="none" w:sz="0" w:space="0" w:color="auto"/>
              </w:divBdr>
              <w:divsChild>
                <w:div w:id="98122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38411">
      <w:bodyDiv w:val="1"/>
      <w:marLeft w:val="0"/>
      <w:marRight w:val="0"/>
      <w:marTop w:val="0"/>
      <w:marBottom w:val="0"/>
      <w:divBdr>
        <w:top w:val="none" w:sz="0" w:space="0" w:color="auto"/>
        <w:left w:val="none" w:sz="0" w:space="0" w:color="auto"/>
        <w:bottom w:val="none" w:sz="0" w:space="0" w:color="auto"/>
        <w:right w:val="none" w:sz="0" w:space="0" w:color="auto"/>
      </w:divBdr>
      <w:divsChild>
        <w:div w:id="344983312">
          <w:marLeft w:val="0"/>
          <w:marRight w:val="0"/>
          <w:marTop w:val="0"/>
          <w:marBottom w:val="0"/>
          <w:divBdr>
            <w:top w:val="none" w:sz="0" w:space="0" w:color="auto"/>
            <w:left w:val="none" w:sz="0" w:space="0" w:color="auto"/>
            <w:bottom w:val="none" w:sz="0" w:space="0" w:color="auto"/>
            <w:right w:val="none" w:sz="0" w:space="0" w:color="auto"/>
          </w:divBdr>
          <w:divsChild>
            <w:div w:id="339897602">
              <w:marLeft w:val="0"/>
              <w:marRight w:val="0"/>
              <w:marTop w:val="0"/>
              <w:marBottom w:val="0"/>
              <w:divBdr>
                <w:top w:val="none" w:sz="0" w:space="0" w:color="auto"/>
                <w:left w:val="none" w:sz="0" w:space="0" w:color="auto"/>
                <w:bottom w:val="none" w:sz="0" w:space="0" w:color="auto"/>
                <w:right w:val="none" w:sz="0" w:space="0" w:color="auto"/>
              </w:divBdr>
              <w:divsChild>
                <w:div w:id="964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840057">
      <w:bodyDiv w:val="1"/>
      <w:marLeft w:val="0"/>
      <w:marRight w:val="0"/>
      <w:marTop w:val="0"/>
      <w:marBottom w:val="0"/>
      <w:divBdr>
        <w:top w:val="none" w:sz="0" w:space="0" w:color="auto"/>
        <w:left w:val="none" w:sz="0" w:space="0" w:color="auto"/>
        <w:bottom w:val="none" w:sz="0" w:space="0" w:color="auto"/>
        <w:right w:val="none" w:sz="0" w:space="0" w:color="auto"/>
      </w:divBdr>
      <w:divsChild>
        <w:div w:id="395586383">
          <w:marLeft w:val="0"/>
          <w:marRight w:val="0"/>
          <w:marTop w:val="0"/>
          <w:marBottom w:val="0"/>
          <w:divBdr>
            <w:top w:val="none" w:sz="0" w:space="0" w:color="auto"/>
            <w:left w:val="none" w:sz="0" w:space="0" w:color="auto"/>
            <w:bottom w:val="none" w:sz="0" w:space="0" w:color="auto"/>
            <w:right w:val="none" w:sz="0" w:space="0" w:color="auto"/>
          </w:divBdr>
          <w:divsChild>
            <w:div w:id="1667441083">
              <w:marLeft w:val="0"/>
              <w:marRight w:val="0"/>
              <w:marTop w:val="0"/>
              <w:marBottom w:val="0"/>
              <w:divBdr>
                <w:top w:val="none" w:sz="0" w:space="0" w:color="auto"/>
                <w:left w:val="none" w:sz="0" w:space="0" w:color="auto"/>
                <w:bottom w:val="none" w:sz="0" w:space="0" w:color="auto"/>
                <w:right w:val="none" w:sz="0" w:space="0" w:color="auto"/>
              </w:divBdr>
              <w:divsChild>
                <w:div w:id="91759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671521">
      <w:bodyDiv w:val="1"/>
      <w:marLeft w:val="0"/>
      <w:marRight w:val="0"/>
      <w:marTop w:val="0"/>
      <w:marBottom w:val="0"/>
      <w:divBdr>
        <w:top w:val="none" w:sz="0" w:space="0" w:color="auto"/>
        <w:left w:val="none" w:sz="0" w:space="0" w:color="auto"/>
        <w:bottom w:val="none" w:sz="0" w:space="0" w:color="auto"/>
        <w:right w:val="none" w:sz="0" w:space="0" w:color="auto"/>
      </w:divBdr>
      <w:divsChild>
        <w:div w:id="753820663">
          <w:marLeft w:val="0"/>
          <w:marRight w:val="0"/>
          <w:marTop w:val="0"/>
          <w:marBottom w:val="0"/>
          <w:divBdr>
            <w:top w:val="none" w:sz="0" w:space="0" w:color="auto"/>
            <w:left w:val="none" w:sz="0" w:space="0" w:color="auto"/>
            <w:bottom w:val="none" w:sz="0" w:space="0" w:color="auto"/>
            <w:right w:val="none" w:sz="0" w:space="0" w:color="auto"/>
          </w:divBdr>
          <w:divsChild>
            <w:div w:id="143595129">
              <w:marLeft w:val="0"/>
              <w:marRight w:val="0"/>
              <w:marTop w:val="0"/>
              <w:marBottom w:val="0"/>
              <w:divBdr>
                <w:top w:val="none" w:sz="0" w:space="0" w:color="auto"/>
                <w:left w:val="none" w:sz="0" w:space="0" w:color="auto"/>
                <w:bottom w:val="none" w:sz="0" w:space="0" w:color="auto"/>
                <w:right w:val="none" w:sz="0" w:space="0" w:color="auto"/>
              </w:divBdr>
              <w:divsChild>
                <w:div w:id="188221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210506">
      <w:bodyDiv w:val="1"/>
      <w:marLeft w:val="0"/>
      <w:marRight w:val="0"/>
      <w:marTop w:val="0"/>
      <w:marBottom w:val="0"/>
      <w:divBdr>
        <w:top w:val="none" w:sz="0" w:space="0" w:color="auto"/>
        <w:left w:val="none" w:sz="0" w:space="0" w:color="auto"/>
        <w:bottom w:val="none" w:sz="0" w:space="0" w:color="auto"/>
        <w:right w:val="none" w:sz="0" w:space="0" w:color="auto"/>
      </w:divBdr>
    </w:div>
    <w:div w:id="309478662">
      <w:bodyDiv w:val="1"/>
      <w:marLeft w:val="0"/>
      <w:marRight w:val="0"/>
      <w:marTop w:val="0"/>
      <w:marBottom w:val="0"/>
      <w:divBdr>
        <w:top w:val="none" w:sz="0" w:space="0" w:color="auto"/>
        <w:left w:val="none" w:sz="0" w:space="0" w:color="auto"/>
        <w:bottom w:val="none" w:sz="0" w:space="0" w:color="auto"/>
        <w:right w:val="none" w:sz="0" w:space="0" w:color="auto"/>
      </w:divBdr>
    </w:div>
    <w:div w:id="329452682">
      <w:bodyDiv w:val="1"/>
      <w:marLeft w:val="0"/>
      <w:marRight w:val="0"/>
      <w:marTop w:val="0"/>
      <w:marBottom w:val="0"/>
      <w:divBdr>
        <w:top w:val="none" w:sz="0" w:space="0" w:color="auto"/>
        <w:left w:val="none" w:sz="0" w:space="0" w:color="auto"/>
        <w:bottom w:val="none" w:sz="0" w:space="0" w:color="auto"/>
        <w:right w:val="none" w:sz="0" w:space="0" w:color="auto"/>
      </w:divBdr>
      <w:divsChild>
        <w:div w:id="875698195">
          <w:marLeft w:val="0"/>
          <w:marRight w:val="0"/>
          <w:marTop w:val="0"/>
          <w:marBottom w:val="0"/>
          <w:divBdr>
            <w:top w:val="none" w:sz="0" w:space="0" w:color="auto"/>
            <w:left w:val="none" w:sz="0" w:space="0" w:color="auto"/>
            <w:bottom w:val="none" w:sz="0" w:space="0" w:color="auto"/>
            <w:right w:val="none" w:sz="0" w:space="0" w:color="auto"/>
          </w:divBdr>
          <w:divsChild>
            <w:div w:id="916211131">
              <w:marLeft w:val="0"/>
              <w:marRight w:val="0"/>
              <w:marTop w:val="0"/>
              <w:marBottom w:val="0"/>
              <w:divBdr>
                <w:top w:val="none" w:sz="0" w:space="0" w:color="auto"/>
                <w:left w:val="none" w:sz="0" w:space="0" w:color="auto"/>
                <w:bottom w:val="none" w:sz="0" w:space="0" w:color="auto"/>
                <w:right w:val="none" w:sz="0" w:space="0" w:color="auto"/>
              </w:divBdr>
              <w:divsChild>
                <w:div w:id="1265726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762817">
      <w:bodyDiv w:val="1"/>
      <w:marLeft w:val="0"/>
      <w:marRight w:val="0"/>
      <w:marTop w:val="0"/>
      <w:marBottom w:val="0"/>
      <w:divBdr>
        <w:top w:val="none" w:sz="0" w:space="0" w:color="auto"/>
        <w:left w:val="none" w:sz="0" w:space="0" w:color="auto"/>
        <w:bottom w:val="none" w:sz="0" w:space="0" w:color="auto"/>
        <w:right w:val="none" w:sz="0" w:space="0" w:color="auto"/>
      </w:divBdr>
      <w:divsChild>
        <w:div w:id="649989638">
          <w:marLeft w:val="0"/>
          <w:marRight w:val="0"/>
          <w:marTop w:val="0"/>
          <w:marBottom w:val="0"/>
          <w:divBdr>
            <w:top w:val="none" w:sz="0" w:space="0" w:color="auto"/>
            <w:left w:val="none" w:sz="0" w:space="0" w:color="auto"/>
            <w:bottom w:val="none" w:sz="0" w:space="0" w:color="auto"/>
            <w:right w:val="none" w:sz="0" w:space="0" w:color="auto"/>
          </w:divBdr>
          <w:divsChild>
            <w:div w:id="463278793">
              <w:marLeft w:val="0"/>
              <w:marRight w:val="0"/>
              <w:marTop w:val="0"/>
              <w:marBottom w:val="0"/>
              <w:divBdr>
                <w:top w:val="none" w:sz="0" w:space="0" w:color="auto"/>
                <w:left w:val="none" w:sz="0" w:space="0" w:color="auto"/>
                <w:bottom w:val="none" w:sz="0" w:space="0" w:color="auto"/>
                <w:right w:val="none" w:sz="0" w:space="0" w:color="auto"/>
              </w:divBdr>
              <w:divsChild>
                <w:div w:id="87715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768458">
      <w:bodyDiv w:val="1"/>
      <w:marLeft w:val="0"/>
      <w:marRight w:val="0"/>
      <w:marTop w:val="0"/>
      <w:marBottom w:val="0"/>
      <w:divBdr>
        <w:top w:val="none" w:sz="0" w:space="0" w:color="auto"/>
        <w:left w:val="none" w:sz="0" w:space="0" w:color="auto"/>
        <w:bottom w:val="none" w:sz="0" w:space="0" w:color="auto"/>
        <w:right w:val="none" w:sz="0" w:space="0" w:color="auto"/>
      </w:divBdr>
      <w:divsChild>
        <w:div w:id="1424253816">
          <w:marLeft w:val="0"/>
          <w:marRight w:val="0"/>
          <w:marTop w:val="0"/>
          <w:marBottom w:val="0"/>
          <w:divBdr>
            <w:top w:val="none" w:sz="0" w:space="0" w:color="auto"/>
            <w:left w:val="none" w:sz="0" w:space="0" w:color="auto"/>
            <w:bottom w:val="none" w:sz="0" w:space="0" w:color="auto"/>
            <w:right w:val="none" w:sz="0" w:space="0" w:color="auto"/>
          </w:divBdr>
          <w:divsChild>
            <w:div w:id="1370687043">
              <w:marLeft w:val="0"/>
              <w:marRight w:val="0"/>
              <w:marTop w:val="0"/>
              <w:marBottom w:val="0"/>
              <w:divBdr>
                <w:top w:val="none" w:sz="0" w:space="0" w:color="auto"/>
                <w:left w:val="none" w:sz="0" w:space="0" w:color="auto"/>
                <w:bottom w:val="none" w:sz="0" w:space="0" w:color="auto"/>
                <w:right w:val="none" w:sz="0" w:space="0" w:color="auto"/>
              </w:divBdr>
              <w:divsChild>
                <w:div w:id="23509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893182">
      <w:bodyDiv w:val="1"/>
      <w:marLeft w:val="0"/>
      <w:marRight w:val="0"/>
      <w:marTop w:val="0"/>
      <w:marBottom w:val="0"/>
      <w:divBdr>
        <w:top w:val="none" w:sz="0" w:space="0" w:color="auto"/>
        <w:left w:val="none" w:sz="0" w:space="0" w:color="auto"/>
        <w:bottom w:val="none" w:sz="0" w:space="0" w:color="auto"/>
        <w:right w:val="none" w:sz="0" w:space="0" w:color="auto"/>
      </w:divBdr>
      <w:divsChild>
        <w:div w:id="1078211638">
          <w:marLeft w:val="0"/>
          <w:marRight w:val="0"/>
          <w:marTop w:val="0"/>
          <w:marBottom w:val="0"/>
          <w:divBdr>
            <w:top w:val="none" w:sz="0" w:space="0" w:color="auto"/>
            <w:left w:val="none" w:sz="0" w:space="0" w:color="auto"/>
            <w:bottom w:val="none" w:sz="0" w:space="0" w:color="auto"/>
            <w:right w:val="none" w:sz="0" w:space="0" w:color="auto"/>
          </w:divBdr>
          <w:divsChild>
            <w:div w:id="109862937">
              <w:marLeft w:val="0"/>
              <w:marRight w:val="0"/>
              <w:marTop w:val="0"/>
              <w:marBottom w:val="0"/>
              <w:divBdr>
                <w:top w:val="none" w:sz="0" w:space="0" w:color="auto"/>
                <w:left w:val="none" w:sz="0" w:space="0" w:color="auto"/>
                <w:bottom w:val="none" w:sz="0" w:space="0" w:color="auto"/>
                <w:right w:val="none" w:sz="0" w:space="0" w:color="auto"/>
              </w:divBdr>
              <w:divsChild>
                <w:div w:id="85145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303828">
      <w:bodyDiv w:val="1"/>
      <w:marLeft w:val="0"/>
      <w:marRight w:val="0"/>
      <w:marTop w:val="0"/>
      <w:marBottom w:val="0"/>
      <w:divBdr>
        <w:top w:val="none" w:sz="0" w:space="0" w:color="auto"/>
        <w:left w:val="none" w:sz="0" w:space="0" w:color="auto"/>
        <w:bottom w:val="none" w:sz="0" w:space="0" w:color="auto"/>
        <w:right w:val="none" w:sz="0" w:space="0" w:color="auto"/>
      </w:divBdr>
      <w:divsChild>
        <w:div w:id="1303388296">
          <w:marLeft w:val="0"/>
          <w:marRight w:val="0"/>
          <w:marTop w:val="0"/>
          <w:marBottom w:val="0"/>
          <w:divBdr>
            <w:top w:val="none" w:sz="0" w:space="0" w:color="auto"/>
            <w:left w:val="none" w:sz="0" w:space="0" w:color="auto"/>
            <w:bottom w:val="none" w:sz="0" w:space="0" w:color="auto"/>
            <w:right w:val="none" w:sz="0" w:space="0" w:color="auto"/>
          </w:divBdr>
          <w:divsChild>
            <w:div w:id="952789452">
              <w:marLeft w:val="0"/>
              <w:marRight w:val="0"/>
              <w:marTop w:val="0"/>
              <w:marBottom w:val="0"/>
              <w:divBdr>
                <w:top w:val="none" w:sz="0" w:space="0" w:color="auto"/>
                <w:left w:val="none" w:sz="0" w:space="0" w:color="auto"/>
                <w:bottom w:val="none" w:sz="0" w:space="0" w:color="auto"/>
                <w:right w:val="none" w:sz="0" w:space="0" w:color="auto"/>
              </w:divBdr>
              <w:divsChild>
                <w:div w:id="115556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675242">
      <w:bodyDiv w:val="1"/>
      <w:marLeft w:val="0"/>
      <w:marRight w:val="0"/>
      <w:marTop w:val="0"/>
      <w:marBottom w:val="0"/>
      <w:divBdr>
        <w:top w:val="none" w:sz="0" w:space="0" w:color="auto"/>
        <w:left w:val="none" w:sz="0" w:space="0" w:color="auto"/>
        <w:bottom w:val="none" w:sz="0" w:space="0" w:color="auto"/>
        <w:right w:val="none" w:sz="0" w:space="0" w:color="auto"/>
      </w:divBdr>
      <w:divsChild>
        <w:div w:id="108862991">
          <w:marLeft w:val="0"/>
          <w:marRight w:val="0"/>
          <w:marTop w:val="0"/>
          <w:marBottom w:val="0"/>
          <w:divBdr>
            <w:top w:val="none" w:sz="0" w:space="0" w:color="auto"/>
            <w:left w:val="none" w:sz="0" w:space="0" w:color="auto"/>
            <w:bottom w:val="none" w:sz="0" w:space="0" w:color="auto"/>
            <w:right w:val="none" w:sz="0" w:space="0" w:color="auto"/>
          </w:divBdr>
          <w:divsChild>
            <w:div w:id="256839111">
              <w:marLeft w:val="0"/>
              <w:marRight w:val="0"/>
              <w:marTop w:val="0"/>
              <w:marBottom w:val="0"/>
              <w:divBdr>
                <w:top w:val="none" w:sz="0" w:space="0" w:color="auto"/>
                <w:left w:val="none" w:sz="0" w:space="0" w:color="auto"/>
                <w:bottom w:val="none" w:sz="0" w:space="0" w:color="auto"/>
                <w:right w:val="none" w:sz="0" w:space="0" w:color="auto"/>
              </w:divBdr>
              <w:divsChild>
                <w:div w:id="160742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268717">
      <w:bodyDiv w:val="1"/>
      <w:marLeft w:val="0"/>
      <w:marRight w:val="0"/>
      <w:marTop w:val="0"/>
      <w:marBottom w:val="0"/>
      <w:divBdr>
        <w:top w:val="none" w:sz="0" w:space="0" w:color="auto"/>
        <w:left w:val="none" w:sz="0" w:space="0" w:color="auto"/>
        <w:bottom w:val="none" w:sz="0" w:space="0" w:color="auto"/>
        <w:right w:val="none" w:sz="0" w:space="0" w:color="auto"/>
      </w:divBdr>
      <w:divsChild>
        <w:div w:id="149518138">
          <w:marLeft w:val="0"/>
          <w:marRight w:val="0"/>
          <w:marTop w:val="0"/>
          <w:marBottom w:val="0"/>
          <w:divBdr>
            <w:top w:val="none" w:sz="0" w:space="0" w:color="auto"/>
            <w:left w:val="none" w:sz="0" w:space="0" w:color="auto"/>
            <w:bottom w:val="none" w:sz="0" w:space="0" w:color="auto"/>
            <w:right w:val="none" w:sz="0" w:space="0" w:color="auto"/>
          </w:divBdr>
          <w:divsChild>
            <w:div w:id="1564023687">
              <w:marLeft w:val="0"/>
              <w:marRight w:val="0"/>
              <w:marTop w:val="0"/>
              <w:marBottom w:val="0"/>
              <w:divBdr>
                <w:top w:val="none" w:sz="0" w:space="0" w:color="auto"/>
                <w:left w:val="none" w:sz="0" w:space="0" w:color="auto"/>
                <w:bottom w:val="none" w:sz="0" w:space="0" w:color="auto"/>
                <w:right w:val="none" w:sz="0" w:space="0" w:color="auto"/>
              </w:divBdr>
              <w:divsChild>
                <w:div w:id="66093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530165">
      <w:bodyDiv w:val="1"/>
      <w:marLeft w:val="0"/>
      <w:marRight w:val="0"/>
      <w:marTop w:val="0"/>
      <w:marBottom w:val="0"/>
      <w:divBdr>
        <w:top w:val="none" w:sz="0" w:space="0" w:color="auto"/>
        <w:left w:val="none" w:sz="0" w:space="0" w:color="auto"/>
        <w:bottom w:val="none" w:sz="0" w:space="0" w:color="auto"/>
        <w:right w:val="none" w:sz="0" w:space="0" w:color="auto"/>
      </w:divBdr>
      <w:divsChild>
        <w:div w:id="897784938">
          <w:marLeft w:val="0"/>
          <w:marRight w:val="0"/>
          <w:marTop w:val="0"/>
          <w:marBottom w:val="0"/>
          <w:divBdr>
            <w:top w:val="none" w:sz="0" w:space="0" w:color="auto"/>
            <w:left w:val="none" w:sz="0" w:space="0" w:color="auto"/>
            <w:bottom w:val="none" w:sz="0" w:space="0" w:color="auto"/>
            <w:right w:val="none" w:sz="0" w:space="0" w:color="auto"/>
          </w:divBdr>
          <w:divsChild>
            <w:div w:id="1679304768">
              <w:marLeft w:val="0"/>
              <w:marRight w:val="0"/>
              <w:marTop w:val="0"/>
              <w:marBottom w:val="0"/>
              <w:divBdr>
                <w:top w:val="none" w:sz="0" w:space="0" w:color="auto"/>
                <w:left w:val="none" w:sz="0" w:space="0" w:color="auto"/>
                <w:bottom w:val="none" w:sz="0" w:space="0" w:color="auto"/>
                <w:right w:val="none" w:sz="0" w:space="0" w:color="auto"/>
              </w:divBdr>
              <w:divsChild>
                <w:div w:id="89076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897599">
      <w:bodyDiv w:val="1"/>
      <w:marLeft w:val="0"/>
      <w:marRight w:val="0"/>
      <w:marTop w:val="0"/>
      <w:marBottom w:val="0"/>
      <w:divBdr>
        <w:top w:val="none" w:sz="0" w:space="0" w:color="auto"/>
        <w:left w:val="none" w:sz="0" w:space="0" w:color="auto"/>
        <w:bottom w:val="none" w:sz="0" w:space="0" w:color="auto"/>
        <w:right w:val="none" w:sz="0" w:space="0" w:color="auto"/>
      </w:divBdr>
      <w:divsChild>
        <w:div w:id="869300938">
          <w:marLeft w:val="0"/>
          <w:marRight w:val="0"/>
          <w:marTop w:val="0"/>
          <w:marBottom w:val="0"/>
          <w:divBdr>
            <w:top w:val="none" w:sz="0" w:space="0" w:color="auto"/>
            <w:left w:val="none" w:sz="0" w:space="0" w:color="auto"/>
            <w:bottom w:val="none" w:sz="0" w:space="0" w:color="auto"/>
            <w:right w:val="none" w:sz="0" w:space="0" w:color="auto"/>
          </w:divBdr>
          <w:divsChild>
            <w:div w:id="450247101">
              <w:marLeft w:val="0"/>
              <w:marRight w:val="0"/>
              <w:marTop w:val="0"/>
              <w:marBottom w:val="0"/>
              <w:divBdr>
                <w:top w:val="none" w:sz="0" w:space="0" w:color="auto"/>
                <w:left w:val="none" w:sz="0" w:space="0" w:color="auto"/>
                <w:bottom w:val="none" w:sz="0" w:space="0" w:color="auto"/>
                <w:right w:val="none" w:sz="0" w:space="0" w:color="auto"/>
              </w:divBdr>
              <w:divsChild>
                <w:div w:id="5493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899077">
      <w:bodyDiv w:val="1"/>
      <w:marLeft w:val="0"/>
      <w:marRight w:val="0"/>
      <w:marTop w:val="0"/>
      <w:marBottom w:val="0"/>
      <w:divBdr>
        <w:top w:val="none" w:sz="0" w:space="0" w:color="auto"/>
        <w:left w:val="none" w:sz="0" w:space="0" w:color="auto"/>
        <w:bottom w:val="none" w:sz="0" w:space="0" w:color="auto"/>
        <w:right w:val="none" w:sz="0" w:space="0" w:color="auto"/>
      </w:divBdr>
      <w:divsChild>
        <w:div w:id="1974214236">
          <w:marLeft w:val="0"/>
          <w:marRight w:val="0"/>
          <w:marTop w:val="0"/>
          <w:marBottom w:val="0"/>
          <w:divBdr>
            <w:top w:val="none" w:sz="0" w:space="0" w:color="auto"/>
            <w:left w:val="none" w:sz="0" w:space="0" w:color="auto"/>
            <w:bottom w:val="none" w:sz="0" w:space="0" w:color="auto"/>
            <w:right w:val="none" w:sz="0" w:space="0" w:color="auto"/>
          </w:divBdr>
          <w:divsChild>
            <w:div w:id="972566704">
              <w:marLeft w:val="0"/>
              <w:marRight w:val="0"/>
              <w:marTop w:val="0"/>
              <w:marBottom w:val="0"/>
              <w:divBdr>
                <w:top w:val="none" w:sz="0" w:space="0" w:color="auto"/>
                <w:left w:val="none" w:sz="0" w:space="0" w:color="auto"/>
                <w:bottom w:val="none" w:sz="0" w:space="0" w:color="auto"/>
                <w:right w:val="none" w:sz="0" w:space="0" w:color="auto"/>
              </w:divBdr>
              <w:divsChild>
                <w:div w:id="28354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705882">
      <w:bodyDiv w:val="1"/>
      <w:marLeft w:val="0"/>
      <w:marRight w:val="0"/>
      <w:marTop w:val="0"/>
      <w:marBottom w:val="0"/>
      <w:divBdr>
        <w:top w:val="none" w:sz="0" w:space="0" w:color="auto"/>
        <w:left w:val="none" w:sz="0" w:space="0" w:color="auto"/>
        <w:bottom w:val="none" w:sz="0" w:space="0" w:color="auto"/>
        <w:right w:val="none" w:sz="0" w:space="0" w:color="auto"/>
      </w:divBdr>
      <w:divsChild>
        <w:div w:id="695231006">
          <w:marLeft w:val="0"/>
          <w:marRight w:val="0"/>
          <w:marTop w:val="0"/>
          <w:marBottom w:val="0"/>
          <w:divBdr>
            <w:top w:val="none" w:sz="0" w:space="0" w:color="auto"/>
            <w:left w:val="none" w:sz="0" w:space="0" w:color="auto"/>
            <w:bottom w:val="none" w:sz="0" w:space="0" w:color="auto"/>
            <w:right w:val="none" w:sz="0" w:space="0" w:color="auto"/>
          </w:divBdr>
          <w:divsChild>
            <w:div w:id="958535422">
              <w:marLeft w:val="0"/>
              <w:marRight w:val="0"/>
              <w:marTop w:val="0"/>
              <w:marBottom w:val="0"/>
              <w:divBdr>
                <w:top w:val="none" w:sz="0" w:space="0" w:color="auto"/>
                <w:left w:val="none" w:sz="0" w:space="0" w:color="auto"/>
                <w:bottom w:val="none" w:sz="0" w:space="0" w:color="auto"/>
                <w:right w:val="none" w:sz="0" w:space="0" w:color="auto"/>
              </w:divBdr>
              <w:divsChild>
                <w:div w:id="110769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239872">
      <w:bodyDiv w:val="1"/>
      <w:marLeft w:val="0"/>
      <w:marRight w:val="0"/>
      <w:marTop w:val="0"/>
      <w:marBottom w:val="0"/>
      <w:divBdr>
        <w:top w:val="none" w:sz="0" w:space="0" w:color="auto"/>
        <w:left w:val="none" w:sz="0" w:space="0" w:color="auto"/>
        <w:bottom w:val="none" w:sz="0" w:space="0" w:color="auto"/>
        <w:right w:val="none" w:sz="0" w:space="0" w:color="auto"/>
      </w:divBdr>
      <w:divsChild>
        <w:div w:id="932279028">
          <w:marLeft w:val="0"/>
          <w:marRight w:val="0"/>
          <w:marTop w:val="0"/>
          <w:marBottom w:val="0"/>
          <w:divBdr>
            <w:top w:val="none" w:sz="0" w:space="0" w:color="auto"/>
            <w:left w:val="none" w:sz="0" w:space="0" w:color="auto"/>
            <w:bottom w:val="none" w:sz="0" w:space="0" w:color="auto"/>
            <w:right w:val="none" w:sz="0" w:space="0" w:color="auto"/>
          </w:divBdr>
          <w:divsChild>
            <w:div w:id="2020228742">
              <w:marLeft w:val="0"/>
              <w:marRight w:val="0"/>
              <w:marTop w:val="0"/>
              <w:marBottom w:val="0"/>
              <w:divBdr>
                <w:top w:val="none" w:sz="0" w:space="0" w:color="auto"/>
                <w:left w:val="none" w:sz="0" w:space="0" w:color="auto"/>
                <w:bottom w:val="none" w:sz="0" w:space="0" w:color="auto"/>
                <w:right w:val="none" w:sz="0" w:space="0" w:color="auto"/>
              </w:divBdr>
              <w:divsChild>
                <w:div w:id="154914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613693">
      <w:bodyDiv w:val="1"/>
      <w:marLeft w:val="0"/>
      <w:marRight w:val="0"/>
      <w:marTop w:val="0"/>
      <w:marBottom w:val="0"/>
      <w:divBdr>
        <w:top w:val="none" w:sz="0" w:space="0" w:color="auto"/>
        <w:left w:val="none" w:sz="0" w:space="0" w:color="auto"/>
        <w:bottom w:val="none" w:sz="0" w:space="0" w:color="auto"/>
        <w:right w:val="none" w:sz="0" w:space="0" w:color="auto"/>
      </w:divBdr>
      <w:divsChild>
        <w:div w:id="2037845498">
          <w:marLeft w:val="0"/>
          <w:marRight w:val="0"/>
          <w:marTop w:val="0"/>
          <w:marBottom w:val="0"/>
          <w:divBdr>
            <w:top w:val="none" w:sz="0" w:space="0" w:color="auto"/>
            <w:left w:val="none" w:sz="0" w:space="0" w:color="auto"/>
            <w:bottom w:val="none" w:sz="0" w:space="0" w:color="auto"/>
            <w:right w:val="none" w:sz="0" w:space="0" w:color="auto"/>
          </w:divBdr>
          <w:divsChild>
            <w:div w:id="1888058380">
              <w:marLeft w:val="0"/>
              <w:marRight w:val="0"/>
              <w:marTop w:val="0"/>
              <w:marBottom w:val="0"/>
              <w:divBdr>
                <w:top w:val="none" w:sz="0" w:space="0" w:color="auto"/>
                <w:left w:val="none" w:sz="0" w:space="0" w:color="auto"/>
                <w:bottom w:val="none" w:sz="0" w:space="0" w:color="auto"/>
                <w:right w:val="none" w:sz="0" w:space="0" w:color="auto"/>
              </w:divBdr>
              <w:divsChild>
                <w:div w:id="186528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921310">
      <w:bodyDiv w:val="1"/>
      <w:marLeft w:val="0"/>
      <w:marRight w:val="0"/>
      <w:marTop w:val="0"/>
      <w:marBottom w:val="0"/>
      <w:divBdr>
        <w:top w:val="none" w:sz="0" w:space="0" w:color="auto"/>
        <w:left w:val="none" w:sz="0" w:space="0" w:color="auto"/>
        <w:bottom w:val="none" w:sz="0" w:space="0" w:color="auto"/>
        <w:right w:val="none" w:sz="0" w:space="0" w:color="auto"/>
      </w:divBdr>
      <w:divsChild>
        <w:div w:id="1947468395">
          <w:marLeft w:val="0"/>
          <w:marRight w:val="0"/>
          <w:marTop w:val="0"/>
          <w:marBottom w:val="0"/>
          <w:divBdr>
            <w:top w:val="none" w:sz="0" w:space="0" w:color="auto"/>
            <w:left w:val="none" w:sz="0" w:space="0" w:color="auto"/>
            <w:bottom w:val="none" w:sz="0" w:space="0" w:color="auto"/>
            <w:right w:val="none" w:sz="0" w:space="0" w:color="auto"/>
          </w:divBdr>
          <w:divsChild>
            <w:div w:id="2090232108">
              <w:marLeft w:val="0"/>
              <w:marRight w:val="0"/>
              <w:marTop w:val="0"/>
              <w:marBottom w:val="0"/>
              <w:divBdr>
                <w:top w:val="none" w:sz="0" w:space="0" w:color="auto"/>
                <w:left w:val="none" w:sz="0" w:space="0" w:color="auto"/>
                <w:bottom w:val="none" w:sz="0" w:space="0" w:color="auto"/>
                <w:right w:val="none" w:sz="0" w:space="0" w:color="auto"/>
              </w:divBdr>
              <w:divsChild>
                <w:div w:id="91632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059898">
      <w:bodyDiv w:val="1"/>
      <w:marLeft w:val="0"/>
      <w:marRight w:val="0"/>
      <w:marTop w:val="0"/>
      <w:marBottom w:val="0"/>
      <w:divBdr>
        <w:top w:val="none" w:sz="0" w:space="0" w:color="auto"/>
        <w:left w:val="none" w:sz="0" w:space="0" w:color="auto"/>
        <w:bottom w:val="none" w:sz="0" w:space="0" w:color="auto"/>
        <w:right w:val="none" w:sz="0" w:space="0" w:color="auto"/>
      </w:divBdr>
      <w:divsChild>
        <w:div w:id="676812614">
          <w:marLeft w:val="0"/>
          <w:marRight w:val="0"/>
          <w:marTop w:val="0"/>
          <w:marBottom w:val="0"/>
          <w:divBdr>
            <w:top w:val="none" w:sz="0" w:space="0" w:color="auto"/>
            <w:left w:val="none" w:sz="0" w:space="0" w:color="auto"/>
            <w:bottom w:val="none" w:sz="0" w:space="0" w:color="auto"/>
            <w:right w:val="none" w:sz="0" w:space="0" w:color="auto"/>
          </w:divBdr>
          <w:divsChild>
            <w:div w:id="505944811">
              <w:marLeft w:val="0"/>
              <w:marRight w:val="0"/>
              <w:marTop w:val="0"/>
              <w:marBottom w:val="0"/>
              <w:divBdr>
                <w:top w:val="none" w:sz="0" w:space="0" w:color="auto"/>
                <w:left w:val="none" w:sz="0" w:space="0" w:color="auto"/>
                <w:bottom w:val="none" w:sz="0" w:space="0" w:color="auto"/>
                <w:right w:val="none" w:sz="0" w:space="0" w:color="auto"/>
              </w:divBdr>
              <w:divsChild>
                <w:div w:id="38583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950294">
      <w:bodyDiv w:val="1"/>
      <w:marLeft w:val="0"/>
      <w:marRight w:val="0"/>
      <w:marTop w:val="0"/>
      <w:marBottom w:val="0"/>
      <w:divBdr>
        <w:top w:val="none" w:sz="0" w:space="0" w:color="auto"/>
        <w:left w:val="none" w:sz="0" w:space="0" w:color="auto"/>
        <w:bottom w:val="none" w:sz="0" w:space="0" w:color="auto"/>
        <w:right w:val="none" w:sz="0" w:space="0" w:color="auto"/>
      </w:divBdr>
      <w:divsChild>
        <w:div w:id="1166630503">
          <w:marLeft w:val="0"/>
          <w:marRight w:val="0"/>
          <w:marTop w:val="0"/>
          <w:marBottom w:val="0"/>
          <w:divBdr>
            <w:top w:val="none" w:sz="0" w:space="0" w:color="auto"/>
            <w:left w:val="none" w:sz="0" w:space="0" w:color="auto"/>
            <w:bottom w:val="none" w:sz="0" w:space="0" w:color="auto"/>
            <w:right w:val="none" w:sz="0" w:space="0" w:color="auto"/>
          </w:divBdr>
          <w:divsChild>
            <w:div w:id="1133870314">
              <w:marLeft w:val="0"/>
              <w:marRight w:val="0"/>
              <w:marTop w:val="0"/>
              <w:marBottom w:val="0"/>
              <w:divBdr>
                <w:top w:val="none" w:sz="0" w:space="0" w:color="auto"/>
                <w:left w:val="none" w:sz="0" w:space="0" w:color="auto"/>
                <w:bottom w:val="none" w:sz="0" w:space="0" w:color="auto"/>
                <w:right w:val="none" w:sz="0" w:space="0" w:color="auto"/>
              </w:divBdr>
              <w:divsChild>
                <w:div w:id="106806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920287">
      <w:bodyDiv w:val="1"/>
      <w:marLeft w:val="0"/>
      <w:marRight w:val="0"/>
      <w:marTop w:val="0"/>
      <w:marBottom w:val="0"/>
      <w:divBdr>
        <w:top w:val="none" w:sz="0" w:space="0" w:color="auto"/>
        <w:left w:val="none" w:sz="0" w:space="0" w:color="auto"/>
        <w:bottom w:val="none" w:sz="0" w:space="0" w:color="auto"/>
        <w:right w:val="none" w:sz="0" w:space="0" w:color="auto"/>
      </w:divBdr>
      <w:divsChild>
        <w:div w:id="1639723884">
          <w:marLeft w:val="0"/>
          <w:marRight w:val="0"/>
          <w:marTop w:val="0"/>
          <w:marBottom w:val="0"/>
          <w:divBdr>
            <w:top w:val="none" w:sz="0" w:space="0" w:color="auto"/>
            <w:left w:val="none" w:sz="0" w:space="0" w:color="auto"/>
            <w:bottom w:val="none" w:sz="0" w:space="0" w:color="auto"/>
            <w:right w:val="none" w:sz="0" w:space="0" w:color="auto"/>
          </w:divBdr>
          <w:divsChild>
            <w:div w:id="478574076">
              <w:marLeft w:val="0"/>
              <w:marRight w:val="0"/>
              <w:marTop w:val="0"/>
              <w:marBottom w:val="0"/>
              <w:divBdr>
                <w:top w:val="none" w:sz="0" w:space="0" w:color="auto"/>
                <w:left w:val="none" w:sz="0" w:space="0" w:color="auto"/>
                <w:bottom w:val="none" w:sz="0" w:space="0" w:color="auto"/>
                <w:right w:val="none" w:sz="0" w:space="0" w:color="auto"/>
              </w:divBdr>
              <w:divsChild>
                <w:div w:id="184570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576561">
      <w:bodyDiv w:val="1"/>
      <w:marLeft w:val="0"/>
      <w:marRight w:val="0"/>
      <w:marTop w:val="0"/>
      <w:marBottom w:val="0"/>
      <w:divBdr>
        <w:top w:val="none" w:sz="0" w:space="0" w:color="auto"/>
        <w:left w:val="none" w:sz="0" w:space="0" w:color="auto"/>
        <w:bottom w:val="none" w:sz="0" w:space="0" w:color="auto"/>
        <w:right w:val="none" w:sz="0" w:space="0" w:color="auto"/>
      </w:divBdr>
      <w:divsChild>
        <w:div w:id="1933053317">
          <w:marLeft w:val="0"/>
          <w:marRight w:val="0"/>
          <w:marTop w:val="0"/>
          <w:marBottom w:val="0"/>
          <w:divBdr>
            <w:top w:val="none" w:sz="0" w:space="0" w:color="auto"/>
            <w:left w:val="none" w:sz="0" w:space="0" w:color="auto"/>
            <w:bottom w:val="none" w:sz="0" w:space="0" w:color="auto"/>
            <w:right w:val="none" w:sz="0" w:space="0" w:color="auto"/>
          </w:divBdr>
          <w:divsChild>
            <w:div w:id="1566723147">
              <w:marLeft w:val="0"/>
              <w:marRight w:val="0"/>
              <w:marTop w:val="0"/>
              <w:marBottom w:val="0"/>
              <w:divBdr>
                <w:top w:val="none" w:sz="0" w:space="0" w:color="auto"/>
                <w:left w:val="none" w:sz="0" w:space="0" w:color="auto"/>
                <w:bottom w:val="none" w:sz="0" w:space="0" w:color="auto"/>
                <w:right w:val="none" w:sz="0" w:space="0" w:color="auto"/>
              </w:divBdr>
              <w:divsChild>
                <w:div w:id="103088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096545">
      <w:bodyDiv w:val="1"/>
      <w:marLeft w:val="0"/>
      <w:marRight w:val="0"/>
      <w:marTop w:val="0"/>
      <w:marBottom w:val="0"/>
      <w:divBdr>
        <w:top w:val="none" w:sz="0" w:space="0" w:color="auto"/>
        <w:left w:val="none" w:sz="0" w:space="0" w:color="auto"/>
        <w:bottom w:val="none" w:sz="0" w:space="0" w:color="auto"/>
        <w:right w:val="none" w:sz="0" w:space="0" w:color="auto"/>
      </w:divBdr>
      <w:divsChild>
        <w:div w:id="2079862325">
          <w:marLeft w:val="0"/>
          <w:marRight w:val="0"/>
          <w:marTop w:val="0"/>
          <w:marBottom w:val="0"/>
          <w:divBdr>
            <w:top w:val="none" w:sz="0" w:space="0" w:color="auto"/>
            <w:left w:val="none" w:sz="0" w:space="0" w:color="auto"/>
            <w:bottom w:val="none" w:sz="0" w:space="0" w:color="auto"/>
            <w:right w:val="none" w:sz="0" w:space="0" w:color="auto"/>
          </w:divBdr>
          <w:divsChild>
            <w:div w:id="1333146190">
              <w:marLeft w:val="0"/>
              <w:marRight w:val="0"/>
              <w:marTop w:val="0"/>
              <w:marBottom w:val="0"/>
              <w:divBdr>
                <w:top w:val="none" w:sz="0" w:space="0" w:color="auto"/>
                <w:left w:val="none" w:sz="0" w:space="0" w:color="auto"/>
                <w:bottom w:val="none" w:sz="0" w:space="0" w:color="auto"/>
                <w:right w:val="none" w:sz="0" w:space="0" w:color="auto"/>
              </w:divBdr>
              <w:divsChild>
                <w:div w:id="77964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319712">
      <w:bodyDiv w:val="1"/>
      <w:marLeft w:val="0"/>
      <w:marRight w:val="0"/>
      <w:marTop w:val="0"/>
      <w:marBottom w:val="0"/>
      <w:divBdr>
        <w:top w:val="none" w:sz="0" w:space="0" w:color="auto"/>
        <w:left w:val="none" w:sz="0" w:space="0" w:color="auto"/>
        <w:bottom w:val="none" w:sz="0" w:space="0" w:color="auto"/>
        <w:right w:val="none" w:sz="0" w:space="0" w:color="auto"/>
      </w:divBdr>
      <w:divsChild>
        <w:div w:id="154537343">
          <w:marLeft w:val="0"/>
          <w:marRight w:val="0"/>
          <w:marTop w:val="0"/>
          <w:marBottom w:val="0"/>
          <w:divBdr>
            <w:top w:val="none" w:sz="0" w:space="0" w:color="auto"/>
            <w:left w:val="none" w:sz="0" w:space="0" w:color="auto"/>
            <w:bottom w:val="none" w:sz="0" w:space="0" w:color="auto"/>
            <w:right w:val="none" w:sz="0" w:space="0" w:color="auto"/>
          </w:divBdr>
          <w:divsChild>
            <w:div w:id="730617996">
              <w:marLeft w:val="0"/>
              <w:marRight w:val="0"/>
              <w:marTop w:val="0"/>
              <w:marBottom w:val="0"/>
              <w:divBdr>
                <w:top w:val="none" w:sz="0" w:space="0" w:color="auto"/>
                <w:left w:val="none" w:sz="0" w:space="0" w:color="auto"/>
                <w:bottom w:val="none" w:sz="0" w:space="0" w:color="auto"/>
                <w:right w:val="none" w:sz="0" w:space="0" w:color="auto"/>
              </w:divBdr>
              <w:divsChild>
                <w:div w:id="70008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561214">
      <w:bodyDiv w:val="1"/>
      <w:marLeft w:val="0"/>
      <w:marRight w:val="0"/>
      <w:marTop w:val="0"/>
      <w:marBottom w:val="0"/>
      <w:divBdr>
        <w:top w:val="none" w:sz="0" w:space="0" w:color="auto"/>
        <w:left w:val="none" w:sz="0" w:space="0" w:color="auto"/>
        <w:bottom w:val="none" w:sz="0" w:space="0" w:color="auto"/>
        <w:right w:val="none" w:sz="0" w:space="0" w:color="auto"/>
      </w:divBdr>
    </w:div>
    <w:div w:id="1396928445">
      <w:bodyDiv w:val="1"/>
      <w:marLeft w:val="0"/>
      <w:marRight w:val="0"/>
      <w:marTop w:val="0"/>
      <w:marBottom w:val="0"/>
      <w:divBdr>
        <w:top w:val="none" w:sz="0" w:space="0" w:color="auto"/>
        <w:left w:val="none" w:sz="0" w:space="0" w:color="auto"/>
        <w:bottom w:val="none" w:sz="0" w:space="0" w:color="auto"/>
        <w:right w:val="none" w:sz="0" w:space="0" w:color="auto"/>
      </w:divBdr>
      <w:divsChild>
        <w:div w:id="798305462">
          <w:marLeft w:val="0"/>
          <w:marRight w:val="0"/>
          <w:marTop w:val="0"/>
          <w:marBottom w:val="0"/>
          <w:divBdr>
            <w:top w:val="none" w:sz="0" w:space="0" w:color="auto"/>
            <w:left w:val="none" w:sz="0" w:space="0" w:color="auto"/>
            <w:bottom w:val="none" w:sz="0" w:space="0" w:color="auto"/>
            <w:right w:val="none" w:sz="0" w:space="0" w:color="auto"/>
          </w:divBdr>
          <w:divsChild>
            <w:div w:id="131824820">
              <w:marLeft w:val="0"/>
              <w:marRight w:val="0"/>
              <w:marTop w:val="0"/>
              <w:marBottom w:val="0"/>
              <w:divBdr>
                <w:top w:val="none" w:sz="0" w:space="0" w:color="auto"/>
                <w:left w:val="none" w:sz="0" w:space="0" w:color="auto"/>
                <w:bottom w:val="none" w:sz="0" w:space="0" w:color="auto"/>
                <w:right w:val="none" w:sz="0" w:space="0" w:color="auto"/>
              </w:divBdr>
              <w:divsChild>
                <w:div w:id="195344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889019">
      <w:bodyDiv w:val="1"/>
      <w:marLeft w:val="0"/>
      <w:marRight w:val="0"/>
      <w:marTop w:val="0"/>
      <w:marBottom w:val="0"/>
      <w:divBdr>
        <w:top w:val="none" w:sz="0" w:space="0" w:color="auto"/>
        <w:left w:val="none" w:sz="0" w:space="0" w:color="auto"/>
        <w:bottom w:val="none" w:sz="0" w:space="0" w:color="auto"/>
        <w:right w:val="none" w:sz="0" w:space="0" w:color="auto"/>
      </w:divBdr>
      <w:divsChild>
        <w:div w:id="1866869488">
          <w:marLeft w:val="0"/>
          <w:marRight w:val="0"/>
          <w:marTop w:val="0"/>
          <w:marBottom w:val="0"/>
          <w:divBdr>
            <w:top w:val="none" w:sz="0" w:space="0" w:color="auto"/>
            <w:left w:val="none" w:sz="0" w:space="0" w:color="auto"/>
            <w:bottom w:val="none" w:sz="0" w:space="0" w:color="auto"/>
            <w:right w:val="none" w:sz="0" w:space="0" w:color="auto"/>
          </w:divBdr>
          <w:divsChild>
            <w:div w:id="1749187155">
              <w:marLeft w:val="0"/>
              <w:marRight w:val="0"/>
              <w:marTop w:val="0"/>
              <w:marBottom w:val="0"/>
              <w:divBdr>
                <w:top w:val="none" w:sz="0" w:space="0" w:color="auto"/>
                <w:left w:val="none" w:sz="0" w:space="0" w:color="auto"/>
                <w:bottom w:val="none" w:sz="0" w:space="0" w:color="auto"/>
                <w:right w:val="none" w:sz="0" w:space="0" w:color="auto"/>
              </w:divBdr>
              <w:divsChild>
                <w:div w:id="1867406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707072">
      <w:bodyDiv w:val="1"/>
      <w:marLeft w:val="0"/>
      <w:marRight w:val="0"/>
      <w:marTop w:val="0"/>
      <w:marBottom w:val="0"/>
      <w:divBdr>
        <w:top w:val="none" w:sz="0" w:space="0" w:color="auto"/>
        <w:left w:val="none" w:sz="0" w:space="0" w:color="auto"/>
        <w:bottom w:val="none" w:sz="0" w:space="0" w:color="auto"/>
        <w:right w:val="none" w:sz="0" w:space="0" w:color="auto"/>
      </w:divBdr>
      <w:divsChild>
        <w:div w:id="1298023084">
          <w:marLeft w:val="0"/>
          <w:marRight w:val="0"/>
          <w:marTop w:val="0"/>
          <w:marBottom w:val="0"/>
          <w:divBdr>
            <w:top w:val="none" w:sz="0" w:space="0" w:color="auto"/>
            <w:left w:val="none" w:sz="0" w:space="0" w:color="auto"/>
            <w:bottom w:val="none" w:sz="0" w:space="0" w:color="auto"/>
            <w:right w:val="none" w:sz="0" w:space="0" w:color="auto"/>
          </w:divBdr>
          <w:divsChild>
            <w:div w:id="1264730232">
              <w:marLeft w:val="0"/>
              <w:marRight w:val="0"/>
              <w:marTop w:val="0"/>
              <w:marBottom w:val="0"/>
              <w:divBdr>
                <w:top w:val="none" w:sz="0" w:space="0" w:color="auto"/>
                <w:left w:val="none" w:sz="0" w:space="0" w:color="auto"/>
                <w:bottom w:val="none" w:sz="0" w:space="0" w:color="auto"/>
                <w:right w:val="none" w:sz="0" w:space="0" w:color="auto"/>
              </w:divBdr>
              <w:divsChild>
                <w:div w:id="83803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854283">
      <w:bodyDiv w:val="1"/>
      <w:marLeft w:val="0"/>
      <w:marRight w:val="0"/>
      <w:marTop w:val="0"/>
      <w:marBottom w:val="0"/>
      <w:divBdr>
        <w:top w:val="none" w:sz="0" w:space="0" w:color="auto"/>
        <w:left w:val="none" w:sz="0" w:space="0" w:color="auto"/>
        <w:bottom w:val="none" w:sz="0" w:space="0" w:color="auto"/>
        <w:right w:val="none" w:sz="0" w:space="0" w:color="auto"/>
      </w:divBdr>
    </w:div>
    <w:div w:id="1488327278">
      <w:bodyDiv w:val="1"/>
      <w:marLeft w:val="0"/>
      <w:marRight w:val="0"/>
      <w:marTop w:val="0"/>
      <w:marBottom w:val="0"/>
      <w:divBdr>
        <w:top w:val="none" w:sz="0" w:space="0" w:color="auto"/>
        <w:left w:val="none" w:sz="0" w:space="0" w:color="auto"/>
        <w:bottom w:val="none" w:sz="0" w:space="0" w:color="auto"/>
        <w:right w:val="none" w:sz="0" w:space="0" w:color="auto"/>
      </w:divBdr>
      <w:divsChild>
        <w:div w:id="230772267">
          <w:marLeft w:val="0"/>
          <w:marRight w:val="0"/>
          <w:marTop w:val="0"/>
          <w:marBottom w:val="0"/>
          <w:divBdr>
            <w:top w:val="none" w:sz="0" w:space="0" w:color="auto"/>
            <w:left w:val="none" w:sz="0" w:space="0" w:color="auto"/>
            <w:bottom w:val="none" w:sz="0" w:space="0" w:color="auto"/>
            <w:right w:val="none" w:sz="0" w:space="0" w:color="auto"/>
          </w:divBdr>
          <w:divsChild>
            <w:div w:id="1649820183">
              <w:marLeft w:val="0"/>
              <w:marRight w:val="0"/>
              <w:marTop w:val="0"/>
              <w:marBottom w:val="0"/>
              <w:divBdr>
                <w:top w:val="none" w:sz="0" w:space="0" w:color="auto"/>
                <w:left w:val="none" w:sz="0" w:space="0" w:color="auto"/>
                <w:bottom w:val="none" w:sz="0" w:space="0" w:color="auto"/>
                <w:right w:val="none" w:sz="0" w:space="0" w:color="auto"/>
              </w:divBdr>
              <w:divsChild>
                <w:div w:id="1049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2179">
      <w:bodyDiv w:val="1"/>
      <w:marLeft w:val="0"/>
      <w:marRight w:val="0"/>
      <w:marTop w:val="0"/>
      <w:marBottom w:val="0"/>
      <w:divBdr>
        <w:top w:val="none" w:sz="0" w:space="0" w:color="auto"/>
        <w:left w:val="none" w:sz="0" w:space="0" w:color="auto"/>
        <w:bottom w:val="none" w:sz="0" w:space="0" w:color="auto"/>
        <w:right w:val="none" w:sz="0" w:space="0" w:color="auto"/>
      </w:divBdr>
      <w:divsChild>
        <w:div w:id="118300360">
          <w:marLeft w:val="0"/>
          <w:marRight w:val="0"/>
          <w:marTop w:val="0"/>
          <w:marBottom w:val="0"/>
          <w:divBdr>
            <w:top w:val="none" w:sz="0" w:space="0" w:color="auto"/>
            <w:left w:val="none" w:sz="0" w:space="0" w:color="auto"/>
            <w:bottom w:val="none" w:sz="0" w:space="0" w:color="auto"/>
            <w:right w:val="none" w:sz="0" w:space="0" w:color="auto"/>
          </w:divBdr>
          <w:divsChild>
            <w:div w:id="1046760583">
              <w:marLeft w:val="0"/>
              <w:marRight w:val="0"/>
              <w:marTop w:val="0"/>
              <w:marBottom w:val="0"/>
              <w:divBdr>
                <w:top w:val="none" w:sz="0" w:space="0" w:color="auto"/>
                <w:left w:val="none" w:sz="0" w:space="0" w:color="auto"/>
                <w:bottom w:val="none" w:sz="0" w:space="0" w:color="auto"/>
                <w:right w:val="none" w:sz="0" w:space="0" w:color="auto"/>
              </w:divBdr>
              <w:divsChild>
                <w:div w:id="166608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632008">
      <w:bodyDiv w:val="1"/>
      <w:marLeft w:val="0"/>
      <w:marRight w:val="0"/>
      <w:marTop w:val="0"/>
      <w:marBottom w:val="0"/>
      <w:divBdr>
        <w:top w:val="none" w:sz="0" w:space="0" w:color="auto"/>
        <w:left w:val="none" w:sz="0" w:space="0" w:color="auto"/>
        <w:bottom w:val="none" w:sz="0" w:space="0" w:color="auto"/>
        <w:right w:val="none" w:sz="0" w:space="0" w:color="auto"/>
      </w:divBdr>
      <w:divsChild>
        <w:div w:id="1328627469">
          <w:marLeft w:val="0"/>
          <w:marRight w:val="0"/>
          <w:marTop w:val="0"/>
          <w:marBottom w:val="0"/>
          <w:divBdr>
            <w:top w:val="none" w:sz="0" w:space="0" w:color="auto"/>
            <w:left w:val="none" w:sz="0" w:space="0" w:color="auto"/>
            <w:bottom w:val="none" w:sz="0" w:space="0" w:color="auto"/>
            <w:right w:val="none" w:sz="0" w:space="0" w:color="auto"/>
          </w:divBdr>
          <w:divsChild>
            <w:div w:id="1865635695">
              <w:marLeft w:val="0"/>
              <w:marRight w:val="0"/>
              <w:marTop w:val="0"/>
              <w:marBottom w:val="0"/>
              <w:divBdr>
                <w:top w:val="none" w:sz="0" w:space="0" w:color="auto"/>
                <w:left w:val="none" w:sz="0" w:space="0" w:color="auto"/>
                <w:bottom w:val="none" w:sz="0" w:space="0" w:color="auto"/>
                <w:right w:val="none" w:sz="0" w:space="0" w:color="auto"/>
              </w:divBdr>
              <w:divsChild>
                <w:div w:id="161450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696929">
      <w:bodyDiv w:val="1"/>
      <w:marLeft w:val="0"/>
      <w:marRight w:val="0"/>
      <w:marTop w:val="0"/>
      <w:marBottom w:val="0"/>
      <w:divBdr>
        <w:top w:val="none" w:sz="0" w:space="0" w:color="auto"/>
        <w:left w:val="none" w:sz="0" w:space="0" w:color="auto"/>
        <w:bottom w:val="none" w:sz="0" w:space="0" w:color="auto"/>
        <w:right w:val="none" w:sz="0" w:space="0" w:color="auto"/>
      </w:divBdr>
      <w:divsChild>
        <w:div w:id="1563447871">
          <w:marLeft w:val="0"/>
          <w:marRight w:val="0"/>
          <w:marTop w:val="0"/>
          <w:marBottom w:val="0"/>
          <w:divBdr>
            <w:top w:val="none" w:sz="0" w:space="0" w:color="auto"/>
            <w:left w:val="none" w:sz="0" w:space="0" w:color="auto"/>
            <w:bottom w:val="none" w:sz="0" w:space="0" w:color="auto"/>
            <w:right w:val="none" w:sz="0" w:space="0" w:color="auto"/>
          </w:divBdr>
          <w:divsChild>
            <w:div w:id="677971867">
              <w:marLeft w:val="0"/>
              <w:marRight w:val="0"/>
              <w:marTop w:val="0"/>
              <w:marBottom w:val="0"/>
              <w:divBdr>
                <w:top w:val="none" w:sz="0" w:space="0" w:color="auto"/>
                <w:left w:val="none" w:sz="0" w:space="0" w:color="auto"/>
                <w:bottom w:val="none" w:sz="0" w:space="0" w:color="auto"/>
                <w:right w:val="none" w:sz="0" w:space="0" w:color="auto"/>
              </w:divBdr>
              <w:divsChild>
                <w:div w:id="152983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575772">
      <w:bodyDiv w:val="1"/>
      <w:marLeft w:val="0"/>
      <w:marRight w:val="0"/>
      <w:marTop w:val="0"/>
      <w:marBottom w:val="0"/>
      <w:divBdr>
        <w:top w:val="none" w:sz="0" w:space="0" w:color="auto"/>
        <w:left w:val="none" w:sz="0" w:space="0" w:color="auto"/>
        <w:bottom w:val="none" w:sz="0" w:space="0" w:color="auto"/>
        <w:right w:val="none" w:sz="0" w:space="0" w:color="auto"/>
      </w:divBdr>
      <w:divsChild>
        <w:div w:id="2056847549">
          <w:marLeft w:val="0"/>
          <w:marRight w:val="0"/>
          <w:marTop w:val="0"/>
          <w:marBottom w:val="0"/>
          <w:divBdr>
            <w:top w:val="none" w:sz="0" w:space="0" w:color="auto"/>
            <w:left w:val="none" w:sz="0" w:space="0" w:color="auto"/>
            <w:bottom w:val="none" w:sz="0" w:space="0" w:color="auto"/>
            <w:right w:val="none" w:sz="0" w:space="0" w:color="auto"/>
          </w:divBdr>
          <w:divsChild>
            <w:div w:id="1902206669">
              <w:marLeft w:val="0"/>
              <w:marRight w:val="0"/>
              <w:marTop w:val="0"/>
              <w:marBottom w:val="0"/>
              <w:divBdr>
                <w:top w:val="none" w:sz="0" w:space="0" w:color="auto"/>
                <w:left w:val="none" w:sz="0" w:space="0" w:color="auto"/>
                <w:bottom w:val="none" w:sz="0" w:space="0" w:color="auto"/>
                <w:right w:val="none" w:sz="0" w:space="0" w:color="auto"/>
              </w:divBdr>
              <w:divsChild>
                <w:div w:id="48590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970423">
      <w:bodyDiv w:val="1"/>
      <w:marLeft w:val="0"/>
      <w:marRight w:val="0"/>
      <w:marTop w:val="0"/>
      <w:marBottom w:val="0"/>
      <w:divBdr>
        <w:top w:val="none" w:sz="0" w:space="0" w:color="auto"/>
        <w:left w:val="none" w:sz="0" w:space="0" w:color="auto"/>
        <w:bottom w:val="none" w:sz="0" w:space="0" w:color="auto"/>
        <w:right w:val="none" w:sz="0" w:space="0" w:color="auto"/>
      </w:divBdr>
      <w:divsChild>
        <w:div w:id="560292763">
          <w:marLeft w:val="0"/>
          <w:marRight w:val="0"/>
          <w:marTop w:val="0"/>
          <w:marBottom w:val="0"/>
          <w:divBdr>
            <w:top w:val="none" w:sz="0" w:space="0" w:color="auto"/>
            <w:left w:val="none" w:sz="0" w:space="0" w:color="auto"/>
            <w:bottom w:val="none" w:sz="0" w:space="0" w:color="auto"/>
            <w:right w:val="none" w:sz="0" w:space="0" w:color="auto"/>
          </w:divBdr>
          <w:divsChild>
            <w:div w:id="1800830425">
              <w:marLeft w:val="0"/>
              <w:marRight w:val="0"/>
              <w:marTop w:val="0"/>
              <w:marBottom w:val="0"/>
              <w:divBdr>
                <w:top w:val="none" w:sz="0" w:space="0" w:color="auto"/>
                <w:left w:val="none" w:sz="0" w:space="0" w:color="auto"/>
                <w:bottom w:val="none" w:sz="0" w:space="0" w:color="auto"/>
                <w:right w:val="none" w:sz="0" w:space="0" w:color="auto"/>
              </w:divBdr>
              <w:divsChild>
                <w:div w:id="141493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090725">
      <w:bodyDiv w:val="1"/>
      <w:marLeft w:val="0"/>
      <w:marRight w:val="0"/>
      <w:marTop w:val="0"/>
      <w:marBottom w:val="0"/>
      <w:divBdr>
        <w:top w:val="none" w:sz="0" w:space="0" w:color="auto"/>
        <w:left w:val="none" w:sz="0" w:space="0" w:color="auto"/>
        <w:bottom w:val="none" w:sz="0" w:space="0" w:color="auto"/>
        <w:right w:val="none" w:sz="0" w:space="0" w:color="auto"/>
      </w:divBdr>
      <w:divsChild>
        <w:div w:id="619917581">
          <w:marLeft w:val="0"/>
          <w:marRight w:val="0"/>
          <w:marTop w:val="0"/>
          <w:marBottom w:val="0"/>
          <w:divBdr>
            <w:top w:val="none" w:sz="0" w:space="0" w:color="auto"/>
            <w:left w:val="none" w:sz="0" w:space="0" w:color="auto"/>
            <w:bottom w:val="none" w:sz="0" w:space="0" w:color="auto"/>
            <w:right w:val="none" w:sz="0" w:space="0" w:color="auto"/>
          </w:divBdr>
          <w:divsChild>
            <w:div w:id="807164738">
              <w:marLeft w:val="0"/>
              <w:marRight w:val="0"/>
              <w:marTop w:val="0"/>
              <w:marBottom w:val="0"/>
              <w:divBdr>
                <w:top w:val="none" w:sz="0" w:space="0" w:color="auto"/>
                <w:left w:val="none" w:sz="0" w:space="0" w:color="auto"/>
                <w:bottom w:val="none" w:sz="0" w:space="0" w:color="auto"/>
                <w:right w:val="none" w:sz="0" w:space="0" w:color="auto"/>
              </w:divBdr>
              <w:divsChild>
                <w:div w:id="112577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943151">
      <w:bodyDiv w:val="1"/>
      <w:marLeft w:val="0"/>
      <w:marRight w:val="0"/>
      <w:marTop w:val="0"/>
      <w:marBottom w:val="0"/>
      <w:divBdr>
        <w:top w:val="none" w:sz="0" w:space="0" w:color="auto"/>
        <w:left w:val="none" w:sz="0" w:space="0" w:color="auto"/>
        <w:bottom w:val="none" w:sz="0" w:space="0" w:color="auto"/>
        <w:right w:val="none" w:sz="0" w:space="0" w:color="auto"/>
      </w:divBdr>
      <w:divsChild>
        <w:div w:id="888304294">
          <w:marLeft w:val="0"/>
          <w:marRight w:val="0"/>
          <w:marTop w:val="0"/>
          <w:marBottom w:val="0"/>
          <w:divBdr>
            <w:top w:val="none" w:sz="0" w:space="0" w:color="auto"/>
            <w:left w:val="none" w:sz="0" w:space="0" w:color="auto"/>
            <w:bottom w:val="none" w:sz="0" w:space="0" w:color="auto"/>
            <w:right w:val="none" w:sz="0" w:space="0" w:color="auto"/>
          </w:divBdr>
          <w:divsChild>
            <w:div w:id="1333068872">
              <w:marLeft w:val="0"/>
              <w:marRight w:val="0"/>
              <w:marTop w:val="0"/>
              <w:marBottom w:val="0"/>
              <w:divBdr>
                <w:top w:val="none" w:sz="0" w:space="0" w:color="auto"/>
                <w:left w:val="none" w:sz="0" w:space="0" w:color="auto"/>
                <w:bottom w:val="none" w:sz="0" w:space="0" w:color="auto"/>
                <w:right w:val="none" w:sz="0" w:space="0" w:color="auto"/>
              </w:divBdr>
              <w:divsChild>
                <w:div w:id="72210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33207">
      <w:bodyDiv w:val="1"/>
      <w:marLeft w:val="0"/>
      <w:marRight w:val="0"/>
      <w:marTop w:val="0"/>
      <w:marBottom w:val="0"/>
      <w:divBdr>
        <w:top w:val="none" w:sz="0" w:space="0" w:color="auto"/>
        <w:left w:val="none" w:sz="0" w:space="0" w:color="auto"/>
        <w:bottom w:val="none" w:sz="0" w:space="0" w:color="auto"/>
        <w:right w:val="none" w:sz="0" w:space="0" w:color="auto"/>
      </w:divBdr>
      <w:divsChild>
        <w:div w:id="1297106554">
          <w:marLeft w:val="0"/>
          <w:marRight w:val="0"/>
          <w:marTop w:val="0"/>
          <w:marBottom w:val="0"/>
          <w:divBdr>
            <w:top w:val="none" w:sz="0" w:space="0" w:color="auto"/>
            <w:left w:val="none" w:sz="0" w:space="0" w:color="auto"/>
            <w:bottom w:val="none" w:sz="0" w:space="0" w:color="auto"/>
            <w:right w:val="none" w:sz="0" w:space="0" w:color="auto"/>
          </w:divBdr>
          <w:divsChild>
            <w:div w:id="885605333">
              <w:marLeft w:val="0"/>
              <w:marRight w:val="0"/>
              <w:marTop w:val="0"/>
              <w:marBottom w:val="0"/>
              <w:divBdr>
                <w:top w:val="none" w:sz="0" w:space="0" w:color="auto"/>
                <w:left w:val="none" w:sz="0" w:space="0" w:color="auto"/>
                <w:bottom w:val="none" w:sz="0" w:space="0" w:color="auto"/>
                <w:right w:val="none" w:sz="0" w:space="0" w:color="auto"/>
              </w:divBdr>
              <w:divsChild>
                <w:div w:id="1668442788">
                  <w:marLeft w:val="0"/>
                  <w:marRight w:val="0"/>
                  <w:marTop w:val="0"/>
                  <w:marBottom w:val="0"/>
                  <w:divBdr>
                    <w:top w:val="none" w:sz="0" w:space="0" w:color="auto"/>
                    <w:left w:val="none" w:sz="0" w:space="0" w:color="auto"/>
                    <w:bottom w:val="none" w:sz="0" w:space="0" w:color="auto"/>
                    <w:right w:val="none" w:sz="0" w:space="0" w:color="auto"/>
                  </w:divBdr>
                  <w:divsChild>
                    <w:div w:id="83206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6395">
      <w:bodyDiv w:val="1"/>
      <w:marLeft w:val="0"/>
      <w:marRight w:val="0"/>
      <w:marTop w:val="0"/>
      <w:marBottom w:val="0"/>
      <w:divBdr>
        <w:top w:val="none" w:sz="0" w:space="0" w:color="auto"/>
        <w:left w:val="none" w:sz="0" w:space="0" w:color="auto"/>
        <w:bottom w:val="none" w:sz="0" w:space="0" w:color="auto"/>
        <w:right w:val="none" w:sz="0" w:space="0" w:color="auto"/>
      </w:divBdr>
      <w:divsChild>
        <w:div w:id="289089291">
          <w:marLeft w:val="0"/>
          <w:marRight w:val="0"/>
          <w:marTop w:val="0"/>
          <w:marBottom w:val="0"/>
          <w:divBdr>
            <w:top w:val="none" w:sz="0" w:space="0" w:color="auto"/>
            <w:left w:val="none" w:sz="0" w:space="0" w:color="auto"/>
            <w:bottom w:val="none" w:sz="0" w:space="0" w:color="auto"/>
            <w:right w:val="none" w:sz="0" w:space="0" w:color="auto"/>
          </w:divBdr>
          <w:divsChild>
            <w:div w:id="1696078039">
              <w:marLeft w:val="0"/>
              <w:marRight w:val="0"/>
              <w:marTop w:val="0"/>
              <w:marBottom w:val="0"/>
              <w:divBdr>
                <w:top w:val="none" w:sz="0" w:space="0" w:color="auto"/>
                <w:left w:val="none" w:sz="0" w:space="0" w:color="auto"/>
                <w:bottom w:val="none" w:sz="0" w:space="0" w:color="auto"/>
                <w:right w:val="none" w:sz="0" w:space="0" w:color="auto"/>
              </w:divBdr>
              <w:divsChild>
                <w:div w:id="657268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553494">
      <w:bodyDiv w:val="1"/>
      <w:marLeft w:val="0"/>
      <w:marRight w:val="0"/>
      <w:marTop w:val="0"/>
      <w:marBottom w:val="0"/>
      <w:divBdr>
        <w:top w:val="none" w:sz="0" w:space="0" w:color="auto"/>
        <w:left w:val="none" w:sz="0" w:space="0" w:color="auto"/>
        <w:bottom w:val="none" w:sz="0" w:space="0" w:color="auto"/>
        <w:right w:val="none" w:sz="0" w:space="0" w:color="auto"/>
      </w:divBdr>
      <w:divsChild>
        <w:div w:id="1706248947">
          <w:marLeft w:val="0"/>
          <w:marRight w:val="0"/>
          <w:marTop w:val="0"/>
          <w:marBottom w:val="0"/>
          <w:divBdr>
            <w:top w:val="none" w:sz="0" w:space="0" w:color="auto"/>
            <w:left w:val="none" w:sz="0" w:space="0" w:color="auto"/>
            <w:bottom w:val="none" w:sz="0" w:space="0" w:color="auto"/>
            <w:right w:val="none" w:sz="0" w:space="0" w:color="auto"/>
          </w:divBdr>
          <w:divsChild>
            <w:div w:id="295184743">
              <w:marLeft w:val="0"/>
              <w:marRight w:val="0"/>
              <w:marTop w:val="0"/>
              <w:marBottom w:val="0"/>
              <w:divBdr>
                <w:top w:val="none" w:sz="0" w:space="0" w:color="auto"/>
                <w:left w:val="none" w:sz="0" w:space="0" w:color="auto"/>
                <w:bottom w:val="none" w:sz="0" w:space="0" w:color="auto"/>
                <w:right w:val="none" w:sz="0" w:space="0" w:color="auto"/>
              </w:divBdr>
              <w:divsChild>
                <w:div w:id="8319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777">
      <w:bodyDiv w:val="1"/>
      <w:marLeft w:val="0"/>
      <w:marRight w:val="0"/>
      <w:marTop w:val="0"/>
      <w:marBottom w:val="0"/>
      <w:divBdr>
        <w:top w:val="none" w:sz="0" w:space="0" w:color="auto"/>
        <w:left w:val="none" w:sz="0" w:space="0" w:color="auto"/>
        <w:bottom w:val="none" w:sz="0" w:space="0" w:color="auto"/>
        <w:right w:val="none" w:sz="0" w:space="0" w:color="auto"/>
      </w:divBdr>
      <w:divsChild>
        <w:div w:id="804280012">
          <w:marLeft w:val="0"/>
          <w:marRight w:val="0"/>
          <w:marTop w:val="0"/>
          <w:marBottom w:val="0"/>
          <w:divBdr>
            <w:top w:val="none" w:sz="0" w:space="0" w:color="auto"/>
            <w:left w:val="none" w:sz="0" w:space="0" w:color="auto"/>
            <w:bottom w:val="none" w:sz="0" w:space="0" w:color="auto"/>
            <w:right w:val="none" w:sz="0" w:space="0" w:color="auto"/>
          </w:divBdr>
          <w:divsChild>
            <w:div w:id="1018583885">
              <w:marLeft w:val="0"/>
              <w:marRight w:val="0"/>
              <w:marTop w:val="0"/>
              <w:marBottom w:val="0"/>
              <w:divBdr>
                <w:top w:val="none" w:sz="0" w:space="0" w:color="auto"/>
                <w:left w:val="none" w:sz="0" w:space="0" w:color="auto"/>
                <w:bottom w:val="none" w:sz="0" w:space="0" w:color="auto"/>
                <w:right w:val="none" w:sz="0" w:space="0" w:color="auto"/>
              </w:divBdr>
              <w:divsChild>
                <w:div w:id="921984098">
                  <w:marLeft w:val="0"/>
                  <w:marRight w:val="0"/>
                  <w:marTop w:val="0"/>
                  <w:marBottom w:val="0"/>
                  <w:divBdr>
                    <w:top w:val="none" w:sz="0" w:space="0" w:color="auto"/>
                    <w:left w:val="none" w:sz="0" w:space="0" w:color="auto"/>
                    <w:bottom w:val="none" w:sz="0" w:space="0" w:color="auto"/>
                    <w:right w:val="none" w:sz="0" w:space="0" w:color="auto"/>
                  </w:divBdr>
                  <w:divsChild>
                    <w:div w:id="163941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516188">
      <w:bodyDiv w:val="1"/>
      <w:marLeft w:val="0"/>
      <w:marRight w:val="0"/>
      <w:marTop w:val="0"/>
      <w:marBottom w:val="0"/>
      <w:divBdr>
        <w:top w:val="none" w:sz="0" w:space="0" w:color="auto"/>
        <w:left w:val="none" w:sz="0" w:space="0" w:color="auto"/>
        <w:bottom w:val="none" w:sz="0" w:space="0" w:color="auto"/>
        <w:right w:val="none" w:sz="0" w:space="0" w:color="auto"/>
      </w:divBdr>
      <w:divsChild>
        <w:div w:id="937055711">
          <w:marLeft w:val="0"/>
          <w:marRight w:val="0"/>
          <w:marTop w:val="0"/>
          <w:marBottom w:val="0"/>
          <w:divBdr>
            <w:top w:val="none" w:sz="0" w:space="0" w:color="auto"/>
            <w:left w:val="none" w:sz="0" w:space="0" w:color="auto"/>
            <w:bottom w:val="none" w:sz="0" w:space="0" w:color="auto"/>
            <w:right w:val="none" w:sz="0" w:space="0" w:color="auto"/>
          </w:divBdr>
          <w:divsChild>
            <w:div w:id="697704505">
              <w:marLeft w:val="0"/>
              <w:marRight w:val="0"/>
              <w:marTop w:val="0"/>
              <w:marBottom w:val="0"/>
              <w:divBdr>
                <w:top w:val="none" w:sz="0" w:space="0" w:color="auto"/>
                <w:left w:val="none" w:sz="0" w:space="0" w:color="auto"/>
                <w:bottom w:val="none" w:sz="0" w:space="0" w:color="auto"/>
                <w:right w:val="none" w:sz="0" w:space="0" w:color="auto"/>
              </w:divBdr>
              <w:divsChild>
                <w:div w:id="1667588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094185">
      <w:bodyDiv w:val="1"/>
      <w:marLeft w:val="0"/>
      <w:marRight w:val="0"/>
      <w:marTop w:val="0"/>
      <w:marBottom w:val="0"/>
      <w:divBdr>
        <w:top w:val="none" w:sz="0" w:space="0" w:color="auto"/>
        <w:left w:val="none" w:sz="0" w:space="0" w:color="auto"/>
        <w:bottom w:val="none" w:sz="0" w:space="0" w:color="auto"/>
        <w:right w:val="none" w:sz="0" w:space="0" w:color="auto"/>
      </w:divBdr>
      <w:divsChild>
        <w:div w:id="1897812724">
          <w:marLeft w:val="0"/>
          <w:marRight w:val="0"/>
          <w:marTop w:val="0"/>
          <w:marBottom w:val="0"/>
          <w:divBdr>
            <w:top w:val="none" w:sz="0" w:space="0" w:color="auto"/>
            <w:left w:val="none" w:sz="0" w:space="0" w:color="auto"/>
            <w:bottom w:val="none" w:sz="0" w:space="0" w:color="auto"/>
            <w:right w:val="none" w:sz="0" w:space="0" w:color="auto"/>
          </w:divBdr>
          <w:divsChild>
            <w:div w:id="903956525">
              <w:marLeft w:val="0"/>
              <w:marRight w:val="0"/>
              <w:marTop w:val="0"/>
              <w:marBottom w:val="0"/>
              <w:divBdr>
                <w:top w:val="none" w:sz="0" w:space="0" w:color="auto"/>
                <w:left w:val="none" w:sz="0" w:space="0" w:color="auto"/>
                <w:bottom w:val="none" w:sz="0" w:space="0" w:color="auto"/>
                <w:right w:val="none" w:sz="0" w:space="0" w:color="auto"/>
              </w:divBdr>
              <w:divsChild>
                <w:div w:id="801460528">
                  <w:marLeft w:val="0"/>
                  <w:marRight w:val="0"/>
                  <w:marTop w:val="0"/>
                  <w:marBottom w:val="0"/>
                  <w:divBdr>
                    <w:top w:val="none" w:sz="0" w:space="0" w:color="auto"/>
                    <w:left w:val="none" w:sz="0" w:space="0" w:color="auto"/>
                    <w:bottom w:val="none" w:sz="0" w:space="0" w:color="auto"/>
                    <w:right w:val="none" w:sz="0" w:space="0" w:color="auto"/>
                  </w:divBdr>
                  <w:divsChild>
                    <w:div w:id="112881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941410">
      <w:bodyDiv w:val="1"/>
      <w:marLeft w:val="0"/>
      <w:marRight w:val="0"/>
      <w:marTop w:val="0"/>
      <w:marBottom w:val="0"/>
      <w:divBdr>
        <w:top w:val="none" w:sz="0" w:space="0" w:color="auto"/>
        <w:left w:val="none" w:sz="0" w:space="0" w:color="auto"/>
        <w:bottom w:val="none" w:sz="0" w:space="0" w:color="auto"/>
        <w:right w:val="none" w:sz="0" w:space="0" w:color="auto"/>
      </w:divBdr>
      <w:divsChild>
        <w:div w:id="988170128">
          <w:marLeft w:val="0"/>
          <w:marRight w:val="0"/>
          <w:marTop w:val="0"/>
          <w:marBottom w:val="0"/>
          <w:divBdr>
            <w:top w:val="none" w:sz="0" w:space="0" w:color="auto"/>
            <w:left w:val="none" w:sz="0" w:space="0" w:color="auto"/>
            <w:bottom w:val="none" w:sz="0" w:space="0" w:color="auto"/>
            <w:right w:val="none" w:sz="0" w:space="0" w:color="auto"/>
          </w:divBdr>
          <w:divsChild>
            <w:div w:id="1595673836">
              <w:marLeft w:val="0"/>
              <w:marRight w:val="0"/>
              <w:marTop w:val="0"/>
              <w:marBottom w:val="0"/>
              <w:divBdr>
                <w:top w:val="none" w:sz="0" w:space="0" w:color="auto"/>
                <w:left w:val="none" w:sz="0" w:space="0" w:color="auto"/>
                <w:bottom w:val="none" w:sz="0" w:space="0" w:color="auto"/>
                <w:right w:val="none" w:sz="0" w:space="0" w:color="auto"/>
              </w:divBdr>
              <w:divsChild>
                <w:div w:id="57378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618780">
      <w:bodyDiv w:val="1"/>
      <w:marLeft w:val="0"/>
      <w:marRight w:val="0"/>
      <w:marTop w:val="0"/>
      <w:marBottom w:val="0"/>
      <w:divBdr>
        <w:top w:val="none" w:sz="0" w:space="0" w:color="auto"/>
        <w:left w:val="none" w:sz="0" w:space="0" w:color="auto"/>
        <w:bottom w:val="none" w:sz="0" w:space="0" w:color="auto"/>
        <w:right w:val="none" w:sz="0" w:space="0" w:color="auto"/>
      </w:divBdr>
      <w:divsChild>
        <w:div w:id="778724192">
          <w:marLeft w:val="0"/>
          <w:marRight w:val="0"/>
          <w:marTop w:val="0"/>
          <w:marBottom w:val="0"/>
          <w:divBdr>
            <w:top w:val="none" w:sz="0" w:space="0" w:color="auto"/>
            <w:left w:val="none" w:sz="0" w:space="0" w:color="auto"/>
            <w:bottom w:val="none" w:sz="0" w:space="0" w:color="auto"/>
            <w:right w:val="none" w:sz="0" w:space="0" w:color="auto"/>
          </w:divBdr>
          <w:divsChild>
            <w:div w:id="1486555525">
              <w:marLeft w:val="0"/>
              <w:marRight w:val="0"/>
              <w:marTop w:val="0"/>
              <w:marBottom w:val="0"/>
              <w:divBdr>
                <w:top w:val="none" w:sz="0" w:space="0" w:color="auto"/>
                <w:left w:val="none" w:sz="0" w:space="0" w:color="auto"/>
                <w:bottom w:val="none" w:sz="0" w:space="0" w:color="auto"/>
                <w:right w:val="none" w:sz="0" w:space="0" w:color="auto"/>
              </w:divBdr>
              <w:divsChild>
                <w:div w:id="41454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165605">
      <w:bodyDiv w:val="1"/>
      <w:marLeft w:val="0"/>
      <w:marRight w:val="0"/>
      <w:marTop w:val="0"/>
      <w:marBottom w:val="0"/>
      <w:divBdr>
        <w:top w:val="none" w:sz="0" w:space="0" w:color="auto"/>
        <w:left w:val="none" w:sz="0" w:space="0" w:color="auto"/>
        <w:bottom w:val="none" w:sz="0" w:space="0" w:color="auto"/>
        <w:right w:val="none" w:sz="0" w:space="0" w:color="auto"/>
      </w:divBdr>
      <w:divsChild>
        <w:div w:id="256788761">
          <w:marLeft w:val="0"/>
          <w:marRight w:val="0"/>
          <w:marTop w:val="0"/>
          <w:marBottom w:val="0"/>
          <w:divBdr>
            <w:top w:val="none" w:sz="0" w:space="0" w:color="auto"/>
            <w:left w:val="none" w:sz="0" w:space="0" w:color="auto"/>
            <w:bottom w:val="none" w:sz="0" w:space="0" w:color="auto"/>
            <w:right w:val="none" w:sz="0" w:space="0" w:color="auto"/>
          </w:divBdr>
          <w:divsChild>
            <w:div w:id="1739282415">
              <w:marLeft w:val="0"/>
              <w:marRight w:val="0"/>
              <w:marTop w:val="0"/>
              <w:marBottom w:val="0"/>
              <w:divBdr>
                <w:top w:val="none" w:sz="0" w:space="0" w:color="auto"/>
                <w:left w:val="none" w:sz="0" w:space="0" w:color="auto"/>
                <w:bottom w:val="none" w:sz="0" w:space="0" w:color="auto"/>
                <w:right w:val="none" w:sz="0" w:space="0" w:color="auto"/>
              </w:divBdr>
              <w:divsChild>
                <w:div w:id="205746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259941">
      <w:bodyDiv w:val="1"/>
      <w:marLeft w:val="0"/>
      <w:marRight w:val="0"/>
      <w:marTop w:val="0"/>
      <w:marBottom w:val="0"/>
      <w:divBdr>
        <w:top w:val="none" w:sz="0" w:space="0" w:color="auto"/>
        <w:left w:val="none" w:sz="0" w:space="0" w:color="auto"/>
        <w:bottom w:val="none" w:sz="0" w:space="0" w:color="auto"/>
        <w:right w:val="none" w:sz="0" w:space="0" w:color="auto"/>
      </w:divBdr>
      <w:divsChild>
        <w:div w:id="2090421093">
          <w:marLeft w:val="0"/>
          <w:marRight w:val="0"/>
          <w:marTop w:val="0"/>
          <w:marBottom w:val="0"/>
          <w:divBdr>
            <w:top w:val="none" w:sz="0" w:space="0" w:color="auto"/>
            <w:left w:val="none" w:sz="0" w:space="0" w:color="auto"/>
            <w:bottom w:val="none" w:sz="0" w:space="0" w:color="auto"/>
            <w:right w:val="none" w:sz="0" w:space="0" w:color="auto"/>
          </w:divBdr>
          <w:divsChild>
            <w:div w:id="1652755160">
              <w:marLeft w:val="0"/>
              <w:marRight w:val="0"/>
              <w:marTop w:val="0"/>
              <w:marBottom w:val="0"/>
              <w:divBdr>
                <w:top w:val="none" w:sz="0" w:space="0" w:color="auto"/>
                <w:left w:val="none" w:sz="0" w:space="0" w:color="auto"/>
                <w:bottom w:val="none" w:sz="0" w:space="0" w:color="auto"/>
                <w:right w:val="none" w:sz="0" w:space="0" w:color="auto"/>
              </w:divBdr>
              <w:divsChild>
                <w:div w:id="39139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097473">
      <w:bodyDiv w:val="1"/>
      <w:marLeft w:val="0"/>
      <w:marRight w:val="0"/>
      <w:marTop w:val="0"/>
      <w:marBottom w:val="0"/>
      <w:divBdr>
        <w:top w:val="none" w:sz="0" w:space="0" w:color="auto"/>
        <w:left w:val="none" w:sz="0" w:space="0" w:color="auto"/>
        <w:bottom w:val="none" w:sz="0" w:space="0" w:color="auto"/>
        <w:right w:val="none" w:sz="0" w:space="0" w:color="auto"/>
      </w:divBdr>
      <w:divsChild>
        <w:div w:id="1464690495">
          <w:marLeft w:val="0"/>
          <w:marRight w:val="0"/>
          <w:marTop w:val="0"/>
          <w:marBottom w:val="0"/>
          <w:divBdr>
            <w:top w:val="none" w:sz="0" w:space="0" w:color="auto"/>
            <w:left w:val="none" w:sz="0" w:space="0" w:color="auto"/>
            <w:bottom w:val="none" w:sz="0" w:space="0" w:color="auto"/>
            <w:right w:val="none" w:sz="0" w:space="0" w:color="auto"/>
          </w:divBdr>
          <w:divsChild>
            <w:div w:id="45687059">
              <w:marLeft w:val="0"/>
              <w:marRight w:val="0"/>
              <w:marTop w:val="0"/>
              <w:marBottom w:val="0"/>
              <w:divBdr>
                <w:top w:val="none" w:sz="0" w:space="0" w:color="auto"/>
                <w:left w:val="none" w:sz="0" w:space="0" w:color="auto"/>
                <w:bottom w:val="none" w:sz="0" w:space="0" w:color="auto"/>
                <w:right w:val="none" w:sz="0" w:space="0" w:color="auto"/>
              </w:divBdr>
              <w:divsChild>
                <w:div w:id="2094087452">
                  <w:marLeft w:val="0"/>
                  <w:marRight w:val="0"/>
                  <w:marTop w:val="0"/>
                  <w:marBottom w:val="0"/>
                  <w:divBdr>
                    <w:top w:val="none" w:sz="0" w:space="0" w:color="auto"/>
                    <w:left w:val="none" w:sz="0" w:space="0" w:color="auto"/>
                    <w:bottom w:val="none" w:sz="0" w:space="0" w:color="auto"/>
                    <w:right w:val="none" w:sz="0" w:space="0" w:color="auto"/>
                  </w:divBdr>
                  <w:divsChild>
                    <w:div w:id="549922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xxs784@miami.edu" TargetMode="External"/><Relationship Id="rId13" Type="http://schemas.openxmlformats.org/officeDocument/2006/relationships/hyperlink" Target="http://www.biocharlab.com" TargetMode="External"/><Relationship Id="rId18" Type="http://schemas.openxmlformats.org/officeDocument/2006/relationships/image" Target="media/image7.tiff"/><Relationship Id="rId3" Type="http://schemas.openxmlformats.org/officeDocument/2006/relationships/styles" Target="styles.xml"/><Relationship Id="rId21" Type="http://schemas.openxmlformats.org/officeDocument/2006/relationships/hyperlink" Target="http://www.biocharlab.com"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8.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3.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94C999-8358-314E-8FE1-739CF16C41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24</Pages>
  <Words>7112</Words>
  <Characters>40545</Characters>
  <Application>Microsoft Office Word</Application>
  <DocSecurity>0</DocSecurity>
  <Lines>337</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meili liu</dc:creator>
  <cp:keywords/>
  <dc:description/>
  <cp:lastModifiedBy>Liu, Meili</cp:lastModifiedBy>
  <cp:revision>23</cp:revision>
  <dcterms:created xsi:type="dcterms:W3CDTF">2026-01-02T16:24:00Z</dcterms:created>
  <dcterms:modified xsi:type="dcterms:W3CDTF">2026-05-11T19:47:00Z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id="9JynhTO9"/&gt;&lt;style id="http://www.zotero.org/styles/chemical-engineering-journal" hasBibliography="1" bibliographyStyleHasBeenSet="1"/&gt;&lt;prefs&gt;&lt;pref name="fieldType" value="Field"/&gt;&lt;/prefs&gt;&lt;/data&gt;</vt:lpwstr>
  </property>
</Properties>
</file>