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5A8E" w14:textId="77777777" w:rsidR="004F22B7" w:rsidRDefault="00000000">
      <w:pPr>
        <w:spacing w:before="0" w:beforeAutospacing="0" w:line="278" w:lineRule="auto"/>
        <w:rPr>
          <w:rFonts w:ascii="Times New Roman" w:hAnsi="Times New Roman" w:cs="Times New Roman"/>
          <w:color w:val="000000"/>
          <w:sz w:val="28"/>
          <w:szCs w:val="28"/>
        </w:rPr>
      </w:pPr>
      <w:r>
        <w:rPr>
          <w:rFonts w:ascii="Times New Roman" w:hAnsi="Times New Roman" w:cs="Times New Roman"/>
          <w:color w:val="000000"/>
          <w:sz w:val="28"/>
          <w:szCs w:val="28"/>
        </w:rPr>
        <w:t>Supporting Information</w:t>
      </w:r>
    </w:p>
    <w:p w14:paraId="24FEDBAB" w14:textId="77777777" w:rsidR="004F22B7" w:rsidRDefault="00000000">
      <w:pPr>
        <w:spacing w:line="240" w:lineRule="auto"/>
        <w:jc w:val="both"/>
        <w:rPr>
          <w:rFonts w:ascii="Times New Roman" w:hAnsi="Times New Roman" w:cs="Times New Roman"/>
          <w:sz w:val="28"/>
          <w:szCs w:val="28"/>
        </w:rPr>
      </w:pPr>
      <w:r>
        <w:rPr>
          <w:rFonts w:ascii="Times New Roman" w:hAnsi="Times New Roman" w:cs="Times New Roman"/>
          <w:b/>
          <w:bCs/>
          <w:sz w:val="28"/>
          <w:szCs w:val="28"/>
        </w:rPr>
        <w:t>CD105 Nb-Functionalized Layered Double Hydroxides for Synergistic Phototherapy and Reprogramming of the Tumor Immune Microenvironment</w:t>
      </w:r>
      <w:r>
        <w:rPr>
          <w:rFonts w:ascii="Times New Roman" w:hAnsi="Times New Roman" w:cs="Times New Roman"/>
          <w:sz w:val="28"/>
          <w:szCs w:val="28"/>
        </w:rPr>
        <w:t xml:space="preserve"> </w:t>
      </w:r>
    </w:p>
    <w:p w14:paraId="603E000B" w14:textId="77777777" w:rsidR="004F22B7" w:rsidRDefault="004F22B7">
      <w:pPr>
        <w:spacing w:line="240" w:lineRule="auto"/>
        <w:jc w:val="both"/>
        <w:rPr>
          <w:rFonts w:ascii="Times New Roman" w:hAnsi="Times New Roman" w:cs="Times New Roman"/>
          <w:sz w:val="28"/>
          <w:szCs w:val="28"/>
        </w:rPr>
      </w:pPr>
    </w:p>
    <w:p w14:paraId="3539ADDB" w14:textId="77777777" w:rsidR="007A2CE2" w:rsidRDefault="007A2CE2" w:rsidP="007A2CE2">
      <w:pPr>
        <w:spacing w:line="480" w:lineRule="exact"/>
        <w:jc w:val="both"/>
        <w:rPr>
          <w:rFonts w:ascii="Times New Roman" w:eastAsia="SimSun" w:hAnsi="Times New Roman" w:cs="Times New Roman"/>
          <w:kern w:val="0"/>
          <w:sz w:val="28"/>
          <w:szCs w:val="28"/>
          <w:lang w:bidi="my-MM"/>
        </w:rPr>
      </w:pPr>
      <w:proofErr w:type="spellStart"/>
      <w:r>
        <w:rPr>
          <w:rFonts w:ascii="Times New Roman" w:hAnsi="Times New Roman"/>
          <w:sz w:val="28"/>
          <w:szCs w:val="28"/>
        </w:rPr>
        <w:t>Xuandong</w:t>
      </w:r>
      <w:proofErr w:type="spellEnd"/>
      <w:r>
        <w:rPr>
          <w:rFonts w:ascii="Times New Roman" w:hAnsi="Times New Roman"/>
          <w:sz w:val="28"/>
          <w:szCs w:val="28"/>
        </w:rPr>
        <w:t xml:space="preserve"> Lin</w:t>
      </w:r>
      <w:r>
        <w:rPr>
          <w:rFonts w:ascii="Times New Roman" w:hAnsi="Times New Roman"/>
          <w:sz w:val="28"/>
          <w:szCs w:val="28"/>
          <w:vertAlign w:val="superscript"/>
        </w:rPr>
        <w:t>1,2*†</w:t>
      </w:r>
      <w:r>
        <w:rPr>
          <w:rFonts w:ascii="Times New Roman" w:hAnsi="Times New Roman"/>
          <w:sz w:val="28"/>
          <w:szCs w:val="28"/>
        </w:rPr>
        <w:t xml:space="preserve">, Sandar Moe </w:t>
      </w:r>
      <w:proofErr w:type="spellStart"/>
      <w:r>
        <w:rPr>
          <w:rFonts w:ascii="Times New Roman" w:hAnsi="Times New Roman"/>
          <w:sz w:val="28"/>
          <w:szCs w:val="28"/>
        </w:rPr>
        <w:t>Moe</w:t>
      </w:r>
      <w:proofErr w:type="spellEnd"/>
      <w:r>
        <w:rPr>
          <w:rFonts w:ascii="Times New Roman" w:hAnsi="Times New Roman"/>
          <w:sz w:val="28"/>
          <w:szCs w:val="28"/>
        </w:rPr>
        <w:t xml:space="preserve"> Sint</w:t>
      </w:r>
      <w:r>
        <w:rPr>
          <w:rFonts w:ascii="Times New Roman" w:hAnsi="Times New Roman"/>
          <w:sz w:val="28"/>
          <w:szCs w:val="28"/>
          <w:vertAlign w:val="superscript"/>
        </w:rPr>
        <w:t>1†</w:t>
      </w:r>
      <w:r>
        <w:rPr>
          <w:rFonts w:ascii="Times New Roman" w:hAnsi="Times New Roman"/>
          <w:sz w:val="28"/>
          <w:szCs w:val="28"/>
        </w:rPr>
        <w:t>, Qing Huang</w:t>
      </w:r>
      <w:r>
        <w:rPr>
          <w:rFonts w:ascii="Times New Roman" w:hAnsi="Times New Roman"/>
          <w:sz w:val="28"/>
          <w:szCs w:val="28"/>
          <w:vertAlign w:val="superscript"/>
        </w:rPr>
        <w:t>1†</w:t>
      </w:r>
      <w:r>
        <w:rPr>
          <w:rFonts w:ascii="Times New Roman" w:hAnsi="Times New Roman"/>
          <w:sz w:val="28"/>
          <w:szCs w:val="28"/>
        </w:rPr>
        <w:t>, Shuai Li</w:t>
      </w:r>
      <w:r>
        <w:rPr>
          <w:rFonts w:ascii="Times New Roman" w:hAnsi="Times New Roman"/>
          <w:sz w:val="28"/>
          <w:szCs w:val="28"/>
          <w:vertAlign w:val="superscript"/>
        </w:rPr>
        <w:t>1</w:t>
      </w:r>
      <w:r>
        <w:rPr>
          <w:rFonts w:ascii="Times New Roman" w:hAnsi="Times New Roman"/>
          <w:sz w:val="28"/>
          <w:szCs w:val="28"/>
        </w:rPr>
        <w:t xml:space="preserve">, </w:t>
      </w:r>
      <w:proofErr w:type="spellStart"/>
      <w:r>
        <w:rPr>
          <w:rFonts w:ascii="Times New Roman" w:hAnsi="Times New Roman"/>
          <w:sz w:val="28"/>
          <w:szCs w:val="28"/>
        </w:rPr>
        <w:t>Xueling</w:t>
      </w:r>
      <w:proofErr w:type="spellEnd"/>
      <w:r>
        <w:rPr>
          <w:rFonts w:ascii="Times New Roman" w:hAnsi="Times New Roman"/>
          <w:sz w:val="28"/>
          <w:szCs w:val="28"/>
        </w:rPr>
        <w:t xml:space="preserve"> Ma</w:t>
      </w:r>
      <w:r>
        <w:rPr>
          <w:rFonts w:ascii="Times New Roman" w:hAnsi="Times New Roman"/>
          <w:sz w:val="28"/>
          <w:szCs w:val="28"/>
          <w:vertAlign w:val="superscript"/>
        </w:rPr>
        <w:t>1</w:t>
      </w:r>
      <w:r>
        <w:rPr>
          <w:rFonts w:ascii="Times New Roman" w:hAnsi="Times New Roman"/>
          <w:sz w:val="28"/>
          <w:szCs w:val="28"/>
        </w:rPr>
        <w:t>, Liji Mo</w:t>
      </w:r>
      <w:r>
        <w:rPr>
          <w:rFonts w:ascii="Times New Roman" w:hAnsi="Times New Roman"/>
          <w:sz w:val="28"/>
          <w:szCs w:val="28"/>
          <w:vertAlign w:val="superscript"/>
        </w:rPr>
        <w:t>1</w:t>
      </w:r>
      <w:r>
        <w:rPr>
          <w:rFonts w:ascii="Times New Roman" w:hAnsi="Times New Roman"/>
          <w:sz w:val="28"/>
          <w:szCs w:val="28"/>
        </w:rPr>
        <w:t>, Hao Zhang</w:t>
      </w:r>
      <w:r>
        <w:rPr>
          <w:rFonts w:ascii="Times New Roman" w:hAnsi="Times New Roman"/>
          <w:sz w:val="28"/>
          <w:szCs w:val="28"/>
          <w:vertAlign w:val="superscript"/>
        </w:rPr>
        <w:t>1,2</w:t>
      </w:r>
      <w:r>
        <w:rPr>
          <w:rFonts w:ascii="Times New Roman" w:hAnsi="Times New Roman"/>
          <w:sz w:val="28"/>
          <w:szCs w:val="28"/>
        </w:rPr>
        <w:t>, Jindong Long</w:t>
      </w:r>
      <w:r>
        <w:rPr>
          <w:rFonts w:ascii="Times New Roman" w:hAnsi="Times New Roman"/>
          <w:sz w:val="28"/>
          <w:szCs w:val="28"/>
          <w:vertAlign w:val="superscript"/>
        </w:rPr>
        <w:t>1</w:t>
      </w:r>
      <w:r>
        <w:rPr>
          <w:rFonts w:ascii="Times New Roman" w:hAnsi="Times New Roman"/>
          <w:sz w:val="28"/>
          <w:szCs w:val="28"/>
        </w:rPr>
        <w:t>, Xintong Xie</w:t>
      </w:r>
      <w:r>
        <w:rPr>
          <w:rFonts w:ascii="Times New Roman" w:hAnsi="Times New Roman"/>
          <w:sz w:val="28"/>
          <w:szCs w:val="28"/>
          <w:vertAlign w:val="superscript"/>
        </w:rPr>
        <w:t>1</w:t>
      </w:r>
      <w:r>
        <w:rPr>
          <w:rFonts w:ascii="Times New Roman" w:hAnsi="Times New Roman"/>
          <w:sz w:val="28"/>
          <w:szCs w:val="28"/>
        </w:rPr>
        <w:t>, Fangfang Xie</w:t>
      </w:r>
      <w:r>
        <w:rPr>
          <w:rFonts w:ascii="Times New Roman" w:hAnsi="Times New Roman"/>
          <w:sz w:val="28"/>
          <w:szCs w:val="28"/>
          <w:vertAlign w:val="superscript"/>
        </w:rPr>
        <w:t>1*</w:t>
      </w:r>
      <w:r>
        <w:rPr>
          <w:rFonts w:ascii="Times New Roman" w:hAnsi="Times New Roman"/>
          <w:sz w:val="28"/>
          <w:szCs w:val="28"/>
        </w:rPr>
        <w:t>, Xiaomei Yang</w:t>
      </w:r>
      <w:r>
        <w:rPr>
          <w:rFonts w:ascii="Times New Roman" w:hAnsi="Times New Roman"/>
          <w:sz w:val="28"/>
          <w:szCs w:val="28"/>
          <w:vertAlign w:val="superscript"/>
        </w:rPr>
        <w:t>2*</w:t>
      </w:r>
      <w:r>
        <w:rPr>
          <w:rFonts w:ascii="Times New Roman" w:hAnsi="Times New Roman"/>
          <w:sz w:val="28"/>
          <w:szCs w:val="28"/>
        </w:rPr>
        <w:t xml:space="preserve">, </w:t>
      </w:r>
      <w:proofErr w:type="spellStart"/>
      <w:r>
        <w:rPr>
          <w:rFonts w:ascii="Times New Roman" w:hAnsi="Times New Roman"/>
          <w:sz w:val="28"/>
          <w:szCs w:val="28"/>
        </w:rPr>
        <w:t>Hongbing</w:t>
      </w:r>
      <w:proofErr w:type="spellEnd"/>
      <w:r>
        <w:rPr>
          <w:rFonts w:ascii="Times New Roman" w:hAnsi="Times New Roman"/>
          <w:sz w:val="28"/>
          <w:szCs w:val="28"/>
        </w:rPr>
        <w:t xml:space="preserve"> Liao</w:t>
      </w:r>
      <w:r>
        <w:rPr>
          <w:rFonts w:ascii="Times New Roman" w:hAnsi="Times New Roman"/>
          <w:sz w:val="28"/>
          <w:szCs w:val="28"/>
          <w:vertAlign w:val="superscript"/>
        </w:rPr>
        <w:t>1*</w:t>
      </w:r>
    </w:p>
    <w:p w14:paraId="00CF7065"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rPr>
        <w:t xml:space="preserve"> </w:t>
      </w:r>
    </w:p>
    <w:p w14:paraId="31179142"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vertAlign w:val="superscript"/>
        </w:rPr>
        <w:t xml:space="preserve">1 </w:t>
      </w:r>
      <w:r>
        <w:rPr>
          <w:rFonts w:ascii="Times New Roman" w:hAnsi="Times New Roman"/>
          <w:sz w:val="28"/>
          <w:szCs w:val="28"/>
        </w:rPr>
        <w:t>Guangxi Key Laboratory of Oral and Maxillofacial Rehabilitation and Reconstruction, College &amp; Hospital of Stomatology, Guangxi Medical University, Nanning, Guangxi 530021, China.</w:t>
      </w:r>
    </w:p>
    <w:p w14:paraId="702C5E27"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vertAlign w:val="superscript"/>
        </w:rPr>
        <w:t xml:space="preserve">2 </w:t>
      </w:r>
      <w:r>
        <w:rPr>
          <w:rFonts w:ascii="Times New Roman" w:hAnsi="Times New Roman"/>
          <w:sz w:val="28"/>
          <w:szCs w:val="28"/>
        </w:rPr>
        <w:t>Guangxi Key Laboratory of Nanobody Research, Guangxi Nanobody Engineering Research Center, College of Stomatology, Hospital of Stomatology, Guangxi Medical University, Nanning, Guangxi, 530021, China.</w:t>
      </w:r>
    </w:p>
    <w:p w14:paraId="7124E6F4"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rPr>
        <w:t xml:space="preserve"> </w:t>
      </w:r>
    </w:p>
    <w:p w14:paraId="2FBD0C90"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vertAlign w:val="superscript"/>
        </w:rPr>
        <w:t>†</w:t>
      </w:r>
      <w:proofErr w:type="spellStart"/>
      <w:r>
        <w:rPr>
          <w:rFonts w:ascii="Times New Roman" w:hAnsi="Times New Roman"/>
          <w:sz w:val="28"/>
          <w:szCs w:val="28"/>
        </w:rPr>
        <w:t>Xuadong</w:t>
      </w:r>
      <w:proofErr w:type="spellEnd"/>
      <w:r>
        <w:rPr>
          <w:rFonts w:ascii="Times New Roman" w:hAnsi="Times New Roman"/>
          <w:sz w:val="28"/>
          <w:szCs w:val="28"/>
        </w:rPr>
        <w:t xml:space="preserve"> Lin, Sandar Moe </w:t>
      </w:r>
      <w:proofErr w:type="spellStart"/>
      <w:r>
        <w:rPr>
          <w:rFonts w:ascii="Times New Roman" w:hAnsi="Times New Roman"/>
          <w:sz w:val="28"/>
          <w:szCs w:val="28"/>
        </w:rPr>
        <w:t>Moe</w:t>
      </w:r>
      <w:proofErr w:type="spellEnd"/>
      <w:r>
        <w:rPr>
          <w:rFonts w:ascii="Times New Roman" w:hAnsi="Times New Roman"/>
          <w:sz w:val="28"/>
          <w:szCs w:val="28"/>
        </w:rPr>
        <w:t xml:space="preserve"> Sint, and Qing Huang contributed equally to this work.</w:t>
      </w:r>
    </w:p>
    <w:p w14:paraId="0297B5C6"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vertAlign w:val="superscript"/>
        </w:rPr>
        <w:t>*</w:t>
      </w:r>
      <w:r>
        <w:rPr>
          <w:rFonts w:ascii="Times New Roman" w:hAnsi="Times New Roman"/>
          <w:sz w:val="28"/>
          <w:szCs w:val="28"/>
        </w:rPr>
        <w:t xml:space="preserve">Corresponding Authors </w:t>
      </w:r>
    </w:p>
    <w:p w14:paraId="11252F05" w14:textId="77777777" w:rsidR="007A2CE2" w:rsidRDefault="007A2CE2" w:rsidP="007A2CE2">
      <w:pPr>
        <w:spacing w:line="480" w:lineRule="exact"/>
        <w:jc w:val="both"/>
        <w:rPr>
          <w:rFonts w:ascii="Times New Roman" w:hAnsi="Times New Roman"/>
          <w:sz w:val="28"/>
          <w:szCs w:val="28"/>
        </w:rPr>
      </w:pPr>
      <w:proofErr w:type="spellStart"/>
      <w:r>
        <w:rPr>
          <w:rFonts w:ascii="Times New Roman" w:hAnsi="Times New Roman"/>
          <w:sz w:val="28"/>
          <w:szCs w:val="28"/>
        </w:rPr>
        <w:t>Xuandong</w:t>
      </w:r>
      <w:proofErr w:type="spellEnd"/>
      <w:r>
        <w:rPr>
          <w:rFonts w:ascii="Times New Roman" w:hAnsi="Times New Roman"/>
          <w:sz w:val="28"/>
          <w:szCs w:val="28"/>
        </w:rPr>
        <w:t xml:space="preserve"> Lin</w:t>
      </w:r>
    </w:p>
    <w:p w14:paraId="5A898E3C" w14:textId="77777777" w:rsidR="007A2CE2" w:rsidRDefault="007A2CE2" w:rsidP="007A2CE2">
      <w:pPr>
        <w:spacing w:line="480" w:lineRule="exact"/>
        <w:jc w:val="both"/>
        <w:rPr>
          <w:rFonts w:ascii="Times New Roman" w:hAnsi="Times New Roman"/>
          <w:sz w:val="28"/>
          <w:szCs w:val="28"/>
        </w:rPr>
      </w:pPr>
      <w:hyperlink r:id="rId6" w:history="1">
        <w:r>
          <w:rPr>
            <w:rStyle w:val="15"/>
            <w:sz w:val="28"/>
            <w:szCs w:val="28"/>
          </w:rPr>
          <w:t>linxuandong@live.com</w:t>
        </w:r>
      </w:hyperlink>
    </w:p>
    <w:p w14:paraId="6A228636"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rPr>
        <w:t>Fangfang Xie</w:t>
      </w:r>
    </w:p>
    <w:p w14:paraId="4983AD78" w14:textId="77777777" w:rsidR="007A2CE2" w:rsidRDefault="007A2CE2" w:rsidP="007A2CE2">
      <w:pPr>
        <w:spacing w:line="480" w:lineRule="exact"/>
        <w:jc w:val="both"/>
        <w:rPr>
          <w:rFonts w:ascii="Times New Roman" w:hAnsi="Times New Roman"/>
          <w:sz w:val="28"/>
          <w:szCs w:val="28"/>
        </w:rPr>
      </w:pPr>
      <w:hyperlink r:id="rId7" w:history="1">
        <w:r>
          <w:rPr>
            <w:rStyle w:val="15"/>
            <w:sz w:val="28"/>
            <w:szCs w:val="28"/>
          </w:rPr>
          <w:t>xiedualfang@163.com</w:t>
        </w:r>
      </w:hyperlink>
    </w:p>
    <w:p w14:paraId="5BA2A4FE" w14:textId="77777777" w:rsidR="007A2CE2" w:rsidRDefault="007A2CE2" w:rsidP="007A2CE2">
      <w:pPr>
        <w:spacing w:line="480" w:lineRule="exact"/>
        <w:jc w:val="both"/>
        <w:rPr>
          <w:rFonts w:ascii="Times New Roman" w:hAnsi="Times New Roman"/>
          <w:sz w:val="28"/>
          <w:szCs w:val="28"/>
        </w:rPr>
      </w:pPr>
      <w:r>
        <w:rPr>
          <w:rFonts w:ascii="Times New Roman" w:hAnsi="Times New Roman"/>
          <w:sz w:val="28"/>
          <w:szCs w:val="28"/>
        </w:rPr>
        <w:t>Xiaomei Yang</w:t>
      </w:r>
    </w:p>
    <w:p w14:paraId="09A07A4B" w14:textId="77777777" w:rsidR="007A2CE2" w:rsidRDefault="007A2CE2" w:rsidP="007A2CE2">
      <w:pPr>
        <w:spacing w:line="480" w:lineRule="exact"/>
        <w:jc w:val="both"/>
        <w:rPr>
          <w:rFonts w:ascii="Times New Roman" w:hAnsi="Times New Roman"/>
          <w:sz w:val="28"/>
          <w:szCs w:val="28"/>
          <w:u w:val="single"/>
        </w:rPr>
      </w:pPr>
      <w:hyperlink r:id="rId8" w:history="1">
        <w:r>
          <w:rPr>
            <w:rStyle w:val="15"/>
            <w:sz w:val="28"/>
            <w:szCs w:val="28"/>
          </w:rPr>
          <w:t>yangxiaomei6009@sina.com</w:t>
        </w:r>
      </w:hyperlink>
    </w:p>
    <w:p w14:paraId="6C8056CD" w14:textId="77777777" w:rsidR="007A2CE2" w:rsidRDefault="007A2CE2" w:rsidP="007A2CE2">
      <w:pPr>
        <w:spacing w:line="480" w:lineRule="exact"/>
        <w:jc w:val="both"/>
        <w:rPr>
          <w:rFonts w:ascii="Times New Roman" w:hAnsi="Times New Roman"/>
          <w:sz w:val="28"/>
          <w:szCs w:val="28"/>
        </w:rPr>
      </w:pPr>
      <w:proofErr w:type="spellStart"/>
      <w:r>
        <w:rPr>
          <w:rFonts w:ascii="Times New Roman" w:hAnsi="Times New Roman"/>
          <w:sz w:val="28"/>
          <w:szCs w:val="28"/>
        </w:rPr>
        <w:t>Hongbing</w:t>
      </w:r>
      <w:proofErr w:type="spellEnd"/>
      <w:r>
        <w:rPr>
          <w:rFonts w:ascii="Times New Roman" w:hAnsi="Times New Roman"/>
          <w:sz w:val="28"/>
          <w:szCs w:val="28"/>
        </w:rPr>
        <w:t xml:space="preserve"> Liao</w:t>
      </w:r>
    </w:p>
    <w:p w14:paraId="128EE239" w14:textId="77777777" w:rsidR="007A2CE2" w:rsidRDefault="007A2CE2" w:rsidP="007A2CE2">
      <w:pPr>
        <w:spacing w:line="480" w:lineRule="exact"/>
        <w:jc w:val="both"/>
        <w:rPr>
          <w:rFonts w:ascii="Times New Roman" w:hAnsi="Times New Roman"/>
          <w:sz w:val="28"/>
          <w:szCs w:val="28"/>
        </w:rPr>
      </w:pPr>
      <w:hyperlink r:id="rId9" w:history="1">
        <w:r>
          <w:rPr>
            <w:rStyle w:val="15"/>
            <w:sz w:val="28"/>
            <w:szCs w:val="28"/>
          </w:rPr>
          <w:t>hongbing_liao@gxmu.edu.cn</w:t>
        </w:r>
      </w:hyperlink>
    </w:p>
    <w:p w14:paraId="6DF5FB08" w14:textId="77777777" w:rsidR="004F22B7" w:rsidRDefault="004F22B7">
      <w:pPr>
        <w:spacing w:line="240" w:lineRule="auto"/>
        <w:jc w:val="both"/>
        <w:rPr>
          <w:rFonts w:ascii="Times New Roman" w:hAnsi="Times New Roman" w:cs="Times New Roman"/>
          <w:sz w:val="28"/>
          <w:szCs w:val="28"/>
        </w:rPr>
      </w:pPr>
    </w:p>
    <w:p w14:paraId="10AC5047" w14:textId="77777777" w:rsidR="004F22B7" w:rsidRDefault="00000000">
      <w:pPr>
        <w:spacing w:line="240" w:lineRule="auto"/>
        <w:jc w:val="both"/>
        <w:rPr>
          <w:rFonts w:ascii="Times New Roman" w:hAnsi="Times New Roman" w:cs="Times New Roman"/>
          <w:sz w:val="28"/>
          <w:szCs w:val="28"/>
        </w:rPr>
      </w:pPr>
      <w:r>
        <w:rPr>
          <w:rFonts w:ascii="Times New Roman" w:hAnsi="Times New Roman" w:cs="Times New Roman"/>
          <w:sz w:val="28"/>
          <w:szCs w:val="28"/>
        </w:rPr>
        <w:t>Figures S1-S18, Table S1,</w:t>
      </w:r>
    </w:p>
    <w:p w14:paraId="3D907CB3" w14:textId="5D0AD0F6" w:rsidR="004F22B7" w:rsidRDefault="004F22B7">
      <w:pPr>
        <w:spacing w:before="0" w:beforeAutospacing="0" w:line="278" w:lineRule="auto"/>
        <w:rPr>
          <w:rFonts w:ascii="Times New Roman" w:hAnsi="Times New Roman" w:cs="Times New Roman"/>
          <w:b/>
          <w:bCs/>
          <w:sz w:val="28"/>
          <w:szCs w:val="28"/>
        </w:rPr>
      </w:pPr>
    </w:p>
    <w:p w14:paraId="6B0CAEC0" w14:textId="77777777" w:rsidR="004F22B7" w:rsidRDefault="004F22B7">
      <w:pPr>
        <w:spacing w:line="240" w:lineRule="auto"/>
        <w:jc w:val="both"/>
        <w:rPr>
          <w:rFonts w:ascii="Times New Roman" w:hAnsi="Times New Roman" w:cs="Times New Roman"/>
          <w:b/>
          <w:bCs/>
          <w:sz w:val="28"/>
          <w:szCs w:val="28"/>
        </w:rPr>
      </w:pPr>
    </w:p>
    <w:p w14:paraId="6098DFC7" w14:textId="77777777" w:rsidR="004F22B7" w:rsidRDefault="00000000">
      <w:pPr>
        <w:spacing w:before="0" w:beforeAutospacing="0" w:line="278" w:lineRule="auto"/>
        <w:rPr>
          <w:rFonts w:ascii="Times New Roman" w:hAnsi="Times New Roman" w:cs="Times New Roman"/>
          <w:color w:val="000000"/>
        </w:rPr>
      </w:pPr>
      <w:r>
        <w:rPr>
          <w:rFonts w:ascii="Times New Roman" w:hAnsi="Times New Roman" w:cs="Times New Roman"/>
          <w:noProof/>
          <w:color w:val="000000"/>
          <w14:ligatures w14:val="standardContextual"/>
        </w:rPr>
        <w:drawing>
          <wp:anchor distT="0" distB="0" distL="114300" distR="114300" simplePos="0" relativeHeight="251659264" behindDoc="0" locked="0" layoutInCell="1" allowOverlap="1" wp14:anchorId="5EBBC7D6" wp14:editId="70ECD82C">
            <wp:simplePos x="0" y="0"/>
            <wp:positionH relativeFrom="column">
              <wp:posOffset>1175385</wp:posOffset>
            </wp:positionH>
            <wp:positionV relativeFrom="paragraph">
              <wp:posOffset>0</wp:posOffset>
            </wp:positionV>
            <wp:extent cx="3657600" cy="2835275"/>
            <wp:effectExtent l="0" t="0" r="0" b="0"/>
            <wp:wrapSquare wrapText="bothSides"/>
            <wp:docPr id="512587212" name="Picture 4" descr="A blue and yellow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87212" name="Picture 4" descr="A blue and yellow structure&#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835422"/>
                    </a:xfrm>
                    <a:prstGeom prst="rect">
                      <a:avLst/>
                    </a:prstGeom>
                  </pic:spPr>
                </pic:pic>
              </a:graphicData>
            </a:graphic>
          </wp:anchor>
        </w:drawing>
      </w:r>
      <w:r>
        <w:rPr>
          <w:rFonts w:ascii="Times New Roman" w:hAnsi="Times New Roman" w:cs="Times New Roman"/>
          <w:color w:val="000000"/>
        </w:rPr>
        <w:br w:type="textWrapping" w:clear="all"/>
      </w:r>
    </w:p>
    <w:p w14:paraId="63CDC203" w14:textId="77777777" w:rsidR="004F22B7" w:rsidRDefault="00000000">
      <w:pPr>
        <w:spacing w:before="0" w:beforeAutospacing="0" w:line="278" w:lineRule="auto"/>
        <w:jc w:val="center"/>
        <w:rPr>
          <w:rFonts w:ascii="Times New Roman" w:hAnsi="Times New Roman" w:cs="Times New Roman"/>
          <w:color w:val="000000"/>
        </w:rPr>
      </w:pPr>
      <w:r>
        <w:rPr>
          <w:rFonts w:ascii="Times New Roman" w:hAnsi="Times New Roman" w:cs="Times New Roman"/>
          <w:b/>
          <w:bCs/>
          <w:color w:val="000000"/>
        </w:rPr>
        <w:t>Figure S1.</w:t>
      </w:r>
      <w:r>
        <w:rPr>
          <w:rFonts w:ascii="Times New Roman" w:hAnsi="Times New Roman" w:cs="Times New Roman"/>
          <w:color w:val="000000"/>
        </w:rPr>
        <w:t xml:space="preserve"> Illustration of CD105 Nb generated using the AlphaFold server</w:t>
      </w:r>
    </w:p>
    <w:p w14:paraId="6798DC6E" w14:textId="77777777" w:rsidR="004F22B7" w:rsidRDefault="00000000">
      <w:pPr>
        <w:spacing w:before="0" w:beforeAutospacing="0" w:line="278" w:lineRule="auto"/>
        <w:rPr>
          <w:rFonts w:ascii="Times New Roman" w:hAnsi="Times New Roman" w:cs="Times New Roman"/>
          <w:color w:val="000000"/>
        </w:rPr>
      </w:pPr>
      <w:r>
        <w:rPr>
          <w:rFonts w:ascii="Times New Roman" w:hAnsi="Times New Roman" w:cs="Times New Roman"/>
          <w:noProof/>
        </w:rPr>
        <w:lastRenderedPageBreak/>
        <w:drawing>
          <wp:inline distT="0" distB="0" distL="0" distR="0" wp14:anchorId="219CA4B5" wp14:editId="492DFE6E">
            <wp:extent cx="5943600" cy="4084955"/>
            <wp:effectExtent l="0" t="0" r="0" b="4445"/>
            <wp:docPr id="204144340" name="Picture 3" descr="A collage of different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4340" name="Picture 3" descr="A collage of different graph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084955"/>
                    </a:xfrm>
                    <a:prstGeom prst="rect">
                      <a:avLst/>
                    </a:prstGeom>
                  </pic:spPr>
                </pic:pic>
              </a:graphicData>
            </a:graphic>
          </wp:inline>
        </w:drawing>
      </w:r>
    </w:p>
    <w:p w14:paraId="084AF872" w14:textId="536697A9" w:rsidR="004F22B7" w:rsidRPr="00BA2E05" w:rsidRDefault="00000000">
      <w:pPr>
        <w:jc w:val="both"/>
        <w:rPr>
          <w:rFonts w:ascii="Times New Roman" w:hAnsi="Times New Roman" w:cs="Times New Roman"/>
          <w:color w:val="000000"/>
        </w:rPr>
      </w:pPr>
      <w:r>
        <w:rPr>
          <w:rFonts w:ascii="Times New Roman" w:hAnsi="Times New Roman" w:cs="Times New Roman"/>
          <w:b/>
          <w:bCs/>
          <w:color w:val="000000"/>
        </w:rPr>
        <w:t xml:space="preserve">Figure S2. </w:t>
      </w:r>
      <w:r>
        <w:rPr>
          <w:rFonts w:ascii="Times New Roman" w:hAnsi="Times New Roman" w:cs="Times New Roman"/>
          <w:color w:val="000000"/>
        </w:rPr>
        <w:t>Purification and characterization of CD105 Nb. (a)</w:t>
      </w:r>
      <w:r>
        <w:rPr>
          <w:rStyle w:val="15"/>
          <w:rFonts w:ascii="Times New Roman" w:hAnsi="Times New Roman" w:cs="Times New Roman"/>
          <w:color w:val="000000"/>
        </w:rPr>
        <w:t xml:space="preserve"> </w:t>
      </w:r>
      <w:r>
        <w:rPr>
          <w:rFonts w:ascii="Times New Roman" w:hAnsi="Times New Roman" w:cs="Times New Roman"/>
          <w:color w:val="000000"/>
        </w:rPr>
        <w:t>12% SDS-PAGE analysis of purified CD105 Nb. (b) HPLC chromatogram demonstrating nanobody purity. (c)</w:t>
      </w:r>
      <w:r>
        <w:rPr>
          <w:rStyle w:val="15"/>
          <w:rFonts w:ascii="Times New Roman" w:hAnsi="Times New Roman" w:cs="Times New Roman"/>
          <w:color w:val="000000"/>
        </w:rPr>
        <w:t xml:space="preserve"> </w:t>
      </w:r>
      <w:r>
        <w:rPr>
          <w:rFonts w:ascii="Times New Roman" w:hAnsi="Times New Roman" w:cs="Times New Roman"/>
          <w:color w:val="000000"/>
        </w:rPr>
        <w:t xml:space="preserve">Concentration-dependent binding of Irr Nb, CD105 Nb, and CD105 </w:t>
      </w:r>
      <w:proofErr w:type="spellStart"/>
      <w:r>
        <w:rPr>
          <w:rFonts w:ascii="Times New Roman" w:hAnsi="Times New Roman" w:cs="Times New Roman"/>
          <w:color w:val="000000"/>
        </w:rPr>
        <w:t>mAb</w:t>
      </w:r>
      <w:proofErr w:type="spellEnd"/>
      <w:r>
        <w:rPr>
          <w:rFonts w:ascii="Times New Roman" w:hAnsi="Times New Roman" w:cs="Times New Roman"/>
          <w:color w:val="000000"/>
        </w:rPr>
        <w:t xml:space="preserve"> compared to PBS control. (d)</w:t>
      </w:r>
      <w:r>
        <w:rPr>
          <w:rStyle w:val="15"/>
          <w:rFonts w:ascii="Times New Roman" w:hAnsi="Times New Roman" w:cs="Times New Roman"/>
          <w:color w:val="000000"/>
        </w:rPr>
        <w:t xml:space="preserve"> </w:t>
      </w:r>
      <w:r>
        <w:rPr>
          <w:rFonts w:ascii="Times New Roman" w:hAnsi="Times New Roman" w:cs="Times New Roman"/>
          <w:color w:val="000000"/>
        </w:rPr>
        <w:t>Thermostability assessment of the indicated formulations following incubation at various temperatures (4–90</w:t>
      </w:r>
      <w:r>
        <w:rPr>
          <w:rFonts w:ascii="Times New Roman" w:hAnsi="Times New Roman" w:cs="Times New Roman" w:hint="eastAsia"/>
          <w:color w:val="000000"/>
        </w:rPr>
        <w:t xml:space="preserve"> </w:t>
      </w:r>
      <w:r>
        <w:rPr>
          <w:rFonts w:ascii="Times New Roman" w:hAnsi="Times New Roman" w:cs="Times New Roman"/>
          <w:color w:val="000000"/>
        </w:rPr>
        <w:t>°C).</w:t>
      </w:r>
    </w:p>
    <w:p w14:paraId="3F29EBE8" w14:textId="77777777" w:rsidR="004F22B7" w:rsidRDefault="00000000">
      <w:pPr>
        <w:jc w:val="center"/>
        <w:rPr>
          <w:rFonts w:ascii="Times New Roman" w:hAnsi="Times New Roman" w:cs="Times New Roman"/>
        </w:rPr>
      </w:pPr>
      <w:r>
        <w:rPr>
          <w:rFonts w:ascii="Times New Roman" w:hAnsi="Times New Roman" w:cs="Times New Roman"/>
          <w:noProof/>
          <w14:ligatures w14:val="standardContextual"/>
        </w:rPr>
        <w:drawing>
          <wp:inline distT="0" distB="0" distL="0" distR="0" wp14:anchorId="4B318317" wp14:editId="457EEDC2">
            <wp:extent cx="5943600" cy="2052955"/>
            <wp:effectExtent l="0" t="0" r="0" b="4445"/>
            <wp:docPr id="797897319" name="Picture 8" descr="A comparison of a loading efficiency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97319" name="Picture 8" descr="A comparison of a loading efficiency graph&#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052955"/>
                    </a:xfrm>
                    <a:prstGeom prst="rect">
                      <a:avLst/>
                    </a:prstGeom>
                  </pic:spPr>
                </pic:pic>
              </a:graphicData>
            </a:graphic>
          </wp:inline>
        </w:drawing>
      </w:r>
    </w:p>
    <w:p w14:paraId="464BE97D" w14:textId="77777777" w:rsidR="004F22B7" w:rsidRDefault="00000000">
      <w:pPr>
        <w:jc w:val="both"/>
        <w:rPr>
          <w:rFonts w:ascii="Times New Roman" w:hAnsi="Times New Roman" w:cs="Times New Roman"/>
        </w:rPr>
      </w:pPr>
      <w:r>
        <w:rPr>
          <w:rFonts w:ascii="Times New Roman" w:hAnsi="Times New Roman" w:cs="Times New Roman"/>
          <w:b/>
          <w:bCs/>
        </w:rPr>
        <w:lastRenderedPageBreak/>
        <w:t>Figure S3.</w:t>
      </w:r>
      <w:r>
        <w:rPr>
          <w:rFonts w:ascii="Times New Roman" w:hAnsi="Times New Roman" w:cs="Times New Roman"/>
        </w:rPr>
        <w:t xml:space="preserve"> (a) The standard curve of UV absorption at 820 nm with varying concentrations (0.6–2.4 </w:t>
      </w:r>
      <w:proofErr w:type="spellStart"/>
      <w:r>
        <w:rPr>
          <w:rFonts w:ascii="Times New Roman" w:hAnsi="Times New Roman" w:cs="Times New Roman"/>
        </w:rPr>
        <w:t>μg</w:t>
      </w:r>
      <w:proofErr w:type="spellEnd"/>
      <w:r>
        <w:rPr>
          <w:rFonts w:ascii="Times New Roman" w:hAnsi="Times New Roman" w:cs="Times New Roman"/>
        </w:rPr>
        <w:t xml:space="preserve"> mL⁻¹). (b) Loading efficiency of CD105 Nb on LI with various mass ratios of LDH to CD105 Nb (5:1, 10:1, 20:1, 50:1, 100:1, and 200:1). </w:t>
      </w:r>
    </w:p>
    <w:p w14:paraId="694941D1" w14:textId="77777777" w:rsidR="004F22B7" w:rsidRDefault="004F22B7">
      <w:pPr>
        <w:jc w:val="center"/>
        <w:rPr>
          <w:rFonts w:ascii="Times New Roman" w:hAnsi="Times New Roman" w:cs="Times New Roman"/>
        </w:rPr>
      </w:pPr>
    </w:p>
    <w:p w14:paraId="3A6ECDDC" w14:textId="3D83870F" w:rsidR="004F22B7" w:rsidRDefault="00000000">
      <w:pPr>
        <w:jc w:val="center"/>
        <w:rPr>
          <w:rFonts w:ascii="Times New Roman" w:hAnsi="Times New Roman" w:cs="Times New Roman"/>
        </w:rPr>
      </w:pPr>
      <w:r>
        <w:rPr>
          <w:rFonts w:ascii="Times New Roman" w:hAnsi="Times New Roman" w:cs="Times New Roman"/>
          <w:b/>
          <w:bCs/>
        </w:rPr>
        <w:t>Table 1</w:t>
      </w:r>
      <w:r>
        <w:rPr>
          <w:rFonts w:ascii="Times New Roman" w:hAnsi="Times New Roman" w:cs="Times New Roman"/>
        </w:rPr>
        <w:t>. XRD analysis and interlayer spacing calculated using Bragg’s law.</w:t>
      </w:r>
    </w:p>
    <w:tbl>
      <w:tblPr>
        <w:tblStyle w:val="TableGrid"/>
        <w:tblW w:w="8120" w:type="dxa"/>
        <w:jc w:val="center"/>
        <w:tblLook w:val="04A0" w:firstRow="1" w:lastRow="0" w:firstColumn="1" w:lastColumn="0" w:noHBand="0" w:noVBand="1"/>
      </w:tblPr>
      <w:tblGrid>
        <w:gridCol w:w="2029"/>
        <w:gridCol w:w="2030"/>
        <w:gridCol w:w="2031"/>
        <w:gridCol w:w="2030"/>
      </w:tblGrid>
      <w:tr w:rsidR="004F22B7" w14:paraId="36A953A5" w14:textId="77777777">
        <w:trPr>
          <w:trHeight w:val="1158"/>
          <w:jc w:val="center"/>
        </w:trPr>
        <w:tc>
          <w:tcPr>
            <w:tcW w:w="2029" w:type="dxa"/>
          </w:tcPr>
          <w:p w14:paraId="47DC5015" w14:textId="77777777" w:rsidR="004F22B7" w:rsidRDefault="00000000">
            <w:pPr>
              <w:spacing w:after="0"/>
              <w:jc w:val="both"/>
              <w:rPr>
                <w:rFonts w:ascii="Times New Roman" w:hAnsi="Times New Roman" w:cs="Times New Roman"/>
              </w:rPr>
            </w:pPr>
            <w:r>
              <w:rPr>
                <w:rFonts w:ascii="Times New Roman" w:hAnsi="Times New Roman" w:cs="Times New Roman"/>
                <w:b/>
                <w:bCs/>
              </w:rPr>
              <w:t> </w:t>
            </w:r>
          </w:p>
          <w:p w14:paraId="69F90354" w14:textId="77777777" w:rsidR="004F22B7" w:rsidRDefault="00000000">
            <w:pPr>
              <w:spacing w:after="0"/>
              <w:jc w:val="both"/>
              <w:rPr>
                <w:rFonts w:ascii="Times New Roman" w:hAnsi="Times New Roman" w:cs="Times New Roman"/>
              </w:rPr>
            </w:pPr>
            <w:r>
              <w:rPr>
                <w:rFonts w:ascii="Times New Roman" w:hAnsi="Times New Roman" w:cs="Times New Roman"/>
                <w:b/>
                <w:bCs/>
              </w:rPr>
              <w:t>Sample </w:t>
            </w:r>
          </w:p>
        </w:tc>
        <w:tc>
          <w:tcPr>
            <w:tcW w:w="2030" w:type="dxa"/>
          </w:tcPr>
          <w:p w14:paraId="11019538" w14:textId="77777777" w:rsidR="004F22B7" w:rsidRDefault="00000000">
            <w:pPr>
              <w:spacing w:after="0"/>
              <w:jc w:val="both"/>
              <w:rPr>
                <w:rFonts w:ascii="Times New Roman" w:hAnsi="Times New Roman" w:cs="Times New Roman"/>
              </w:rPr>
            </w:pPr>
            <w:r>
              <w:rPr>
                <w:rFonts w:ascii="Times New Roman" w:hAnsi="Times New Roman" w:cs="Times New Roman"/>
                <w:b/>
                <w:bCs/>
              </w:rPr>
              <w:t>2</w:t>
            </w:r>
            <w:r>
              <w:rPr>
                <w:rFonts w:ascii="Cambria Math" w:hAnsi="Cambria Math" w:cs="Cambria Math"/>
                <w:b/>
                <w:bCs/>
              </w:rPr>
              <w:t>𝜃</w:t>
            </w:r>
          </w:p>
          <w:p w14:paraId="04C647CF" w14:textId="77777777" w:rsidR="004F22B7" w:rsidRDefault="00000000">
            <w:pPr>
              <w:spacing w:after="0"/>
              <w:jc w:val="both"/>
              <w:rPr>
                <w:rFonts w:ascii="Times New Roman" w:hAnsi="Times New Roman" w:cs="Times New Roman"/>
              </w:rPr>
            </w:pPr>
            <w:r>
              <w:rPr>
                <w:rFonts w:ascii="Times New Roman" w:hAnsi="Times New Roman" w:cs="Times New Roman"/>
                <w:b/>
                <w:bCs/>
              </w:rPr>
              <w:t> (degrees)</w:t>
            </w:r>
          </w:p>
        </w:tc>
        <w:tc>
          <w:tcPr>
            <w:tcW w:w="2031" w:type="dxa"/>
          </w:tcPr>
          <w:p w14:paraId="45BD8819" w14:textId="77777777" w:rsidR="004F22B7" w:rsidRDefault="00000000">
            <w:pPr>
              <w:spacing w:after="0"/>
              <w:jc w:val="both"/>
              <w:rPr>
                <w:rFonts w:ascii="Times New Roman" w:hAnsi="Times New Roman" w:cs="Times New Roman"/>
              </w:rPr>
            </w:pPr>
            <w:r>
              <w:rPr>
                <w:rFonts w:ascii="Times New Roman" w:hAnsi="Times New Roman" w:cs="Times New Roman"/>
                <w:b/>
                <w:bCs/>
              </w:rPr>
              <w:t>Interlayer spacing</w:t>
            </w:r>
          </w:p>
          <w:p w14:paraId="131AEDE4" w14:textId="77777777" w:rsidR="004F22B7" w:rsidRDefault="00000000">
            <w:pPr>
              <w:spacing w:after="0"/>
              <w:jc w:val="both"/>
              <w:rPr>
                <w:rFonts w:ascii="Times New Roman" w:hAnsi="Times New Roman" w:cs="Times New Roman"/>
              </w:rPr>
            </w:pPr>
            <w:r>
              <w:rPr>
                <w:rFonts w:ascii="Cambria Math" w:hAnsi="Cambria Math" w:cs="Cambria Math"/>
                <w:b/>
                <w:bCs/>
              </w:rPr>
              <w:t>𝑑</w:t>
            </w:r>
            <w:r>
              <w:rPr>
                <w:rFonts w:ascii="Times New Roman" w:hAnsi="Times New Roman" w:cs="Times New Roman"/>
                <w:b/>
                <w:bCs/>
              </w:rPr>
              <w:t>006</w:t>
            </w:r>
          </w:p>
          <w:p w14:paraId="0B251042" w14:textId="77777777" w:rsidR="004F22B7" w:rsidRDefault="00000000">
            <w:pPr>
              <w:spacing w:after="0"/>
              <w:jc w:val="both"/>
              <w:rPr>
                <w:rFonts w:ascii="Times New Roman" w:hAnsi="Times New Roman" w:cs="Times New Roman"/>
              </w:rPr>
            </w:pPr>
            <w:r>
              <w:rPr>
                <w:rFonts w:ascii="Times New Roman" w:hAnsi="Times New Roman" w:cs="Times New Roman"/>
                <w:b/>
                <w:bCs/>
              </w:rPr>
              <w:t> (Å)</w:t>
            </w:r>
          </w:p>
        </w:tc>
        <w:tc>
          <w:tcPr>
            <w:tcW w:w="2030" w:type="dxa"/>
          </w:tcPr>
          <w:p w14:paraId="27ED71F2" w14:textId="77777777" w:rsidR="004F22B7" w:rsidRDefault="00000000">
            <w:pPr>
              <w:spacing w:after="0"/>
              <w:jc w:val="both"/>
              <w:rPr>
                <w:rFonts w:ascii="Times New Roman" w:hAnsi="Times New Roman" w:cs="Times New Roman"/>
              </w:rPr>
            </w:pPr>
            <w:r>
              <w:rPr>
                <w:rFonts w:ascii="Times New Roman" w:hAnsi="Times New Roman" w:cs="Times New Roman"/>
                <w:b/>
                <w:bCs/>
              </w:rPr>
              <w:t> </w:t>
            </w:r>
          </w:p>
          <w:p w14:paraId="5B390CB5" w14:textId="77777777" w:rsidR="004F22B7" w:rsidRDefault="00000000">
            <w:pPr>
              <w:spacing w:after="0"/>
              <w:jc w:val="both"/>
              <w:rPr>
                <w:rFonts w:ascii="Times New Roman" w:hAnsi="Times New Roman" w:cs="Times New Roman"/>
              </w:rPr>
            </w:pPr>
            <w:r>
              <w:rPr>
                <w:rFonts w:ascii="Times New Roman" w:hAnsi="Times New Roman" w:cs="Times New Roman"/>
                <w:b/>
                <w:bCs/>
              </w:rPr>
              <w:t>Changes from LDH</w:t>
            </w:r>
          </w:p>
        </w:tc>
      </w:tr>
      <w:tr w:rsidR="004F22B7" w14:paraId="3DE90728" w14:textId="77777777">
        <w:trPr>
          <w:trHeight w:val="289"/>
          <w:jc w:val="center"/>
        </w:trPr>
        <w:tc>
          <w:tcPr>
            <w:tcW w:w="2029" w:type="dxa"/>
          </w:tcPr>
          <w:p w14:paraId="18FABD41" w14:textId="77777777" w:rsidR="004F22B7" w:rsidRDefault="00000000">
            <w:pPr>
              <w:spacing w:after="0"/>
              <w:jc w:val="both"/>
              <w:rPr>
                <w:rFonts w:ascii="Times New Roman" w:hAnsi="Times New Roman" w:cs="Times New Roman"/>
              </w:rPr>
            </w:pPr>
            <w:r>
              <w:rPr>
                <w:rFonts w:ascii="Times New Roman" w:hAnsi="Times New Roman" w:cs="Times New Roman"/>
                <w:b/>
                <w:bCs/>
              </w:rPr>
              <w:t>LDH</w:t>
            </w:r>
          </w:p>
        </w:tc>
        <w:tc>
          <w:tcPr>
            <w:tcW w:w="2030" w:type="dxa"/>
          </w:tcPr>
          <w:p w14:paraId="663B380F" w14:textId="77777777" w:rsidR="004F22B7" w:rsidRDefault="00000000">
            <w:pPr>
              <w:spacing w:after="0"/>
              <w:jc w:val="both"/>
              <w:rPr>
                <w:rFonts w:ascii="Times New Roman" w:hAnsi="Times New Roman" w:cs="Times New Roman"/>
              </w:rPr>
            </w:pPr>
            <w:r>
              <w:rPr>
                <w:rFonts w:ascii="Times New Roman" w:hAnsi="Times New Roman" w:cs="Times New Roman"/>
              </w:rPr>
              <w:t>22.666°</w:t>
            </w:r>
          </w:p>
        </w:tc>
        <w:tc>
          <w:tcPr>
            <w:tcW w:w="2031" w:type="dxa"/>
          </w:tcPr>
          <w:p w14:paraId="08E2824D" w14:textId="77777777" w:rsidR="004F22B7" w:rsidRDefault="00000000">
            <w:pPr>
              <w:spacing w:after="0"/>
              <w:jc w:val="both"/>
              <w:rPr>
                <w:rFonts w:ascii="Times New Roman" w:hAnsi="Times New Roman" w:cs="Times New Roman"/>
              </w:rPr>
            </w:pPr>
            <w:r>
              <w:rPr>
                <w:rFonts w:ascii="Times New Roman" w:hAnsi="Times New Roman" w:cs="Times New Roman"/>
              </w:rPr>
              <w:t>3.920 Å</w:t>
            </w:r>
          </w:p>
        </w:tc>
        <w:tc>
          <w:tcPr>
            <w:tcW w:w="2030" w:type="dxa"/>
          </w:tcPr>
          <w:p w14:paraId="74AD7832" w14:textId="77777777" w:rsidR="004F22B7" w:rsidRDefault="00000000">
            <w:pPr>
              <w:spacing w:after="0"/>
              <w:jc w:val="both"/>
              <w:rPr>
                <w:rFonts w:ascii="Times New Roman" w:hAnsi="Times New Roman" w:cs="Times New Roman"/>
              </w:rPr>
            </w:pPr>
            <w:r>
              <w:rPr>
                <w:rFonts w:ascii="Times New Roman" w:hAnsi="Times New Roman" w:cs="Times New Roman"/>
              </w:rPr>
              <w:t>Reference</w:t>
            </w:r>
          </w:p>
        </w:tc>
      </w:tr>
      <w:tr w:rsidR="004F22B7" w14:paraId="035FA406" w14:textId="77777777">
        <w:trPr>
          <w:trHeight w:val="289"/>
          <w:jc w:val="center"/>
        </w:trPr>
        <w:tc>
          <w:tcPr>
            <w:tcW w:w="2029" w:type="dxa"/>
          </w:tcPr>
          <w:p w14:paraId="2FC46013" w14:textId="77777777" w:rsidR="004F22B7" w:rsidRDefault="00000000">
            <w:pPr>
              <w:spacing w:after="0"/>
              <w:jc w:val="both"/>
              <w:rPr>
                <w:rFonts w:ascii="Times New Roman" w:hAnsi="Times New Roman" w:cs="Times New Roman"/>
              </w:rPr>
            </w:pPr>
            <w:r>
              <w:rPr>
                <w:rFonts w:ascii="Times New Roman" w:hAnsi="Times New Roman" w:cs="Times New Roman"/>
                <w:b/>
                <w:bCs/>
              </w:rPr>
              <w:t>LI</w:t>
            </w:r>
          </w:p>
        </w:tc>
        <w:tc>
          <w:tcPr>
            <w:tcW w:w="2030" w:type="dxa"/>
          </w:tcPr>
          <w:p w14:paraId="1BA68AE0" w14:textId="77777777" w:rsidR="004F22B7" w:rsidRDefault="00000000">
            <w:pPr>
              <w:spacing w:after="0"/>
              <w:jc w:val="both"/>
              <w:rPr>
                <w:rFonts w:ascii="Times New Roman" w:hAnsi="Times New Roman" w:cs="Times New Roman"/>
              </w:rPr>
            </w:pPr>
            <w:r>
              <w:rPr>
                <w:rFonts w:ascii="Times New Roman" w:hAnsi="Times New Roman" w:cs="Times New Roman"/>
              </w:rPr>
              <w:t>22.529°</w:t>
            </w:r>
          </w:p>
        </w:tc>
        <w:tc>
          <w:tcPr>
            <w:tcW w:w="2031" w:type="dxa"/>
          </w:tcPr>
          <w:p w14:paraId="5F2A8246" w14:textId="77777777" w:rsidR="004F22B7" w:rsidRDefault="00000000">
            <w:pPr>
              <w:spacing w:after="0"/>
              <w:jc w:val="both"/>
              <w:rPr>
                <w:rFonts w:ascii="Times New Roman" w:hAnsi="Times New Roman" w:cs="Times New Roman"/>
              </w:rPr>
            </w:pPr>
            <w:r>
              <w:rPr>
                <w:rFonts w:ascii="Times New Roman" w:hAnsi="Times New Roman" w:cs="Times New Roman"/>
              </w:rPr>
              <w:t>3.943 Å</w:t>
            </w:r>
          </w:p>
        </w:tc>
        <w:tc>
          <w:tcPr>
            <w:tcW w:w="2030" w:type="dxa"/>
          </w:tcPr>
          <w:p w14:paraId="7CD49B88" w14:textId="77777777" w:rsidR="004F22B7" w:rsidRDefault="00000000">
            <w:pPr>
              <w:spacing w:after="0"/>
              <w:jc w:val="both"/>
              <w:rPr>
                <w:rFonts w:ascii="Times New Roman" w:hAnsi="Times New Roman" w:cs="Times New Roman"/>
              </w:rPr>
            </w:pPr>
            <w:r>
              <w:rPr>
                <w:rFonts w:ascii="Times New Roman" w:hAnsi="Times New Roman" w:cs="Times New Roman"/>
              </w:rPr>
              <w:t>+0.046 Å</w:t>
            </w:r>
          </w:p>
        </w:tc>
      </w:tr>
      <w:tr w:rsidR="004F22B7" w14:paraId="6C31F483" w14:textId="77777777">
        <w:trPr>
          <w:trHeight w:val="289"/>
          <w:jc w:val="center"/>
        </w:trPr>
        <w:tc>
          <w:tcPr>
            <w:tcW w:w="2029" w:type="dxa"/>
          </w:tcPr>
          <w:p w14:paraId="07243826" w14:textId="77777777" w:rsidR="004F22B7" w:rsidRDefault="00000000">
            <w:pPr>
              <w:spacing w:after="0"/>
              <w:jc w:val="both"/>
              <w:rPr>
                <w:rFonts w:ascii="Times New Roman" w:hAnsi="Times New Roman" w:cs="Times New Roman"/>
              </w:rPr>
            </w:pPr>
            <w:r>
              <w:rPr>
                <w:rFonts w:ascii="Times New Roman" w:hAnsi="Times New Roman" w:cs="Times New Roman"/>
                <w:b/>
                <w:bCs/>
              </w:rPr>
              <w:t>CD105 Nb-LIN</w:t>
            </w:r>
          </w:p>
        </w:tc>
        <w:tc>
          <w:tcPr>
            <w:tcW w:w="2030" w:type="dxa"/>
          </w:tcPr>
          <w:p w14:paraId="138AC59A" w14:textId="77777777" w:rsidR="004F22B7" w:rsidRDefault="00000000">
            <w:pPr>
              <w:spacing w:after="0"/>
              <w:jc w:val="both"/>
              <w:rPr>
                <w:rFonts w:ascii="Times New Roman" w:hAnsi="Times New Roman" w:cs="Times New Roman"/>
              </w:rPr>
            </w:pPr>
            <w:r>
              <w:rPr>
                <w:rFonts w:ascii="Times New Roman" w:hAnsi="Times New Roman" w:cs="Times New Roman"/>
              </w:rPr>
              <w:t>22.450°</w:t>
            </w:r>
          </w:p>
        </w:tc>
        <w:tc>
          <w:tcPr>
            <w:tcW w:w="2031" w:type="dxa"/>
          </w:tcPr>
          <w:p w14:paraId="4DCB5679" w14:textId="77777777" w:rsidR="004F22B7" w:rsidRDefault="00000000">
            <w:pPr>
              <w:spacing w:after="0"/>
              <w:jc w:val="both"/>
              <w:rPr>
                <w:rFonts w:ascii="Times New Roman" w:hAnsi="Times New Roman" w:cs="Times New Roman"/>
              </w:rPr>
            </w:pPr>
            <w:r>
              <w:rPr>
                <w:rFonts w:ascii="Times New Roman" w:hAnsi="Times New Roman" w:cs="Times New Roman"/>
              </w:rPr>
              <w:t>3.957 Å</w:t>
            </w:r>
          </w:p>
        </w:tc>
        <w:tc>
          <w:tcPr>
            <w:tcW w:w="2030" w:type="dxa"/>
          </w:tcPr>
          <w:p w14:paraId="0CC13C46" w14:textId="77777777" w:rsidR="004F22B7" w:rsidRDefault="00000000">
            <w:pPr>
              <w:spacing w:after="0"/>
              <w:jc w:val="both"/>
              <w:rPr>
                <w:rFonts w:ascii="Times New Roman" w:hAnsi="Times New Roman" w:cs="Times New Roman"/>
              </w:rPr>
            </w:pPr>
            <w:r>
              <w:rPr>
                <w:rFonts w:ascii="Times New Roman" w:hAnsi="Times New Roman" w:cs="Times New Roman"/>
              </w:rPr>
              <w:t>+0.074 Å</w:t>
            </w:r>
          </w:p>
        </w:tc>
      </w:tr>
    </w:tbl>
    <w:p w14:paraId="537E3070" w14:textId="77777777" w:rsidR="004F22B7" w:rsidRDefault="00000000">
      <w:pPr>
        <w:spacing w:after="100" w:afterAutospacing="1" w:line="240" w:lineRule="auto"/>
        <w:rPr>
          <w:rFonts w:ascii="Times New Roman" w:hAnsi="Times New Roman" w:cs="Times New Roman"/>
        </w:rPr>
      </w:pPr>
      <w:r>
        <w:rPr>
          <w:rFonts w:ascii="Times New Roman" w:hAnsi="Times New Roman" w:cs="Times New Roman"/>
        </w:rPr>
        <w:t>Bragg’s Law</w:t>
      </w:r>
    </w:p>
    <w:p w14:paraId="2B151347" w14:textId="77777777" w:rsidR="004F22B7" w:rsidRDefault="00000000">
      <w:pPr>
        <w:spacing w:after="100" w:afterAutospacing="1" w:line="24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iCs/>
        </w:rPr>
        <w:t>n</w:t>
      </w:r>
      <w:r>
        <w:rPr>
          <w:rFonts w:ascii="Times New Roman" w:hAnsi="Times New Roman" w:cs="Times New Roman"/>
          <w:i/>
          <w:iCs/>
        </w:rPr>
        <w:sym w:font="Symbol" w:char="F06C"/>
      </w:r>
      <w:r>
        <w:rPr>
          <w:rFonts w:ascii="Times New Roman" w:hAnsi="Times New Roman" w:cs="Times New Roman"/>
        </w:rPr>
        <w:t xml:space="preserve"> = 2</w:t>
      </w:r>
      <w:r>
        <w:rPr>
          <w:rFonts w:ascii="Times New Roman" w:hAnsi="Times New Roman" w:cs="Times New Roman"/>
          <w:i/>
          <w:iCs/>
        </w:rPr>
        <w:t>d</w:t>
      </w:r>
      <w:r>
        <w:rPr>
          <w:rFonts w:ascii="Times New Roman" w:hAnsi="Times New Roman" w:cs="Times New Roman"/>
        </w:rPr>
        <w:t>sin</w:t>
      </w:r>
      <w:r>
        <w:rPr>
          <w:rFonts w:ascii="Times New Roman" w:hAnsi="Times New Roman" w:cs="Times New Roman"/>
          <w:i/>
          <w:iCs/>
        </w:rPr>
        <w:sym w:font="Symbol" w:char="F071"/>
      </w:r>
    </w:p>
    <w:p w14:paraId="6291556B" w14:textId="77777777" w:rsidR="004F22B7" w:rsidRDefault="00000000">
      <w:pPr>
        <w:spacing w:after="100" w:afterAutospacing="1" w:line="240" w:lineRule="auto"/>
        <w:jc w:val="both"/>
        <w:rPr>
          <w:rFonts w:ascii="Times New Roman" w:hAnsi="Times New Roman" w:cs="Times New Roman"/>
        </w:rPr>
      </w:pPr>
      <w:r>
        <w:rPr>
          <w:rStyle w:val="apple-converted-space"/>
          <w:rFonts w:ascii="Times New Roman" w:hAnsi="Times New Roman" w:cs="Times New Roman"/>
          <w:i/>
          <w:iCs/>
          <w:color w:val="000000"/>
        </w:rPr>
        <w:t>n</w:t>
      </w:r>
      <w:r>
        <w:rPr>
          <w:rStyle w:val="apple-converted-space"/>
          <w:rFonts w:ascii="Times New Roman" w:hAnsi="Times New Roman" w:cs="Times New Roman"/>
          <w:color w:val="000000"/>
        </w:rPr>
        <w:t> </w:t>
      </w:r>
      <w:r>
        <w:rPr>
          <w:rFonts w:ascii="Times New Roman" w:hAnsi="Times New Roman" w:cs="Times New Roman"/>
          <w:color w:val="000000"/>
        </w:rPr>
        <w:t>= Number (Order of Reflection)</w:t>
      </w:r>
    </w:p>
    <w:p w14:paraId="7C86E6C6" w14:textId="77777777" w:rsidR="004F22B7" w:rsidRDefault="00000000">
      <w:pPr>
        <w:spacing w:after="100" w:afterAutospacing="1" w:line="240" w:lineRule="auto"/>
        <w:jc w:val="both"/>
        <w:rPr>
          <w:rFonts w:ascii="Times New Roman" w:hAnsi="Times New Roman" w:cs="Times New Roman"/>
          <w:color w:val="000000"/>
        </w:rPr>
      </w:pPr>
      <w:r>
        <w:rPr>
          <w:rFonts w:ascii="Times New Roman" w:hAnsi="Times New Roman" w:cs="Times New Roman"/>
          <w:i/>
          <w:iCs/>
        </w:rPr>
        <w:sym w:font="Symbol" w:char="F06C"/>
      </w:r>
      <w:r>
        <w:rPr>
          <w:rFonts w:ascii="Times New Roman" w:hAnsi="Times New Roman" w:cs="Times New Roman"/>
        </w:rPr>
        <w:t xml:space="preserve"> </w:t>
      </w:r>
      <w:r>
        <w:rPr>
          <w:rFonts w:ascii="Times New Roman" w:hAnsi="Times New Roman" w:cs="Times New Roman"/>
          <w:color w:val="000000"/>
        </w:rPr>
        <w:t>= Wavelength</w:t>
      </w:r>
    </w:p>
    <w:p w14:paraId="5E503243" w14:textId="77777777" w:rsidR="004F22B7" w:rsidRDefault="00000000">
      <w:pPr>
        <w:spacing w:after="100" w:afterAutospacing="1" w:line="240" w:lineRule="auto"/>
        <w:jc w:val="both"/>
        <w:rPr>
          <w:rFonts w:ascii="Times New Roman" w:hAnsi="Times New Roman" w:cs="Times New Roman"/>
          <w:color w:val="000000"/>
        </w:rPr>
      </w:pPr>
      <w:r>
        <w:rPr>
          <w:rStyle w:val="apple-converted-space"/>
          <w:rFonts w:ascii="Times New Roman" w:hAnsi="Times New Roman" w:cs="Times New Roman"/>
          <w:i/>
          <w:iCs/>
          <w:color w:val="000000"/>
        </w:rPr>
        <w:t>d</w:t>
      </w:r>
      <w:r>
        <w:rPr>
          <w:rStyle w:val="apple-converted-space"/>
          <w:rFonts w:ascii="Times New Roman" w:hAnsi="Times New Roman" w:cs="Times New Roman"/>
          <w:color w:val="000000"/>
        </w:rPr>
        <w:t> </w:t>
      </w:r>
      <w:r>
        <w:rPr>
          <w:rFonts w:ascii="Times New Roman" w:hAnsi="Times New Roman" w:cs="Times New Roman"/>
          <w:color w:val="000000"/>
        </w:rPr>
        <w:t>= Distance (Interplanar Spacing)</w:t>
      </w:r>
    </w:p>
    <w:p w14:paraId="45A5299A" w14:textId="77777777" w:rsidR="004F22B7" w:rsidRDefault="00000000">
      <w:pPr>
        <w:spacing w:after="100" w:afterAutospacing="1" w:line="240" w:lineRule="auto"/>
        <w:jc w:val="both"/>
        <w:rPr>
          <w:rFonts w:ascii="Times New Roman" w:hAnsi="Times New Roman" w:cs="Times New Roman"/>
        </w:rPr>
      </w:pPr>
      <w:r>
        <w:rPr>
          <w:rFonts w:ascii="Times New Roman" w:hAnsi="Times New Roman" w:cs="Times New Roman"/>
          <w:i/>
          <w:iCs/>
        </w:rPr>
        <w:sym w:font="Symbol" w:char="F071"/>
      </w:r>
      <w:r>
        <w:rPr>
          <w:rFonts w:ascii="Times New Roman" w:hAnsi="Times New Roman" w:cs="Times New Roman"/>
        </w:rPr>
        <w:t xml:space="preserve"> </w:t>
      </w:r>
      <w:r>
        <w:rPr>
          <w:rFonts w:ascii="Times New Roman" w:hAnsi="Times New Roman" w:cs="Times New Roman"/>
          <w:color w:val="000000"/>
        </w:rPr>
        <w:t>= Angle</w:t>
      </w:r>
    </w:p>
    <w:p w14:paraId="6C39DD0C" w14:textId="77777777" w:rsidR="004F22B7" w:rsidRDefault="00000000">
      <w:pPr>
        <w:jc w:val="center"/>
        <w:rPr>
          <w:rFonts w:ascii="Times New Roman" w:hAnsi="Times New Roman" w:cs="Times New Roman"/>
        </w:rPr>
      </w:pPr>
      <w:r>
        <w:rPr>
          <w:rFonts w:ascii="Times New Roman" w:hAnsi="Times New Roman" w:cs="Times New Roman"/>
          <w:noProof/>
          <w14:ligatures w14:val="standardContextual"/>
        </w:rPr>
        <w:drawing>
          <wp:inline distT="0" distB="0" distL="0" distR="0" wp14:anchorId="3174149A" wp14:editId="4D472BB7">
            <wp:extent cx="3873500" cy="2501900"/>
            <wp:effectExtent l="0" t="0" r="12700" b="12700"/>
            <wp:docPr id="202116441" name="Picture 1" descr="/Users/sandarmoemoesint/Downloads/ZYY/manuscript for AFM/Figures PNG/Supporting Files Figures/Figure S4.png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6441" name="Picture 1" descr="/Users/sandarmoemoesint/Downloads/ZYY/manuscript for AFM/Figures PNG/Supporting Files Figures/Figure S4.pngFigure S4"/>
                    <pic:cNvPicPr>
                      <a:picLocks noChangeAspect="1"/>
                    </pic:cNvPicPr>
                  </pic:nvPicPr>
                  <pic:blipFill>
                    <a:blip r:embed="rId13"/>
                    <a:srcRect t="115" b="115"/>
                    <a:stretch>
                      <a:fillRect/>
                    </a:stretch>
                  </pic:blipFill>
                  <pic:spPr>
                    <a:xfrm>
                      <a:off x="0" y="0"/>
                      <a:ext cx="3873500" cy="2501900"/>
                    </a:xfrm>
                    <a:prstGeom prst="rect">
                      <a:avLst/>
                    </a:prstGeom>
                  </pic:spPr>
                </pic:pic>
              </a:graphicData>
            </a:graphic>
          </wp:inline>
        </w:drawing>
      </w:r>
    </w:p>
    <w:p w14:paraId="02E208FA" w14:textId="77777777" w:rsidR="004F22B7" w:rsidRDefault="00000000" w:rsidP="00BA2E05">
      <w:pPr>
        <w:jc w:val="center"/>
      </w:pPr>
      <w:r>
        <w:rPr>
          <w:rFonts w:ascii="Times New Roman" w:hAnsi="Times New Roman" w:cs="Times New Roman"/>
          <w:b/>
          <w:bCs/>
        </w:rPr>
        <w:lastRenderedPageBreak/>
        <w:t>Figure S4.</w:t>
      </w:r>
      <w:r>
        <w:rPr>
          <w:rFonts w:ascii="Times New Roman" w:hAnsi="Times New Roman" w:cs="Times New Roman"/>
        </w:rPr>
        <w:t xml:space="preserve"> UV–vis absorption spectra of LDH, ICG, and CD105 Nb-LIN.</w:t>
      </w:r>
    </w:p>
    <w:p w14:paraId="347F1CC9" w14:textId="21D508C3" w:rsidR="004F22B7" w:rsidRDefault="00000000">
      <w:pPr>
        <w:jc w:val="both"/>
        <w:rPr>
          <w:rFonts w:ascii="Times New Roman" w:hAnsi="Times New Roman" w:cs="Times New Roman"/>
        </w:rPr>
      </w:pPr>
      <w:r>
        <w:rPr>
          <w:rFonts w:ascii="Times New Roman" w:hAnsi="Times New Roman" w:cs="Times New Roman"/>
          <w:noProof/>
          <w14:ligatures w14:val="standardContextual"/>
        </w:rPr>
        <w:drawing>
          <wp:inline distT="0" distB="0" distL="0" distR="0" wp14:anchorId="3E64E82B" wp14:editId="3F61CFC2">
            <wp:extent cx="5943600" cy="1637030"/>
            <wp:effectExtent l="0" t="0" r="0" b="1270"/>
            <wp:docPr id="1671765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65127"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637030"/>
                    </a:xfrm>
                    <a:prstGeom prst="rect">
                      <a:avLst/>
                    </a:prstGeom>
                  </pic:spPr>
                </pic:pic>
              </a:graphicData>
            </a:graphic>
          </wp:inline>
        </w:drawing>
      </w:r>
    </w:p>
    <w:p w14:paraId="0B802D2E" w14:textId="77777777" w:rsidR="004F22B7" w:rsidRDefault="00000000">
      <w:pPr>
        <w:spacing w:line="480" w:lineRule="exact"/>
        <w:jc w:val="both"/>
        <w:rPr>
          <w:rFonts w:ascii="Times New Roman" w:hAnsi="Times New Roman" w:cs="Times New Roman"/>
        </w:rPr>
      </w:pPr>
      <w:r>
        <w:rPr>
          <w:rFonts w:ascii="Times New Roman" w:hAnsi="Times New Roman" w:cs="Times New Roman"/>
          <w:b/>
          <w:bCs/>
        </w:rPr>
        <w:t>Figure S5.</w:t>
      </w:r>
      <w:r>
        <w:rPr>
          <w:rFonts w:ascii="Times New Roman" w:hAnsi="Times New Roman" w:cs="Times New Roman"/>
        </w:rPr>
        <w:t xml:space="preserve"> UV–vis absorption spectra of ICG and CD105 Nb</w:t>
      </w:r>
      <w:r>
        <w:rPr>
          <w:rFonts w:ascii="Times New Roman" w:hAnsi="Times New Roman" w:cs="Times New Roman"/>
        </w:rPr>
        <w:noBreakHyphen/>
        <w:t>LIN recorded over a period of four days, stored at room temperature in the absence of light, and absorbance-reducing rate as a function of time.</w:t>
      </w:r>
    </w:p>
    <w:p w14:paraId="4F52063E" w14:textId="77777777" w:rsidR="004F22B7" w:rsidRDefault="00000000">
      <w:pPr>
        <w:jc w:val="center"/>
        <w:rPr>
          <w:rFonts w:ascii="Times New Roman" w:hAnsi="Times New Roman" w:cs="Times New Roman"/>
        </w:rPr>
      </w:pPr>
      <w:r>
        <w:rPr>
          <w:rFonts w:ascii="Times New Roman" w:hAnsi="Times New Roman" w:cs="Times New Roman"/>
          <w:noProof/>
        </w:rPr>
        <w:drawing>
          <wp:inline distT="0" distB="0" distL="0" distR="0" wp14:anchorId="60FBDC1A" wp14:editId="3937ADE8">
            <wp:extent cx="5943600" cy="3696335"/>
            <wp:effectExtent l="0" t="0" r="0" b="0"/>
            <wp:docPr id="20277650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65000" name="Picture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696335"/>
                    </a:xfrm>
                    <a:prstGeom prst="rect">
                      <a:avLst/>
                    </a:prstGeom>
                  </pic:spPr>
                </pic:pic>
              </a:graphicData>
            </a:graphic>
          </wp:inline>
        </w:drawing>
      </w:r>
    </w:p>
    <w:p w14:paraId="18C64BC6" w14:textId="77777777" w:rsidR="004F22B7" w:rsidRDefault="00000000">
      <w:pPr>
        <w:spacing w:line="480" w:lineRule="exact"/>
        <w:rPr>
          <w:rFonts w:ascii="Times New Roman" w:hAnsi="Times New Roman" w:cs="Times New Roman"/>
        </w:rPr>
      </w:pPr>
      <w:r>
        <w:rPr>
          <w:rFonts w:ascii="Times New Roman" w:hAnsi="Times New Roman" w:cs="Times New Roman"/>
          <w:b/>
          <w:bCs/>
        </w:rPr>
        <w:t>Figure S6.</w:t>
      </w:r>
      <w:r>
        <w:rPr>
          <w:rFonts w:ascii="Times New Roman" w:hAnsi="Times New Roman" w:cs="Times New Roman"/>
        </w:rPr>
        <w:t xml:space="preserve"> pH-dependent ¹O</w:t>
      </w:r>
      <w:r>
        <w:rPr>
          <w:rFonts w:ascii="Times New Roman" w:hAnsi="Times New Roman" w:cs="Times New Roman" w:hint="cs"/>
        </w:rPr>
        <w:t>₂</w:t>
      </w:r>
      <w:r>
        <w:rPr>
          <w:rFonts w:ascii="Times New Roman" w:hAnsi="Times New Roman" w:cs="Times New Roman"/>
        </w:rPr>
        <w:t xml:space="preserve"> generation of CD105 Nb-LIN. DPBF absorbance decay at 410 nm under different pH conditions (7.4 vs. 5.0) with or without 808 nm NIR irradiation.</w:t>
      </w:r>
    </w:p>
    <w:p w14:paraId="0A5596D7" w14:textId="04BDD691" w:rsidR="004F22B7" w:rsidRDefault="004F22B7">
      <w:pPr>
        <w:jc w:val="both"/>
        <w:rPr>
          <w:rFonts w:ascii="Times New Roman" w:hAnsi="Times New Roman" w:cs="Times New Roman"/>
        </w:rPr>
      </w:pPr>
    </w:p>
    <w:p w14:paraId="10887A85" w14:textId="77777777" w:rsidR="004F22B7" w:rsidRDefault="00000000">
      <w:pPr>
        <w:jc w:val="cente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28177CAB" wp14:editId="2816685D">
            <wp:extent cx="5943600" cy="3754120"/>
            <wp:effectExtent l="0" t="0" r="0" b="5080"/>
            <wp:docPr id="21332168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16808" name="Picture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754120"/>
                    </a:xfrm>
                    <a:prstGeom prst="rect">
                      <a:avLst/>
                    </a:prstGeom>
                  </pic:spPr>
                </pic:pic>
              </a:graphicData>
            </a:graphic>
          </wp:inline>
        </w:drawing>
      </w:r>
    </w:p>
    <w:p w14:paraId="514B95BC" w14:textId="1E2FC03E" w:rsidR="004F22B7" w:rsidRPr="00BA2E05" w:rsidRDefault="00000000">
      <w:pPr>
        <w:jc w:val="both"/>
        <w:rPr>
          <w:rFonts w:ascii="Times New Roman" w:eastAsia="fkGroteskNeue" w:hAnsi="Times New Roman" w:cs="Times New Roman"/>
          <w:color w:val="000000" w:themeColor="text1"/>
          <w:kern w:val="24"/>
        </w:rPr>
      </w:pPr>
      <w:r>
        <w:rPr>
          <w:rFonts w:ascii="Times New Roman" w:hAnsi="Times New Roman" w:cs="Times New Roman"/>
          <w:b/>
          <w:bCs/>
        </w:rPr>
        <w:t xml:space="preserve">Figure S7. </w:t>
      </w:r>
      <w:r>
        <w:rPr>
          <w:rFonts w:ascii="Times New Roman" w:hAnsi="Times New Roman" w:cs="Times New Roman"/>
        </w:rPr>
        <w:t xml:space="preserve">(a) Temperature-time curves of ICG (20 </w:t>
      </w:r>
      <w:proofErr w:type="spellStart"/>
      <w:r>
        <w:rPr>
          <w:rFonts w:ascii="Times New Roman" w:hAnsi="Times New Roman" w:cs="Times New Roman"/>
        </w:rPr>
        <w:t>μg</w:t>
      </w:r>
      <w:proofErr w:type="spellEnd"/>
      <w:r w:rsidR="00BA2E05">
        <w:rPr>
          <w:rFonts w:ascii="Times New Roman" w:hAnsi="Times New Roman" w:cs="Times New Roman"/>
        </w:rPr>
        <w:t>/</w:t>
      </w:r>
      <w:r>
        <w:rPr>
          <w:rFonts w:ascii="Times New Roman" w:hAnsi="Times New Roman" w:cs="Times New Roman"/>
        </w:rPr>
        <w:t xml:space="preserve">mL) at different laser power densities. (b) FLIR thermal images of ICG following 5 min of irradiation at different NIR power densities. (c) Temperature-time profiles of ICG solutions at varying concentrations (ICG = 0, 2.5, 5, 10, and 20 </w:t>
      </w:r>
      <w:proofErr w:type="spellStart"/>
      <w:r>
        <w:rPr>
          <w:rFonts w:ascii="Times New Roman" w:hAnsi="Times New Roman" w:cs="Times New Roman"/>
        </w:rPr>
        <w:t>μg</w:t>
      </w:r>
      <w:proofErr w:type="spellEnd"/>
      <w:r w:rsidR="00BA2E05">
        <w:rPr>
          <w:rFonts w:ascii="Times New Roman" w:hAnsi="Times New Roman" w:cs="Times New Roman"/>
        </w:rPr>
        <w:t>/</w:t>
      </w:r>
      <w:r>
        <w:rPr>
          <w:rFonts w:ascii="Times New Roman" w:hAnsi="Times New Roman" w:cs="Times New Roman"/>
        </w:rPr>
        <w:t>mL). (d) FLIR thermal images of ICG following 5 min of irradiation at different concentrations.</w:t>
      </w:r>
      <w:r>
        <w:rPr>
          <w:rFonts w:ascii="Times New Roman" w:eastAsia="fkGroteskNeue" w:hAnsi="Times New Roman" w:cs="Times New Roman"/>
          <w:color w:val="000000" w:themeColor="text1"/>
          <w:kern w:val="24"/>
        </w:rPr>
        <w:t xml:space="preserve"> </w:t>
      </w:r>
    </w:p>
    <w:p w14:paraId="5BBC30CD" w14:textId="77777777" w:rsidR="004F22B7" w:rsidRDefault="0000000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EAE931F" wp14:editId="0A4EF637">
            <wp:extent cx="5943600" cy="3718560"/>
            <wp:effectExtent l="0" t="0" r="0" b="2540"/>
            <wp:docPr id="8152734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3457" name="Picture 2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718560"/>
                    </a:xfrm>
                    <a:prstGeom prst="rect">
                      <a:avLst/>
                    </a:prstGeom>
                  </pic:spPr>
                </pic:pic>
              </a:graphicData>
            </a:graphic>
          </wp:inline>
        </w:drawing>
      </w:r>
    </w:p>
    <w:p w14:paraId="5DA90AB4" w14:textId="77777777" w:rsidR="004F22B7" w:rsidRDefault="00000000">
      <w:pPr>
        <w:jc w:val="both"/>
        <w:rPr>
          <w:rFonts w:ascii="Times New Roman" w:hAnsi="Times New Roman" w:cs="Times New Roman"/>
        </w:rPr>
      </w:pPr>
      <w:r>
        <w:rPr>
          <w:rFonts w:ascii="Times New Roman" w:hAnsi="Times New Roman" w:cs="Times New Roman"/>
          <w:b/>
          <w:bCs/>
        </w:rPr>
        <w:t>Figure S8.</w:t>
      </w:r>
      <w:r>
        <w:rPr>
          <w:rFonts w:ascii="Times New Roman" w:hAnsi="Times New Roman" w:cs="Times New Roman"/>
        </w:rPr>
        <w:t xml:space="preserve"> CD105 expression on CD105‑positive (HepG2, PANC‑1, HUVECs, </w:t>
      </w:r>
      <w:proofErr w:type="spellStart"/>
      <w:r>
        <w:rPr>
          <w:rFonts w:ascii="Times New Roman" w:hAnsi="Times New Roman" w:cs="Times New Roman"/>
        </w:rPr>
        <w:t>HemECs</w:t>
      </w:r>
      <w:proofErr w:type="spellEnd"/>
      <w:r>
        <w:rPr>
          <w:rFonts w:ascii="Times New Roman" w:hAnsi="Times New Roman" w:cs="Times New Roman"/>
        </w:rPr>
        <w:t>) and CD105‑negative (VE) cell lines assessed by flow cytometry.</w:t>
      </w:r>
    </w:p>
    <w:p w14:paraId="390C7A40" w14:textId="33E4E8DD" w:rsidR="004F22B7" w:rsidRDefault="00000000">
      <w:pPr>
        <w:jc w:val="center"/>
        <w:rPr>
          <w:rFonts w:ascii="Times New Roman" w:hAnsi="Times New Roman" w:cs="Times New Roman"/>
        </w:rPr>
      </w:pPr>
      <w:r>
        <w:rPr>
          <w:rFonts w:ascii="Times New Roman" w:hAnsi="Times New Roman" w:cs="Times New Roman"/>
          <w:noProof/>
        </w:rPr>
        <w:drawing>
          <wp:inline distT="0" distB="0" distL="0" distR="0" wp14:anchorId="12484951" wp14:editId="7A3157C7">
            <wp:extent cx="5943600" cy="2687320"/>
            <wp:effectExtent l="0" t="0" r="0" b="5080"/>
            <wp:docPr id="1011525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2502" name="Picture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87320"/>
                    </a:xfrm>
                    <a:prstGeom prst="rect">
                      <a:avLst/>
                    </a:prstGeom>
                  </pic:spPr>
                </pic:pic>
              </a:graphicData>
            </a:graphic>
          </wp:inline>
        </w:drawing>
      </w:r>
    </w:p>
    <w:p w14:paraId="3FA31E97" w14:textId="20EC077C" w:rsidR="004F22B7" w:rsidRPr="00BA2E05" w:rsidRDefault="00000000">
      <w:pPr>
        <w:jc w:val="both"/>
        <w:rPr>
          <w:rFonts w:ascii="Times New Roman" w:eastAsia="Times New Roman" w:hAnsi="Times New Roman" w:cs="Times New Roman"/>
          <w:color w:val="000000"/>
          <w:kern w:val="0"/>
        </w:rPr>
      </w:pPr>
      <w:r>
        <w:rPr>
          <w:rFonts w:ascii="Times New Roman" w:hAnsi="Times New Roman" w:cs="Times New Roman"/>
          <w:b/>
          <w:bCs/>
        </w:rPr>
        <w:t>Figure S9.</w:t>
      </w:r>
      <w:r>
        <w:rPr>
          <w:rFonts w:ascii="Times New Roman" w:hAnsi="Times New Roman" w:cs="Times New Roman"/>
        </w:rPr>
        <w:t xml:space="preserve"> Optimization of CD105 Nb loading to LDH in VE cells. Left: representative flow cytometry histograms; right: quantitative analysis of ICG-positive cells after 4 h incubation with CD105 Nb-LIN at different LDH-to-CD105 Nb mass ratios (5:1–200:1), in comparison to LI and free ICG. The ICG concentration was fixed at 10 </w:t>
      </w:r>
      <w:proofErr w:type="spellStart"/>
      <w:r>
        <w:rPr>
          <w:rFonts w:ascii="Times New Roman" w:hAnsi="Times New Roman" w:cs="Times New Roman"/>
        </w:rPr>
        <w:t>μg</w:t>
      </w:r>
      <w:proofErr w:type="spellEnd"/>
      <w:r w:rsidR="00BA2E05">
        <w:rPr>
          <w:rFonts w:ascii="Times New Roman" w:hAnsi="Times New Roman" w:cs="Times New Roman"/>
        </w:rPr>
        <w:t>/</w:t>
      </w:r>
      <w:proofErr w:type="spellStart"/>
      <w:r>
        <w:rPr>
          <w:rFonts w:ascii="Times New Roman" w:hAnsi="Times New Roman" w:cs="Times New Roman"/>
        </w:rPr>
        <w:t>mL.</w:t>
      </w:r>
      <w:proofErr w:type="spellEnd"/>
      <w:r>
        <w:rPr>
          <w:rFonts w:ascii="Times New Roman" w:hAnsi="Times New Roman" w:cs="Times New Roman"/>
        </w:rPr>
        <w:t xml:space="preserve"> ns, not significant;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0.05,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0.01.</w:t>
      </w:r>
    </w:p>
    <w:p w14:paraId="6FD9535B" w14:textId="77777777" w:rsidR="004F22B7" w:rsidRDefault="0000000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20165B4" wp14:editId="1AA78056">
            <wp:extent cx="5943600" cy="2623185"/>
            <wp:effectExtent l="0" t="0" r="0" b="5715"/>
            <wp:docPr id="15140885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88590" name="Picture 1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623185"/>
                    </a:xfrm>
                    <a:prstGeom prst="rect">
                      <a:avLst/>
                    </a:prstGeom>
                  </pic:spPr>
                </pic:pic>
              </a:graphicData>
            </a:graphic>
          </wp:inline>
        </w:drawing>
      </w:r>
    </w:p>
    <w:p w14:paraId="7F5FB55A" w14:textId="663AAA74" w:rsidR="004F22B7" w:rsidRDefault="00000000">
      <w:pPr>
        <w:jc w:val="both"/>
        <w:rPr>
          <w:rFonts w:ascii="Times New Roman" w:hAnsi="Times New Roman" w:cs="Times New Roman"/>
        </w:rPr>
      </w:pPr>
      <w:r>
        <w:rPr>
          <w:rFonts w:ascii="Times New Roman" w:hAnsi="Times New Roman" w:cs="Times New Roman"/>
          <w:b/>
          <w:bCs/>
        </w:rPr>
        <w:t>Figure S10.</w:t>
      </w:r>
      <w:r>
        <w:rPr>
          <w:rFonts w:ascii="Times New Roman" w:hAnsi="Times New Roman" w:cs="Times New Roman"/>
        </w:rPr>
        <w:t xml:space="preserve"> Optimization of CD105 Nb loading to LDH in HepG2 cells. Left: representative flow cytometry histograms; right: quantitative analysis of ICG-positive cells after 4 h incubation with CD105 Nb-LIN at different LDH-to-CD105 Nb mass ratios (5:1–200:1), in comparison to LI and free ICG. The ICG concentration was fixed at 10 </w:t>
      </w:r>
      <w:proofErr w:type="spellStart"/>
      <w:r>
        <w:rPr>
          <w:rFonts w:ascii="Times New Roman" w:hAnsi="Times New Roman" w:cs="Times New Roman"/>
        </w:rPr>
        <w:t>μg</w:t>
      </w:r>
      <w:proofErr w:type="spellEnd"/>
      <w:r w:rsidR="00BA2E05">
        <w:rPr>
          <w:rFonts w:ascii="Times New Roman" w:hAnsi="Times New Roman" w:cs="Times New Roman"/>
        </w:rPr>
        <w:t>/</w:t>
      </w:r>
      <w:proofErr w:type="spellStart"/>
      <w:r>
        <w:rPr>
          <w:rFonts w:ascii="Times New Roman" w:hAnsi="Times New Roman" w:cs="Times New Roman"/>
        </w:rPr>
        <w:t>mL.</w:t>
      </w:r>
      <w:proofErr w:type="spellEnd"/>
      <w:r>
        <w:rPr>
          <w:rFonts w:ascii="Times New Roman" w:hAnsi="Times New Roman" w:cs="Times New Roman"/>
        </w:rPr>
        <w:t xml:space="preserve"> ns, not significant;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0.01,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0.001,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15BD4219" w14:textId="7CE31FDF" w:rsidR="004F22B7" w:rsidRDefault="00000000">
      <w:pPr>
        <w:jc w:val="both"/>
        <w:rPr>
          <w:rFonts w:ascii="Times New Roman" w:hAnsi="Times New Roman" w:cs="Times New Roman"/>
        </w:rPr>
      </w:pPr>
      <w:r>
        <w:rPr>
          <w:rFonts w:ascii="Times New Roman" w:hAnsi="Times New Roman" w:cs="Times New Roman"/>
          <w:noProof/>
        </w:rPr>
        <w:drawing>
          <wp:inline distT="0" distB="0" distL="0" distR="0" wp14:anchorId="26F323D5" wp14:editId="58B26BE2">
            <wp:extent cx="5943600" cy="2698750"/>
            <wp:effectExtent l="0" t="0" r="0" b="6350"/>
            <wp:docPr id="12631805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80577" name="Picture 1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698750"/>
                    </a:xfrm>
                    <a:prstGeom prst="rect">
                      <a:avLst/>
                    </a:prstGeom>
                  </pic:spPr>
                </pic:pic>
              </a:graphicData>
            </a:graphic>
          </wp:inline>
        </w:drawing>
      </w:r>
    </w:p>
    <w:p w14:paraId="0EC51657" w14:textId="5C13F142" w:rsidR="004F22B7" w:rsidRPr="00BA2E05" w:rsidRDefault="00000000">
      <w:pPr>
        <w:jc w:val="both"/>
        <w:rPr>
          <w:rFonts w:ascii="Times New Roman" w:eastAsia="Times New Roman" w:hAnsi="Times New Roman" w:cs="Times New Roman"/>
          <w:color w:val="000000"/>
          <w:kern w:val="0"/>
        </w:rPr>
      </w:pPr>
      <w:r>
        <w:rPr>
          <w:rFonts w:ascii="Times New Roman" w:hAnsi="Times New Roman" w:cs="Times New Roman"/>
          <w:b/>
          <w:bCs/>
        </w:rPr>
        <w:t>Figure S11.</w:t>
      </w:r>
      <w:r>
        <w:t xml:space="preserve"> </w:t>
      </w:r>
      <w:r>
        <w:rPr>
          <w:rFonts w:ascii="Times New Roman" w:hAnsi="Times New Roman" w:cs="Times New Roman"/>
        </w:rPr>
        <w:t xml:space="preserve">Optimization of CD105 Nb loading to LDH in PANC-1 cells. Left: representative flow cytometry histograms; right: quantitative analysis of ICG-positive cells after 4 h incubation with CD105 Nb-LIN at different LDH-to-CD105 Nb mass ratios (5:1–200:1), in comparison to LI and free ICG. The ICG concentration was fixed at 10 </w:t>
      </w:r>
      <w:proofErr w:type="spellStart"/>
      <w:r>
        <w:rPr>
          <w:rFonts w:ascii="Times New Roman" w:hAnsi="Times New Roman" w:cs="Times New Roman"/>
        </w:rPr>
        <w:t>μg</w:t>
      </w:r>
      <w:proofErr w:type="spellEnd"/>
      <w:r w:rsidR="00BA2E05">
        <w:rPr>
          <w:rFonts w:ascii="Times New Roman" w:hAnsi="Times New Roman" w:cs="Times New Roman"/>
        </w:rPr>
        <w:t>/</w:t>
      </w:r>
      <w:proofErr w:type="spellStart"/>
      <w:r w:rsidR="00BA2E05">
        <w:rPr>
          <w:rFonts w:ascii="Times New Roman" w:hAnsi="Times New Roman" w:cs="Times New Roman"/>
        </w:rPr>
        <w:t>mL.</w:t>
      </w:r>
      <w:proofErr w:type="spellEnd"/>
      <w:r>
        <w:rPr>
          <w:rFonts w:ascii="Times New Roman" w:hAnsi="Times New Roman" w:cs="Times New Roman"/>
        </w:rPr>
        <w:t xml:space="preserve"> ns, not significant;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0.05,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4C56A510" w14:textId="6D1A5222" w:rsidR="004F22B7" w:rsidRDefault="00000000" w:rsidP="00BA2E05">
      <w:pPr>
        <w:jc w:val="both"/>
        <w:rPr>
          <w:rFonts w:ascii="Times New Roman" w:hAnsi="Times New Roman" w:cs="Times New Roman"/>
        </w:rPr>
      </w:pPr>
      <w:r>
        <w:rPr>
          <w:rFonts w:ascii="Times New Roman" w:hAnsi="Times New Roman" w:cs="Times New Roman"/>
          <w:noProof/>
        </w:rPr>
        <w:lastRenderedPageBreak/>
        <w:drawing>
          <wp:inline distT="0" distB="0" distL="0" distR="0" wp14:anchorId="4FE19E35" wp14:editId="1D7F40AE">
            <wp:extent cx="5710555" cy="2567305"/>
            <wp:effectExtent l="0" t="0" r="4445" b="0"/>
            <wp:docPr id="1469548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48401" name="Picture 2"/>
                    <pic:cNvPicPr>
                      <a:picLocks noChangeAspect="1"/>
                    </pic:cNvPicPr>
                  </pic:nvPicPr>
                  <pic:blipFill>
                    <a:blip r:embed="rId21" cstate="print">
                      <a:extLst>
                        <a:ext uri="{28A0092B-C50C-407E-A947-70E740481C1C}">
                          <a14:useLocalDpi xmlns:a14="http://schemas.microsoft.com/office/drawing/2010/main" val="0"/>
                        </a:ext>
                      </a:extLst>
                    </a:blip>
                    <a:srcRect l="19581"/>
                    <a:stretch>
                      <a:fillRect/>
                    </a:stretch>
                  </pic:blipFill>
                  <pic:spPr>
                    <a:xfrm>
                      <a:off x="0" y="0"/>
                      <a:ext cx="5749206" cy="2584643"/>
                    </a:xfrm>
                    <a:prstGeom prst="rect">
                      <a:avLst/>
                    </a:prstGeom>
                    <a:ln>
                      <a:noFill/>
                    </a:ln>
                  </pic:spPr>
                </pic:pic>
              </a:graphicData>
            </a:graphic>
          </wp:inline>
        </w:drawing>
      </w:r>
    </w:p>
    <w:p w14:paraId="33073F43" w14:textId="290323B7" w:rsidR="004F22B7" w:rsidRDefault="00000000">
      <w:pPr>
        <w:jc w:val="both"/>
        <w:rPr>
          <w:rFonts w:ascii="Times New Roman" w:eastAsia="Times New Roman" w:hAnsi="Times New Roman" w:cs="Times New Roman"/>
          <w:color w:val="000000"/>
          <w:kern w:val="0"/>
        </w:rPr>
      </w:pPr>
      <w:r>
        <w:rPr>
          <w:rFonts w:ascii="Times New Roman" w:hAnsi="Times New Roman" w:cs="Times New Roman"/>
          <w:b/>
          <w:bCs/>
        </w:rPr>
        <w:t>Figure S12.</w:t>
      </w:r>
      <w:r>
        <w:rPr>
          <w:rFonts w:ascii="Times New Roman" w:hAnsi="Times New Roman" w:cs="Times New Roman"/>
        </w:rPr>
        <w:t xml:space="preserve"> Optimization of CD105 Nb loading to LDH in </w:t>
      </w:r>
      <w:proofErr w:type="spellStart"/>
      <w:r>
        <w:rPr>
          <w:rFonts w:ascii="Times New Roman" w:hAnsi="Times New Roman" w:cs="Times New Roman"/>
        </w:rPr>
        <w:t>HemECs</w:t>
      </w:r>
      <w:proofErr w:type="spellEnd"/>
      <w:r>
        <w:rPr>
          <w:rFonts w:ascii="Times New Roman" w:hAnsi="Times New Roman" w:cs="Times New Roman"/>
        </w:rPr>
        <w:t xml:space="preserve"> cells. Left: representative flow cytometry histograms; right: quantitative analysis of ICG-positive cells after 4 h incubation with CD105 Nb-LIN at different LDH-to-CD105 Nb mass ratios (5:1–200:1), in comparison to LI and free ICG. The ICG concentration was fixed at 10 µg</w:t>
      </w:r>
      <w:r w:rsidR="00BA2E05">
        <w:rPr>
          <w:rFonts w:ascii="Times New Roman" w:hAnsi="Times New Roman" w:cs="Times New Roman"/>
        </w:rPr>
        <w:t>/</w:t>
      </w:r>
      <w:proofErr w:type="spellStart"/>
      <w:r w:rsidR="00BA2E05">
        <w:rPr>
          <w:rFonts w:ascii="Times New Roman" w:hAnsi="Times New Roman" w:cs="Times New Roman"/>
        </w:rPr>
        <w:t>mL.</w:t>
      </w:r>
      <w:proofErr w:type="spellEnd"/>
      <w:r>
        <w:rPr>
          <w:rFonts w:ascii="Times New Roman" w:hAnsi="Times New Roman" w:cs="Times New Roman"/>
        </w:rPr>
        <w:t xml:space="preserve"> </w:t>
      </w:r>
      <w:r>
        <w:rPr>
          <w:rFonts w:ascii="Times New Roman" w:eastAsia="Times New Roman" w:hAnsi="Times New Roman" w:cs="Times New Roman"/>
          <w:color w:val="000000"/>
          <w:kern w:val="0"/>
        </w:rPr>
        <w:t>ns, not significant;</w:t>
      </w:r>
      <w:r>
        <w:rPr>
          <w:rFonts w:ascii="SimSun" w:eastAsia="SimSun" w:hAnsi="SimSun" w:cs="SimSun"/>
          <w:color w:val="000000"/>
          <w:kern w:val="0"/>
        </w:rPr>
        <w:t xml:space="preserve">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0.05,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3812CF1F" w14:textId="77777777" w:rsidR="004F22B7" w:rsidRDefault="004F22B7">
      <w:pPr>
        <w:jc w:val="both"/>
        <w:rPr>
          <w:rFonts w:ascii="Times New Roman" w:hAnsi="Times New Roman" w:cs="Times New Roman"/>
        </w:rPr>
      </w:pPr>
    </w:p>
    <w:p w14:paraId="44A0B3AD" w14:textId="77777777" w:rsidR="004F22B7" w:rsidRDefault="00000000">
      <w:pPr>
        <w:spacing w:before="0" w:beforeAutospacing="0" w:line="278" w:lineRule="auto"/>
        <w:rPr>
          <w:rFonts w:ascii="Times New Roman" w:hAnsi="Times New Roman" w:cs="Times New Roman"/>
        </w:rPr>
      </w:pPr>
      <w:r>
        <w:rPr>
          <w:rFonts w:ascii="Times New Roman" w:hAnsi="Times New Roman" w:cs="Times New Roman"/>
        </w:rPr>
        <w:br w:type="page"/>
      </w:r>
    </w:p>
    <w:p w14:paraId="4AAA44FE" w14:textId="13D2BA56" w:rsidR="004F22B7" w:rsidRDefault="00000000" w:rsidP="00BA2E05">
      <w:pPr>
        <w:jc w:val="both"/>
        <w:rPr>
          <w:rFonts w:ascii="Times New Roman" w:hAnsi="Times New Roman" w:cs="Times New Roman"/>
          <w:color w:val="000000"/>
        </w:rPr>
      </w:pPr>
      <w:r>
        <w:rPr>
          <w:rFonts w:ascii="Times New Roman" w:hAnsi="Times New Roman" w:cs="Times New Roman"/>
          <w:noProof/>
        </w:rPr>
        <w:lastRenderedPageBreak/>
        <w:drawing>
          <wp:inline distT="0" distB="0" distL="0" distR="0" wp14:anchorId="35E11C7E" wp14:editId="180ED9FA">
            <wp:extent cx="5943600" cy="3413125"/>
            <wp:effectExtent l="0" t="0" r="0" b="3175"/>
            <wp:docPr id="135751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13221" name="Picture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413125"/>
                    </a:xfrm>
                    <a:prstGeom prst="rect">
                      <a:avLst/>
                    </a:prstGeom>
                  </pic:spPr>
                </pic:pic>
              </a:graphicData>
            </a:graphic>
          </wp:inline>
        </w:drawing>
      </w:r>
      <w:r>
        <w:rPr>
          <w:rFonts w:ascii="Times New Roman" w:hAnsi="Times New Roman" w:cs="Times New Roman"/>
          <w:b/>
          <w:bCs/>
        </w:rPr>
        <w:t>Figure S13.</w:t>
      </w:r>
      <w:r>
        <w:rPr>
          <w:rFonts w:ascii="Times New Roman" w:hAnsi="Times New Roman" w:cs="Times New Roman"/>
        </w:rPr>
        <w:t xml:space="preserve"> </w:t>
      </w:r>
      <w:r>
        <w:rPr>
          <w:rFonts w:ascii="Times New Roman" w:hAnsi="Times New Roman" w:cs="Times New Roman"/>
          <w:color w:val="000000"/>
        </w:rPr>
        <w:t xml:space="preserve">FLIR thermal images of HUVECs treated with CD105 Nb-LIN, LI, free ICG, or PBS at varying ICG concentrations (0–20 </w:t>
      </w:r>
      <w:proofErr w:type="spellStart"/>
      <w:r>
        <w:rPr>
          <w:rFonts w:ascii="Times New Roman" w:hAnsi="Times New Roman" w:cs="Times New Roman"/>
          <w:color w:val="000000"/>
        </w:rPr>
        <w:t>μg</w:t>
      </w:r>
      <w:proofErr w:type="spellEnd"/>
      <w:r w:rsidR="00BA2E05">
        <w:rPr>
          <w:rFonts w:ascii="Times New Roman" w:hAnsi="Times New Roman" w:cs="Times New Roman"/>
          <w:color w:val="000000"/>
        </w:rPr>
        <w:t>/mL)</w:t>
      </w:r>
      <w:r>
        <w:rPr>
          <w:rFonts w:ascii="Times New Roman" w:hAnsi="Times New Roman" w:cs="Times New Roman"/>
          <w:color w:val="000000"/>
        </w:rPr>
        <w:t xml:space="preserve"> under 808 nm NIR laser irradiation.</w:t>
      </w:r>
    </w:p>
    <w:p w14:paraId="01259A5F" w14:textId="77777777" w:rsidR="004F22B7" w:rsidRDefault="00000000">
      <w:pPr>
        <w:jc w:val="center"/>
        <w:rPr>
          <w:rFonts w:ascii="Times New Roman" w:eastAsia="Times New Roman" w:hAnsi="Times New Roman" w:cs="Times New Roman"/>
          <w:i/>
          <w:iCs/>
          <w:color w:val="000000"/>
          <w:kern w:val="0"/>
        </w:rPr>
      </w:pPr>
      <w:r>
        <w:rPr>
          <w:rFonts w:ascii="Times New Roman" w:hAnsi="Times New Roman" w:cs="Times New Roman"/>
          <w:noProof/>
          <w14:ligatures w14:val="standardContextual"/>
        </w:rPr>
        <w:drawing>
          <wp:inline distT="0" distB="0" distL="0" distR="0" wp14:anchorId="0CCD1B3F" wp14:editId="657E752B">
            <wp:extent cx="5689600" cy="3835400"/>
            <wp:effectExtent l="0" t="0" r="0" b="0"/>
            <wp:docPr id="983896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9619" name="Picture 1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89600" cy="3835400"/>
                    </a:xfrm>
                    <a:prstGeom prst="rect">
                      <a:avLst/>
                    </a:prstGeom>
                  </pic:spPr>
                </pic:pic>
              </a:graphicData>
            </a:graphic>
          </wp:inline>
        </w:drawing>
      </w:r>
    </w:p>
    <w:p w14:paraId="1A9FD6AD" w14:textId="77777777" w:rsidR="004F22B7" w:rsidRDefault="00000000">
      <w:pPr>
        <w:jc w:val="both"/>
        <w:rPr>
          <w:rFonts w:ascii="Times New Roman" w:eastAsia="Times New Roman" w:hAnsi="Times New Roman" w:cs="Times New Roman"/>
          <w:i/>
          <w:iCs/>
          <w:color w:val="000000"/>
          <w:kern w:val="0"/>
        </w:rPr>
      </w:pPr>
      <w:r>
        <w:rPr>
          <w:rFonts w:ascii="Times New Roman" w:hAnsi="Times New Roman" w:cs="Times New Roman"/>
          <w:b/>
          <w:bCs/>
        </w:rPr>
        <w:lastRenderedPageBreak/>
        <w:t>Figure S14.</w:t>
      </w:r>
      <w:r>
        <w:rPr>
          <w:rFonts w:ascii="Times New Roman" w:hAnsi="Times New Roman" w:cs="Times New Roman"/>
        </w:rPr>
        <w:t xml:space="preserve"> </w:t>
      </w:r>
      <w:r>
        <w:rPr>
          <w:rFonts w:ascii="Times New Roman" w:eastAsia="Times New Roman" w:hAnsi="Times New Roman" w:cs="Times New Roman"/>
          <w:color w:val="000000"/>
          <w:kern w:val="0"/>
        </w:rPr>
        <w:t>Ex vivo fluorescence imaging and quantification of ROS generation (average radiance: photons s⁻¹ cm⁻² sr⁻¹) in tumor tissues excised from mice following the indicated treatments. Data are presented as mean ± SD (</w:t>
      </w:r>
      <w:r>
        <w:rPr>
          <w:rFonts w:ascii="Times New Roman" w:eastAsia="Times New Roman" w:hAnsi="Times New Roman" w:cs="Times New Roman"/>
          <w:i/>
          <w:iCs/>
          <w:color w:val="000000"/>
          <w:kern w:val="0"/>
        </w:rPr>
        <w:t>n</w:t>
      </w:r>
      <w:r>
        <w:rPr>
          <w:rFonts w:ascii="Times New Roman" w:eastAsia="Times New Roman" w:hAnsi="Times New Roman" w:cs="Times New Roman"/>
          <w:color w:val="000000"/>
          <w:kern w:val="0"/>
        </w:rPr>
        <w:t xml:space="preserve"> = 3). Statistical significance: ns, not significant;</w:t>
      </w:r>
      <w:r>
        <w:rPr>
          <w:rFonts w:ascii="Times New Roman" w:eastAsia="Times New Roman" w:hAnsi="Times New Roman" w:cs="Times New Roman" w:hint="eastAsia"/>
          <w:i/>
          <w:iCs/>
          <w:color w:val="000000"/>
          <w:kern w:val="0"/>
        </w:rPr>
        <w:t xml:space="preserve">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0.05,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0.01,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0.001, and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00FB6C1E" w14:textId="1258290D" w:rsidR="004F22B7" w:rsidRDefault="00000000">
      <w:pPr>
        <w:jc w:val="both"/>
        <w:rPr>
          <w:rFonts w:ascii="Times New Roman" w:eastAsia="Times New Roman" w:hAnsi="Times New Roman" w:cs="Times New Roman"/>
          <w:i/>
          <w:iCs/>
          <w:color w:val="000000"/>
          <w:kern w:val="0"/>
        </w:rPr>
      </w:pPr>
      <w:r>
        <w:rPr>
          <w:rFonts w:ascii="Times New Roman" w:hAnsi="Times New Roman" w:cs="Times New Roman"/>
          <w:noProof/>
        </w:rPr>
        <w:drawing>
          <wp:inline distT="0" distB="0" distL="0" distR="0" wp14:anchorId="5D9064C3" wp14:editId="077673B8">
            <wp:extent cx="5943600" cy="5079365"/>
            <wp:effectExtent l="0" t="0" r="0" b="635"/>
            <wp:docPr id="1464173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3641" name="Picture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07936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bCs/>
        </w:rPr>
        <w:t>Figure S15.</w:t>
      </w:r>
      <w:r>
        <w:rPr>
          <w:rFonts w:ascii="Times New Roman" w:hAnsi="Times New Roman" w:cs="Times New Roman"/>
        </w:rPr>
        <w:t xml:space="preserve"> Quantitative analysis of the positive areas for TUNEL, Ki67, CRT, and CD31. Data are presented as mean ± SD (</w:t>
      </w:r>
      <w:r>
        <w:rPr>
          <w:rFonts w:ascii="Times New Roman" w:hAnsi="Times New Roman" w:cs="Times New Roman"/>
          <w:i/>
          <w:iCs/>
        </w:rPr>
        <w:t>n</w:t>
      </w:r>
      <w:r>
        <w:rPr>
          <w:rFonts w:ascii="Times New Roman" w:hAnsi="Times New Roman" w:cs="Times New Roman"/>
        </w:rPr>
        <w:t xml:space="preserve"> = 3). Statistical significance: ns, not significant;</w:t>
      </w:r>
      <w:r>
        <w:rPr>
          <w:rFonts w:ascii="Times New Roman" w:eastAsia="Times New Roman" w:hAnsi="Times New Roman" w:cs="Times New Roman" w:hint="eastAsia"/>
          <w:i/>
          <w:iCs/>
          <w:color w:val="000000"/>
          <w:kern w:val="0"/>
        </w:rPr>
        <w:t xml:space="preserve">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0.01,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0.001, and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486F5B88" w14:textId="77777777" w:rsidR="004F22B7" w:rsidRDefault="004F22B7">
      <w:pPr>
        <w:jc w:val="both"/>
        <w:rPr>
          <w:rFonts w:ascii="Times New Roman" w:eastAsia="Times New Roman" w:hAnsi="Times New Roman" w:cs="Times New Roman"/>
          <w:color w:val="000000"/>
          <w:kern w:val="0"/>
        </w:rPr>
      </w:pPr>
    </w:p>
    <w:p w14:paraId="73173B12" w14:textId="77777777" w:rsidR="004F22B7" w:rsidRDefault="00000000">
      <w:pPr>
        <w:jc w:val="cente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66421C61" wp14:editId="11479A78">
            <wp:extent cx="5943600" cy="3091815"/>
            <wp:effectExtent l="0" t="0" r="0" b="0"/>
            <wp:docPr id="1673833112" name="Picture 13" descr="A diagram of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3112" name="Picture 13" descr="A diagram of a fish&#10;&#10;AI-generated content may be incorrect."/>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091815"/>
                    </a:xfrm>
                    <a:prstGeom prst="rect">
                      <a:avLst/>
                    </a:prstGeom>
                  </pic:spPr>
                </pic:pic>
              </a:graphicData>
            </a:graphic>
          </wp:inline>
        </w:drawing>
      </w:r>
    </w:p>
    <w:p w14:paraId="4BF5D4B4" w14:textId="5B2B8C79" w:rsidR="004F22B7" w:rsidRPr="00BA2E05" w:rsidRDefault="00000000">
      <w:pPr>
        <w:jc w:val="both"/>
        <w:rPr>
          <w:rFonts w:ascii="SimSun" w:eastAsia="SimSun" w:hAnsi="SimSun" w:cs="SimSun"/>
          <w:color w:val="000000"/>
          <w:kern w:val="0"/>
        </w:rPr>
      </w:pPr>
      <w:r>
        <w:rPr>
          <w:rFonts w:ascii="Times New Roman" w:hAnsi="Times New Roman" w:cs="Times New Roman"/>
          <w:b/>
          <w:bCs/>
        </w:rPr>
        <w:t>Figure S16.</w:t>
      </w:r>
      <w:r>
        <w:rPr>
          <w:rFonts w:ascii="Times New Roman" w:hAnsi="Times New Roman" w:cs="Times New Roman"/>
        </w:rPr>
        <w:t xml:space="preserve"> Representative fluorescence images showing dendritic cell (DC) tracking in mice following different treatments. Regions of interest are indicated by white circles; fluorescence intensity is quantified as radiance (photons s⁻¹ cm⁻² sr⁻¹). Data are presented as mean ± SD (</w:t>
      </w:r>
      <w:r>
        <w:rPr>
          <w:rFonts w:ascii="Times New Roman" w:hAnsi="Times New Roman" w:cs="Times New Roman"/>
          <w:i/>
          <w:iCs/>
        </w:rPr>
        <w:t>n</w:t>
      </w:r>
      <w:r>
        <w:rPr>
          <w:rFonts w:ascii="Times New Roman" w:hAnsi="Times New Roman" w:cs="Times New Roman"/>
        </w:rPr>
        <w:t xml:space="preserve"> = 3). ns, not significant</w:t>
      </w:r>
      <w:r>
        <w:rPr>
          <w:rFonts w:ascii="SimSun" w:eastAsia="SimSun" w:hAnsi="SimSun" w:cs="SimSun" w:hint="eastAsia"/>
          <w:color w:val="000000"/>
          <w:kern w:val="0"/>
        </w:rPr>
        <w:t>.</w:t>
      </w:r>
    </w:p>
    <w:p w14:paraId="30EDD3DC" w14:textId="77777777" w:rsidR="004F22B7" w:rsidRDefault="00000000">
      <w:pPr>
        <w:jc w:val="both"/>
        <w:rPr>
          <w:rFonts w:ascii="Times New Roman" w:eastAsia="Times New Roman" w:hAnsi="Times New Roman" w:cs="Times New Roman"/>
          <w:color w:val="000000"/>
          <w:kern w:val="0"/>
        </w:rPr>
      </w:pPr>
      <w:r>
        <w:rPr>
          <w:rFonts w:ascii="Times New Roman" w:hAnsi="Times New Roman" w:cs="Times New Roman"/>
          <w:noProof/>
        </w:rPr>
        <w:lastRenderedPageBreak/>
        <w:drawing>
          <wp:inline distT="0" distB="0" distL="0" distR="0" wp14:anchorId="02FDB049" wp14:editId="596086F5">
            <wp:extent cx="5943600" cy="5652770"/>
            <wp:effectExtent l="0" t="0" r="0" b="0"/>
            <wp:docPr id="19746883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88391" name="Picture 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5652770"/>
                    </a:xfrm>
                    <a:prstGeom prst="rect">
                      <a:avLst/>
                    </a:prstGeom>
                  </pic:spPr>
                </pic:pic>
              </a:graphicData>
            </a:graphic>
          </wp:inline>
        </w:drawing>
      </w:r>
      <w:r>
        <w:rPr>
          <w:rFonts w:ascii="Times New Roman" w:hAnsi="Times New Roman" w:cs="Times New Roman"/>
          <w:b/>
          <w:bCs/>
        </w:rPr>
        <w:t>Figure S17.</w:t>
      </w:r>
      <w:r>
        <w:rPr>
          <w:rFonts w:ascii="Times New Roman" w:hAnsi="Times New Roman" w:cs="Times New Roman"/>
        </w:rPr>
        <w:t xml:space="preserve"> In vivo biosafety analysis. (A) H&amp;E staining of the major organs (heart, liver, spleen, lung, and kidney) collected from healthy mice treated with PBS and CD105 N</w:t>
      </w:r>
      <w:r>
        <w:rPr>
          <w:rFonts w:ascii="Times New Roman" w:hAnsi="Times New Roman" w:cs="Times New Roman" w:hint="eastAsia"/>
        </w:rPr>
        <w:t>b</w:t>
      </w:r>
      <w:r>
        <w:rPr>
          <w:rFonts w:ascii="Times New Roman" w:hAnsi="Times New Roman" w:cs="Times New Roman"/>
        </w:rPr>
        <w:t>-LIN. (B) Serum biochemical parameters were analyzed to assess systemic toxicity, including liver function markers (TP, ALB, GLB, ALT, AST, ALP), metabolic indicators (GLU, TC, TG), kidney function markers (BUN and CR), and myocardial enzymes (CK and LDH). Data are presented as mean ± SD (</w:t>
      </w:r>
      <w:r>
        <w:rPr>
          <w:rFonts w:ascii="Times New Roman" w:hAnsi="Times New Roman" w:cs="Times New Roman"/>
          <w:i/>
          <w:iCs/>
        </w:rPr>
        <w:t xml:space="preserve">n </w:t>
      </w:r>
      <w:r>
        <w:rPr>
          <w:rFonts w:ascii="Times New Roman" w:hAnsi="Times New Roman" w:cs="Times New Roman"/>
        </w:rPr>
        <w:t>= 5). ns, not significant;</w:t>
      </w:r>
      <w:r>
        <w:rPr>
          <w:rFonts w:ascii="Times New Roman" w:eastAsia="Times New Roman" w:hAnsi="Times New Roman" w:cs="Times New Roman"/>
          <w:i/>
          <w:iCs/>
          <w:color w:val="000000"/>
          <w:kern w:val="0"/>
        </w:rPr>
        <w:t xml:space="preserve"> *p</w:t>
      </w:r>
      <w:r>
        <w:rPr>
          <w:rFonts w:ascii="Times New Roman" w:eastAsia="Times New Roman" w:hAnsi="Times New Roman" w:cs="Times New Roman"/>
          <w:color w:val="000000"/>
          <w:kern w:val="0"/>
        </w:rPr>
        <w:t xml:space="preserve"> &lt; 0.05, </w:t>
      </w:r>
      <w:r>
        <w:rPr>
          <w:rFonts w:ascii="Times New Roman" w:eastAsia="Times New Roman" w:hAnsi="Times New Roman" w:cs="Times New Roman"/>
          <w:i/>
          <w:iCs/>
          <w:color w:val="000000"/>
          <w:kern w:val="0"/>
        </w:rPr>
        <w:t>****p</w:t>
      </w:r>
      <w:r>
        <w:rPr>
          <w:rFonts w:ascii="Times New Roman" w:eastAsia="Times New Roman" w:hAnsi="Times New Roman" w:cs="Times New Roman"/>
          <w:color w:val="000000"/>
          <w:kern w:val="0"/>
        </w:rPr>
        <w:t xml:space="preserve"> &lt; 0.0001.</w:t>
      </w:r>
    </w:p>
    <w:p w14:paraId="2EE569ED" w14:textId="77777777" w:rsidR="004F22B7" w:rsidRDefault="004F22B7">
      <w:pPr>
        <w:jc w:val="both"/>
        <w:rPr>
          <w:rFonts w:ascii="Times New Roman" w:hAnsi="Times New Roman" w:cs="Times New Roman"/>
        </w:rPr>
      </w:pPr>
    </w:p>
    <w:p w14:paraId="321D7C1F" w14:textId="77777777" w:rsidR="004F22B7" w:rsidRDefault="0000000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72645D0" wp14:editId="4251211E">
            <wp:extent cx="5943600" cy="1417955"/>
            <wp:effectExtent l="0" t="0" r="0" b="4445"/>
            <wp:docPr id="20207591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59126" name="Picture 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417955"/>
                    </a:xfrm>
                    <a:prstGeom prst="rect">
                      <a:avLst/>
                    </a:prstGeom>
                  </pic:spPr>
                </pic:pic>
              </a:graphicData>
            </a:graphic>
          </wp:inline>
        </w:drawing>
      </w:r>
    </w:p>
    <w:p w14:paraId="302F6EA1" w14:textId="39482DFB" w:rsidR="004F22B7" w:rsidRDefault="00000000">
      <w:pPr>
        <w:jc w:val="both"/>
        <w:rPr>
          <w:rFonts w:ascii="Times New Roman" w:hAnsi="Times New Roman" w:cs="Times New Roman"/>
        </w:rPr>
      </w:pPr>
      <w:r>
        <w:rPr>
          <w:rFonts w:ascii="Times New Roman" w:hAnsi="Times New Roman" w:cs="Times New Roman"/>
          <w:b/>
          <w:bCs/>
        </w:rPr>
        <w:t>Figure S18.</w:t>
      </w:r>
      <w:r>
        <w:rPr>
          <w:rFonts w:ascii="Times New Roman" w:hAnsi="Times New Roman" w:cs="Times New Roman"/>
        </w:rPr>
        <w:t xml:space="preserve"> Pharmacokinetic study of CD105 Nb-LIN (a) UV–vis absorbance spectra of CD105 Nb-LIN in plasma at reference concentrations. (b) The standard curve of UV absorption at 780 nm over various concentrations of CD105 Nb-LIN (ICG = 0–20 µg</w:t>
      </w:r>
      <w:r w:rsidR="00BA2E05">
        <w:rPr>
          <w:rFonts w:ascii="Times New Roman" w:hAnsi="Times New Roman" w:cs="Times New Roman"/>
        </w:rPr>
        <w:t>/</w:t>
      </w:r>
      <w:r>
        <w:rPr>
          <w:rFonts w:ascii="Times New Roman" w:hAnsi="Times New Roman" w:cs="Times New Roman"/>
        </w:rPr>
        <w:t>mL). (c) Drug concentration-time curve of CD105 Nb-LIN in SD rats within 24 h after drug administration (</w:t>
      </w:r>
      <w:r>
        <w:rPr>
          <w:rFonts w:ascii="Times New Roman" w:hAnsi="Times New Roman" w:cs="Times New Roman"/>
          <w:i/>
          <w:iCs/>
        </w:rPr>
        <w:t xml:space="preserve">n </w:t>
      </w:r>
      <w:r>
        <w:rPr>
          <w:rFonts w:ascii="Times New Roman" w:hAnsi="Times New Roman" w:cs="Times New Roman"/>
        </w:rPr>
        <w:t>= 3).</w:t>
      </w:r>
    </w:p>
    <w:p w14:paraId="26B3E743" w14:textId="77777777" w:rsidR="004F22B7" w:rsidRDefault="004F22B7">
      <w:pPr>
        <w:spacing w:before="0" w:beforeAutospacing="0" w:line="278" w:lineRule="auto"/>
        <w:rPr>
          <w:rFonts w:ascii="Times New Roman" w:hAnsi="Times New Roman" w:cs="Times New Roman"/>
        </w:rPr>
      </w:pPr>
    </w:p>
    <w:sectPr w:rsidR="004F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4CCD" w14:textId="77777777" w:rsidR="00BF5E0C" w:rsidRDefault="00BF5E0C">
      <w:pPr>
        <w:spacing w:line="240" w:lineRule="auto"/>
      </w:pPr>
      <w:r>
        <w:separator/>
      </w:r>
    </w:p>
  </w:endnote>
  <w:endnote w:type="continuationSeparator" w:id="0">
    <w:p w14:paraId="2A1CC3E7" w14:textId="77777777" w:rsidR="00BF5E0C" w:rsidRDefault="00BF5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fkGroteskNeue">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5F36" w14:textId="77777777" w:rsidR="00BF5E0C" w:rsidRDefault="00BF5E0C">
      <w:pPr>
        <w:spacing w:before="0" w:after="0"/>
      </w:pPr>
      <w:r>
        <w:separator/>
      </w:r>
    </w:p>
  </w:footnote>
  <w:footnote w:type="continuationSeparator" w:id="0">
    <w:p w14:paraId="7223BC5D" w14:textId="77777777" w:rsidR="00BF5E0C" w:rsidRDefault="00BF5E0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 Chicago&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75F77"/>
    <w:rsid w:val="00013819"/>
    <w:rsid w:val="00017D94"/>
    <w:rsid w:val="00021DA3"/>
    <w:rsid w:val="000326F0"/>
    <w:rsid w:val="00042FA7"/>
    <w:rsid w:val="00057AB5"/>
    <w:rsid w:val="00066EA7"/>
    <w:rsid w:val="00073D9B"/>
    <w:rsid w:val="000879E4"/>
    <w:rsid w:val="00093F43"/>
    <w:rsid w:val="0009528D"/>
    <w:rsid w:val="000A3C98"/>
    <w:rsid w:val="000B048E"/>
    <w:rsid w:val="000D29DA"/>
    <w:rsid w:val="000F51F3"/>
    <w:rsid w:val="0010019C"/>
    <w:rsid w:val="00115BB8"/>
    <w:rsid w:val="00117B84"/>
    <w:rsid w:val="00134903"/>
    <w:rsid w:val="00176882"/>
    <w:rsid w:val="001A00E0"/>
    <w:rsid w:val="001A16AB"/>
    <w:rsid w:val="001A4EBA"/>
    <w:rsid w:val="001C459B"/>
    <w:rsid w:val="001D46FC"/>
    <w:rsid w:val="001E68E9"/>
    <w:rsid w:val="001F0865"/>
    <w:rsid w:val="00211C94"/>
    <w:rsid w:val="002132E4"/>
    <w:rsid w:val="00227205"/>
    <w:rsid w:val="00230B0A"/>
    <w:rsid w:val="0025114C"/>
    <w:rsid w:val="00257DBF"/>
    <w:rsid w:val="00275AE0"/>
    <w:rsid w:val="00275BAA"/>
    <w:rsid w:val="0028038A"/>
    <w:rsid w:val="002868B0"/>
    <w:rsid w:val="00286C9C"/>
    <w:rsid w:val="002A5DAF"/>
    <w:rsid w:val="002A604B"/>
    <w:rsid w:val="002C22FB"/>
    <w:rsid w:val="002C2A9E"/>
    <w:rsid w:val="002C7E42"/>
    <w:rsid w:val="002E1C97"/>
    <w:rsid w:val="00350757"/>
    <w:rsid w:val="00352CC8"/>
    <w:rsid w:val="00355536"/>
    <w:rsid w:val="00363DAE"/>
    <w:rsid w:val="00386B85"/>
    <w:rsid w:val="003A42EA"/>
    <w:rsid w:val="003C0C53"/>
    <w:rsid w:val="003C2E30"/>
    <w:rsid w:val="003C569A"/>
    <w:rsid w:val="003C7BFF"/>
    <w:rsid w:val="003D1672"/>
    <w:rsid w:val="00411D5D"/>
    <w:rsid w:val="0041233C"/>
    <w:rsid w:val="00414D88"/>
    <w:rsid w:val="0042540F"/>
    <w:rsid w:val="00426339"/>
    <w:rsid w:val="00426B0E"/>
    <w:rsid w:val="0044692B"/>
    <w:rsid w:val="004625DF"/>
    <w:rsid w:val="00466805"/>
    <w:rsid w:val="00474967"/>
    <w:rsid w:val="00476910"/>
    <w:rsid w:val="0048774C"/>
    <w:rsid w:val="00497093"/>
    <w:rsid w:val="004A31B1"/>
    <w:rsid w:val="004A436A"/>
    <w:rsid w:val="004D1728"/>
    <w:rsid w:val="004E42CD"/>
    <w:rsid w:val="004F0E12"/>
    <w:rsid w:val="004F22B7"/>
    <w:rsid w:val="005003A3"/>
    <w:rsid w:val="00501C39"/>
    <w:rsid w:val="00504F3A"/>
    <w:rsid w:val="005376C6"/>
    <w:rsid w:val="005406FE"/>
    <w:rsid w:val="00546EEC"/>
    <w:rsid w:val="00561F4D"/>
    <w:rsid w:val="0057029F"/>
    <w:rsid w:val="00576781"/>
    <w:rsid w:val="00577153"/>
    <w:rsid w:val="00577A0A"/>
    <w:rsid w:val="00593495"/>
    <w:rsid w:val="005B4AC2"/>
    <w:rsid w:val="005D0262"/>
    <w:rsid w:val="005E46F6"/>
    <w:rsid w:val="005F0344"/>
    <w:rsid w:val="00603796"/>
    <w:rsid w:val="00617FEA"/>
    <w:rsid w:val="00623234"/>
    <w:rsid w:val="00623D33"/>
    <w:rsid w:val="006417F1"/>
    <w:rsid w:val="0064394C"/>
    <w:rsid w:val="0064486A"/>
    <w:rsid w:val="00646BAE"/>
    <w:rsid w:val="00651547"/>
    <w:rsid w:val="0069283C"/>
    <w:rsid w:val="00694160"/>
    <w:rsid w:val="006A48D5"/>
    <w:rsid w:val="006D42F4"/>
    <w:rsid w:val="006E1309"/>
    <w:rsid w:val="006E73FD"/>
    <w:rsid w:val="006F4267"/>
    <w:rsid w:val="006F6362"/>
    <w:rsid w:val="00704F53"/>
    <w:rsid w:val="00710B2C"/>
    <w:rsid w:val="007271A6"/>
    <w:rsid w:val="00730966"/>
    <w:rsid w:val="007323DD"/>
    <w:rsid w:val="00742C89"/>
    <w:rsid w:val="00744A33"/>
    <w:rsid w:val="0075117A"/>
    <w:rsid w:val="00767381"/>
    <w:rsid w:val="007678BA"/>
    <w:rsid w:val="007813B2"/>
    <w:rsid w:val="00783FFF"/>
    <w:rsid w:val="00786E85"/>
    <w:rsid w:val="007A212A"/>
    <w:rsid w:val="007A2CE2"/>
    <w:rsid w:val="007C1B39"/>
    <w:rsid w:val="007D0140"/>
    <w:rsid w:val="007E1EB7"/>
    <w:rsid w:val="007E37C6"/>
    <w:rsid w:val="007F4231"/>
    <w:rsid w:val="007F65A5"/>
    <w:rsid w:val="00820FA1"/>
    <w:rsid w:val="00844D6E"/>
    <w:rsid w:val="00847C6F"/>
    <w:rsid w:val="00854A53"/>
    <w:rsid w:val="00866A61"/>
    <w:rsid w:val="008673F7"/>
    <w:rsid w:val="008A7D4E"/>
    <w:rsid w:val="008B1737"/>
    <w:rsid w:val="008B5B59"/>
    <w:rsid w:val="008D325A"/>
    <w:rsid w:val="008E5A63"/>
    <w:rsid w:val="008F2D75"/>
    <w:rsid w:val="008F6379"/>
    <w:rsid w:val="00902298"/>
    <w:rsid w:val="00911746"/>
    <w:rsid w:val="00915BD8"/>
    <w:rsid w:val="00917857"/>
    <w:rsid w:val="009253CF"/>
    <w:rsid w:val="009257E6"/>
    <w:rsid w:val="0092639B"/>
    <w:rsid w:val="00940DE6"/>
    <w:rsid w:val="0096251B"/>
    <w:rsid w:val="00964CA2"/>
    <w:rsid w:val="009663DF"/>
    <w:rsid w:val="0097305E"/>
    <w:rsid w:val="00974324"/>
    <w:rsid w:val="00990C9E"/>
    <w:rsid w:val="009B1152"/>
    <w:rsid w:val="009B61E2"/>
    <w:rsid w:val="009C1820"/>
    <w:rsid w:val="009C597D"/>
    <w:rsid w:val="009C5C22"/>
    <w:rsid w:val="009D1AC5"/>
    <w:rsid w:val="009E4871"/>
    <w:rsid w:val="009F184E"/>
    <w:rsid w:val="009F27F6"/>
    <w:rsid w:val="00A111F0"/>
    <w:rsid w:val="00A1149F"/>
    <w:rsid w:val="00A2543F"/>
    <w:rsid w:val="00A30C38"/>
    <w:rsid w:val="00A32D75"/>
    <w:rsid w:val="00A33855"/>
    <w:rsid w:val="00A52AD0"/>
    <w:rsid w:val="00A625DC"/>
    <w:rsid w:val="00A80348"/>
    <w:rsid w:val="00A8034E"/>
    <w:rsid w:val="00A86749"/>
    <w:rsid w:val="00A9576C"/>
    <w:rsid w:val="00AA0FB6"/>
    <w:rsid w:val="00AA489C"/>
    <w:rsid w:val="00AC3764"/>
    <w:rsid w:val="00AF063D"/>
    <w:rsid w:val="00B05D4B"/>
    <w:rsid w:val="00B13DC6"/>
    <w:rsid w:val="00B37C19"/>
    <w:rsid w:val="00B37E92"/>
    <w:rsid w:val="00B4042A"/>
    <w:rsid w:val="00B4162F"/>
    <w:rsid w:val="00B502D1"/>
    <w:rsid w:val="00B528A0"/>
    <w:rsid w:val="00B74E6A"/>
    <w:rsid w:val="00B97FCE"/>
    <w:rsid w:val="00BA2E05"/>
    <w:rsid w:val="00BA3707"/>
    <w:rsid w:val="00BE7889"/>
    <w:rsid w:val="00BF3444"/>
    <w:rsid w:val="00BF5E0C"/>
    <w:rsid w:val="00BF7250"/>
    <w:rsid w:val="00C20BCA"/>
    <w:rsid w:val="00C3049E"/>
    <w:rsid w:val="00C52D38"/>
    <w:rsid w:val="00C814E5"/>
    <w:rsid w:val="00C8304A"/>
    <w:rsid w:val="00C90F0D"/>
    <w:rsid w:val="00CB324A"/>
    <w:rsid w:val="00CB613A"/>
    <w:rsid w:val="00CC55A7"/>
    <w:rsid w:val="00CD05B9"/>
    <w:rsid w:val="00CE6D0D"/>
    <w:rsid w:val="00D27C2D"/>
    <w:rsid w:val="00D31229"/>
    <w:rsid w:val="00D36E1B"/>
    <w:rsid w:val="00D419E3"/>
    <w:rsid w:val="00D52C0B"/>
    <w:rsid w:val="00D7692F"/>
    <w:rsid w:val="00D83F3C"/>
    <w:rsid w:val="00D8715B"/>
    <w:rsid w:val="00DA25CE"/>
    <w:rsid w:val="00DA3CA3"/>
    <w:rsid w:val="00DE3924"/>
    <w:rsid w:val="00E13759"/>
    <w:rsid w:val="00E44159"/>
    <w:rsid w:val="00E455E2"/>
    <w:rsid w:val="00E71389"/>
    <w:rsid w:val="00E80B7D"/>
    <w:rsid w:val="00E856B2"/>
    <w:rsid w:val="00E94AE5"/>
    <w:rsid w:val="00EC3743"/>
    <w:rsid w:val="00EC68A3"/>
    <w:rsid w:val="00ED6051"/>
    <w:rsid w:val="00EF3557"/>
    <w:rsid w:val="00F04CB1"/>
    <w:rsid w:val="00F44C12"/>
    <w:rsid w:val="00F6562D"/>
    <w:rsid w:val="00F75F77"/>
    <w:rsid w:val="00F81266"/>
    <w:rsid w:val="00F81A7C"/>
    <w:rsid w:val="00F83883"/>
    <w:rsid w:val="00F84D8F"/>
    <w:rsid w:val="00F9237D"/>
    <w:rsid w:val="00FA7906"/>
    <w:rsid w:val="00FC4D2A"/>
    <w:rsid w:val="DBB6B73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157CA1"/>
  <w15:docId w15:val="{4556F9B5-83F4-8048-AF52-3347227C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60" w:line="276" w:lineRule="auto"/>
    </w:pPr>
    <w:rPr>
      <w:rFonts w:ascii="Calibri" w:eastAsia="DengXian" w:hAnsi="Calibri" w:cs="Arial Unicode MS"/>
      <w:kern w:val="2"/>
      <w:sz w:val="24"/>
      <w:szCs w:val="24"/>
      <w:lang w:bidi="zh-CN"/>
    </w:rPr>
  </w:style>
  <w:style w:type="paragraph" w:styleId="Heading1">
    <w:name w:val="heading 1"/>
    <w:basedOn w:val="Normal"/>
    <w:next w:val="Normal"/>
    <w:link w:val="Heading1Char"/>
    <w:uiPriority w:val="9"/>
    <w:qFormat/>
    <w:pPr>
      <w:keepNext/>
      <w:keepLines/>
      <w:spacing w:before="360" w:beforeAutospacing="0" w:after="80" w:line="278"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pPr>
      <w:keepNext/>
      <w:keepLines/>
      <w:spacing w:before="160" w:beforeAutospacing="0" w:after="80" w:line="278"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pPr>
      <w:keepNext/>
      <w:keepLines/>
      <w:spacing w:before="160" w:beforeAutospacing="0" w:after="80" w:line="278" w:lineRule="auto"/>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pPr>
      <w:keepNext/>
      <w:keepLines/>
      <w:spacing w:before="80" w:beforeAutospacing="0" w:after="40" w:line="278" w:lineRule="auto"/>
      <w:outlineLvl w:val="3"/>
    </w:pPr>
    <w:rPr>
      <w:rFonts w:asciiTheme="minorHAnsi" w:eastAsiaTheme="majorEastAsia" w:hAnsiTheme="minorHAnsi"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pPr>
      <w:keepNext/>
      <w:keepLines/>
      <w:spacing w:before="80" w:beforeAutospacing="0" w:after="40" w:line="278" w:lineRule="auto"/>
      <w:outlineLvl w:val="4"/>
    </w:pPr>
    <w:rPr>
      <w:rFonts w:asciiTheme="minorHAnsi" w:eastAsiaTheme="majorEastAsia" w:hAnsiTheme="minorHAnsi"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pPr>
      <w:keepNext/>
      <w:keepLines/>
      <w:spacing w:before="40" w:beforeAutospacing="0" w:after="0" w:line="278" w:lineRule="auto"/>
      <w:outlineLvl w:val="5"/>
    </w:pPr>
    <w:rPr>
      <w:rFonts w:asciiTheme="minorHAnsi" w:eastAsiaTheme="majorEastAsia" w:hAnsiTheme="minorHAnsi"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pPr>
      <w:keepNext/>
      <w:keepLines/>
      <w:spacing w:before="40" w:beforeAutospacing="0" w:after="0" w:line="278" w:lineRule="auto"/>
      <w:outlineLvl w:val="6"/>
    </w:pPr>
    <w:rPr>
      <w:rFonts w:asciiTheme="minorHAnsi" w:eastAsiaTheme="majorEastAsia" w:hAnsiTheme="minorHAnsi"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pPr>
      <w:keepNext/>
      <w:keepLines/>
      <w:spacing w:before="0" w:beforeAutospacing="0" w:after="0" w:line="278" w:lineRule="auto"/>
      <w:outlineLvl w:val="7"/>
    </w:pPr>
    <w:rPr>
      <w:rFonts w:asciiTheme="minorHAnsi" w:eastAsiaTheme="majorEastAsia" w:hAnsiTheme="minorHAnsi" w:cstheme="majorBidi"/>
      <w:i/>
      <w:iCs/>
      <w:color w:val="262626" w:themeColor="text1" w:themeTint="D9"/>
      <w14:ligatures w14:val="standardContextual"/>
    </w:rPr>
  </w:style>
  <w:style w:type="paragraph" w:styleId="Heading9">
    <w:name w:val="heading 9"/>
    <w:basedOn w:val="Normal"/>
    <w:next w:val="Normal"/>
    <w:link w:val="Heading9Char"/>
    <w:uiPriority w:val="9"/>
    <w:semiHidden/>
    <w:unhideWhenUsed/>
    <w:qFormat/>
    <w:pPr>
      <w:keepNext/>
      <w:keepLines/>
      <w:spacing w:before="0" w:beforeAutospacing="0" w:after="0" w:line="278" w:lineRule="auto"/>
      <w:outlineLvl w:val="8"/>
    </w:pPr>
    <w:rPr>
      <w:rFonts w:asciiTheme="minorHAnsi" w:eastAsiaTheme="majorEastAsia" w:hAnsiTheme="minorHAnsi" w:cstheme="majorBidi"/>
      <w:color w:val="262626" w:themeColor="text1" w:themeTint="D9"/>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before="0" w:beforeAutospacing="0" w:after="0" w:line="240" w:lineRule="auto"/>
    </w:pPr>
    <w:rPr>
      <w:rFonts w:asciiTheme="minorHAnsi" w:eastAsiaTheme="minorEastAsia" w:hAnsiTheme="minorHAnsi"/>
      <w14:ligatures w14:val="standardContextual"/>
    </w:rPr>
  </w:style>
  <w:style w:type="paragraph" w:styleId="Header">
    <w:name w:val="header"/>
    <w:basedOn w:val="Normal"/>
    <w:link w:val="HeaderChar"/>
    <w:uiPriority w:val="99"/>
    <w:unhideWhenUsed/>
    <w:pPr>
      <w:tabs>
        <w:tab w:val="center" w:pos="4680"/>
        <w:tab w:val="right" w:pos="9360"/>
      </w:tabs>
      <w:spacing w:before="0" w:beforeAutospacing="0" w:after="0" w:line="240" w:lineRule="auto"/>
    </w:pPr>
    <w:rPr>
      <w:rFonts w:asciiTheme="minorHAnsi" w:eastAsiaTheme="minorEastAsia" w:hAnsiTheme="minorHAnsi"/>
      <w14:ligatures w14:val="standardContextual"/>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after="100" w:afterAutospacing="1" w:line="240" w:lineRule="auto"/>
    </w:pPr>
    <w:rPr>
      <w:rFonts w:ascii="Times New Roman" w:eastAsia="Times New Roman" w:hAnsi="Times New Roman" w:cs="Times New Roman"/>
      <w:kern w:val="0"/>
    </w:rPr>
  </w:style>
  <w:style w:type="paragraph" w:styleId="Subtitle">
    <w:name w:val="Subtitle"/>
    <w:basedOn w:val="Normal"/>
    <w:next w:val="Normal"/>
    <w:link w:val="SubtitleChar"/>
    <w:uiPriority w:val="11"/>
    <w:qFormat/>
    <w:pPr>
      <w:spacing w:before="0" w:beforeAutospacing="0"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0" w:beforeAutospacing="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beforeAutospacing="0" w:line="278" w:lineRule="auto"/>
      <w:jc w:val="center"/>
    </w:pPr>
    <w:rPr>
      <w:rFonts w:asciiTheme="minorHAnsi" w:eastAsiaTheme="minorEastAsia" w:hAnsiTheme="minorHAnsi"/>
      <w:i/>
      <w:iCs/>
      <w:color w:val="404040" w:themeColor="text1" w:themeTint="BF"/>
      <w14:ligatures w14:val="standardContextual"/>
    </w:rPr>
  </w:style>
  <w:style w:type="character" w:customStyle="1" w:styleId="QuoteChar">
    <w:name w:val="Quote Char"/>
    <w:basedOn w:val="DefaultParagraphFont"/>
    <w:link w:val="Quote"/>
    <w:uiPriority w:val="29"/>
    <w:rPr>
      <w:rFonts w:cs="Arial Unicode MS"/>
      <w:i/>
      <w:iCs/>
      <w:color w:val="404040" w:themeColor="text1" w:themeTint="BF"/>
    </w:rPr>
  </w:style>
  <w:style w:type="paragraph" w:styleId="ListParagraph">
    <w:name w:val="List Paragraph"/>
    <w:basedOn w:val="Normal"/>
    <w:uiPriority w:val="34"/>
    <w:qFormat/>
    <w:pPr>
      <w:spacing w:before="0" w:beforeAutospacing="0" w:line="278" w:lineRule="auto"/>
      <w:ind w:left="720"/>
      <w:contextualSpacing/>
    </w:pPr>
    <w:rPr>
      <w:rFonts w:asciiTheme="minorHAnsi" w:eastAsiaTheme="minorEastAsia" w:hAnsiTheme="minorHAnsi"/>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beforeAutospacing="0" w:after="360" w:line="278" w:lineRule="auto"/>
      <w:ind w:left="864" w:right="864"/>
      <w:jc w:val="center"/>
    </w:pPr>
    <w:rPr>
      <w:rFonts w:asciiTheme="minorHAnsi" w:eastAsiaTheme="minorEastAsia" w:hAnsiTheme="minorHAnsi"/>
      <w:i/>
      <w:iCs/>
      <w:color w:val="2F5496" w:themeColor="accent1" w:themeShade="BF"/>
      <w14:ligatures w14:val="standardContextual"/>
    </w:rPr>
  </w:style>
  <w:style w:type="character" w:customStyle="1" w:styleId="IntenseQuoteChar">
    <w:name w:val="Intense Quote Char"/>
    <w:basedOn w:val="DefaultParagraphFont"/>
    <w:link w:val="IntenseQuote"/>
    <w:uiPriority w:val="30"/>
    <w:rPr>
      <w:rFonts w:cs="Arial Unicode MS"/>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rPr>
      <w:rFonts w:cs="Arial Unicode MS"/>
    </w:rPr>
  </w:style>
  <w:style w:type="character" w:customStyle="1" w:styleId="FooterChar">
    <w:name w:val="Footer Char"/>
    <w:basedOn w:val="DefaultParagraphFont"/>
    <w:link w:val="Footer"/>
    <w:uiPriority w:val="99"/>
    <w:rPr>
      <w:rFonts w:cs="Arial Unicode MS"/>
    </w:rPr>
  </w:style>
  <w:style w:type="character" w:customStyle="1" w:styleId="15">
    <w:name w:val="15"/>
    <w:basedOn w:val="DefaultParagraphFont"/>
    <w:rPr>
      <w:rFonts w:ascii="Calibri" w:hAnsi="Calibri" w:cs="Calibri" w:hint="default"/>
    </w:rPr>
  </w:style>
  <w:style w:type="character" w:customStyle="1" w:styleId="apple-converted-space">
    <w:name w:val="apple-converted-space"/>
    <w:basedOn w:val="DefaultParagraphFont"/>
  </w:style>
  <w:style w:type="paragraph" w:customStyle="1" w:styleId="Revision1">
    <w:name w:val="Revision1"/>
    <w:hidden/>
    <w:uiPriority w:val="99"/>
    <w:semiHidden/>
    <w:rPr>
      <w:rFonts w:ascii="Calibri" w:eastAsia="DengXian" w:hAnsi="Calibri" w:cs="Arial Unicode MS"/>
      <w:kern w:val="2"/>
      <w:sz w:val="24"/>
      <w:szCs w:val="24"/>
      <w:lang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angxiaomei6009@sina.com" TargetMode="External"/><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tiff"/><Relationship Id="rId7" Type="http://schemas.openxmlformats.org/officeDocument/2006/relationships/hyperlink" Target="mailto:xiedualfang@163.com" TargetMode="Externa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tif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inxuandong@live.com" TargetMode="Externa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footnotes" Target="footnotes.xml"/><Relationship Id="rId9" Type="http://schemas.openxmlformats.org/officeDocument/2006/relationships/hyperlink" Target="mailto:hongbing_liao@gxmu.edu.cn"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1004</Words>
  <Characters>5726</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Sandar Moe Moe Sint</dc:creator>
  <cp:lastModifiedBy>Sandar Moe Moe Sint</cp:lastModifiedBy>
  <cp:revision>3</cp:revision>
  <cp:lastPrinted>2026-02-28T03:24:00Z</cp:lastPrinted>
  <dcterms:created xsi:type="dcterms:W3CDTF">2026-04-22T12:17:00Z</dcterms:created>
  <dcterms:modified xsi:type="dcterms:W3CDTF">2026-05-11T17:45:00Z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1033-12.1.24031.24031</vt:lpwstr>
  </property>
  <property fmtid="{D5CDD505-2E9C-101B-9397-08002B2CF9AE}" pid="3" name="ICV">
    <vt:lpwstr>759FD30F0D2812E5600FDF69856FEADB_42</vt:lpwstr>
  </property>
</Properties>
</file>