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84E56" w14:textId="77777777" w:rsidR="00AD17D6" w:rsidRPr="00DA1B3F" w:rsidRDefault="00AD17D6" w:rsidP="00AD17D6">
      <w:pPr>
        <w:spacing w:after="0" w:line="240" w:lineRule="auto"/>
        <w:jc w:val="both"/>
        <w:rPr>
          <w:rFonts w:ascii="Calibri" w:eastAsia="Calibri" w:hAnsi="Calibri" w:cs="Calibri"/>
          <w:b/>
          <w:bCs/>
          <w:sz w:val="32"/>
          <w:szCs w:val="32"/>
        </w:rPr>
      </w:pPr>
      <w:r w:rsidRPr="00DA1B3F">
        <w:rPr>
          <w:rFonts w:ascii="Calibri" w:eastAsia="Calibri" w:hAnsi="Calibri" w:cs="Calibri"/>
          <w:b/>
          <w:bCs/>
          <w:sz w:val="32"/>
          <w:szCs w:val="32"/>
        </w:rPr>
        <w:t>Mass</w:t>
      </w:r>
      <w:r>
        <w:t>-</w:t>
      </w:r>
      <w:r w:rsidRPr="00DA1B3F">
        <w:rPr>
          <w:rFonts w:ascii="Calibri" w:eastAsia="Calibri" w:hAnsi="Calibri" w:cs="Calibri"/>
          <w:b/>
          <w:bCs/>
          <w:sz w:val="32"/>
          <w:szCs w:val="32"/>
        </w:rPr>
        <w:t xml:space="preserve">Manufacturable Germanium Photodetectors for </w:t>
      </w:r>
      <w:r>
        <w:rPr>
          <w:rFonts w:ascii="Calibri" w:eastAsia="Calibri" w:hAnsi="Calibri" w:cs="Calibri"/>
          <w:b/>
          <w:bCs/>
          <w:sz w:val="32"/>
          <w:szCs w:val="32"/>
        </w:rPr>
        <w:t>Beyond-</w:t>
      </w:r>
      <w:r w:rsidRPr="00DA1B3F">
        <w:rPr>
          <w:rFonts w:ascii="Calibri" w:eastAsia="Calibri" w:hAnsi="Calibri" w:cs="Calibri"/>
          <w:b/>
          <w:bCs/>
          <w:sz w:val="32"/>
          <w:szCs w:val="32"/>
        </w:rPr>
        <w:t>448</w:t>
      </w:r>
      <w:r>
        <w:t>-</w:t>
      </w:r>
      <w:r>
        <w:rPr>
          <w:rFonts w:ascii="Calibri" w:eastAsia="Calibri" w:hAnsi="Calibri" w:cs="Calibri"/>
          <w:b/>
          <w:bCs/>
          <w:sz w:val="32"/>
          <w:szCs w:val="32"/>
        </w:rPr>
        <w:t>Gbps</w:t>
      </w:r>
      <w:r>
        <w:t>-</w:t>
      </w:r>
      <w:r w:rsidRPr="00DA1B3F">
        <w:rPr>
          <w:rFonts w:ascii="Calibri" w:eastAsia="Calibri" w:hAnsi="Calibri" w:cs="Calibri"/>
          <w:b/>
          <w:bCs/>
          <w:sz w:val="32"/>
          <w:szCs w:val="32"/>
        </w:rPr>
        <w:t>Class Operation on a Monolithic Silicon Photonics Platform</w:t>
      </w:r>
    </w:p>
    <w:p w14:paraId="35122D4F" w14:textId="77777777" w:rsidR="00AD17D6" w:rsidRDefault="00AD17D6" w:rsidP="00AD17D6">
      <w:pPr>
        <w:spacing w:after="0" w:line="240" w:lineRule="auto"/>
        <w:jc w:val="both"/>
        <w:rPr>
          <w:rFonts w:ascii="Calibri" w:eastAsia="Calibri" w:hAnsi="Calibri" w:cs="Calibri"/>
          <w:b/>
          <w:bCs/>
          <w:sz w:val="32"/>
          <w:szCs w:val="32"/>
        </w:rPr>
      </w:pPr>
    </w:p>
    <w:p w14:paraId="1560F10A" w14:textId="77777777" w:rsidR="00AD17D6" w:rsidRPr="00B359C3" w:rsidRDefault="00AD17D6" w:rsidP="00AD17D6">
      <w:pPr>
        <w:pBdr>
          <w:top w:val="nil"/>
          <w:left w:val="nil"/>
          <w:bottom w:val="nil"/>
          <w:right w:val="nil"/>
          <w:between w:val="nil"/>
        </w:pBdr>
        <w:jc w:val="both"/>
        <w:rPr>
          <w:rFonts w:asciiTheme="majorHAnsi" w:eastAsia="Calibri" w:hAnsiTheme="majorHAnsi" w:cstheme="majorHAnsi"/>
          <w:bCs/>
        </w:rPr>
      </w:pPr>
      <w:r w:rsidRPr="00373088">
        <w:rPr>
          <w:rFonts w:asciiTheme="majorHAnsi" w:eastAsia="Calibri" w:hAnsiTheme="majorHAnsi" w:cstheme="majorHAnsi"/>
          <w:bCs/>
        </w:rPr>
        <w:t>Yusheng Bian</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Sujith Chandran</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Qidi Liu</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Abdelsalam Aboketaf</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Won Suk Lee</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Michelle Zhang</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Teodor Stanev</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Hanyi Ding</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James Garofolo</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Brian Popielarski</w:t>
      </w:r>
      <w:r w:rsidRPr="00373088">
        <w:rPr>
          <w:rFonts w:asciiTheme="majorHAnsi" w:eastAsia="Calibri" w:hAnsiTheme="majorHAnsi" w:cstheme="majorHAnsi"/>
          <w:bCs/>
          <w:vertAlign w:val="superscript"/>
        </w:rPr>
        <w:t>1,6</w:t>
      </w:r>
      <w:r w:rsidRPr="00373088">
        <w:rPr>
          <w:rFonts w:asciiTheme="majorHAnsi" w:eastAsia="Calibri" w:hAnsiTheme="majorHAnsi" w:cstheme="majorHAnsi"/>
          <w:bCs/>
        </w:rPr>
        <w:t>, Madhuchhanda Brahma</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Shaun Benjamin</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Crystal Hedges</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xml:space="preserve">, Jason </w:t>
      </w:r>
      <w:r w:rsidR="006058D7" w:rsidRPr="00BB1910">
        <w:rPr>
          <w:rFonts w:asciiTheme="majorHAnsi" w:eastAsia="Calibri" w:hAnsiTheme="majorHAnsi" w:cstheme="majorHAnsi"/>
          <w:bCs/>
        </w:rPr>
        <w:t>Kim</w:t>
      </w:r>
      <w:r w:rsidR="006058D7" w:rsidRPr="00BB1910">
        <w:rPr>
          <w:rFonts w:asciiTheme="majorHAnsi" w:eastAsia="Calibri" w:hAnsiTheme="majorHAnsi" w:cstheme="majorHAnsi"/>
          <w:bCs/>
          <w:vertAlign w:val="superscript"/>
        </w:rPr>
        <w:t>1</w:t>
      </w:r>
      <w:r w:rsidR="006058D7" w:rsidRPr="00BB1910">
        <w:rPr>
          <w:rFonts w:asciiTheme="majorHAnsi" w:eastAsia="Calibri" w:hAnsiTheme="majorHAnsi" w:cstheme="majorHAnsi"/>
          <w:bCs/>
        </w:rPr>
        <w:t>, Zahidur Chowdhury</w:t>
      </w:r>
      <w:r w:rsidR="006058D7" w:rsidRPr="00BB1910">
        <w:rPr>
          <w:rFonts w:asciiTheme="majorHAnsi" w:eastAsia="Calibri" w:hAnsiTheme="majorHAnsi" w:cstheme="majorHAnsi"/>
          <w:bCs/>
          <w:vertAlign w:val="superscript"/>
        </w:rPr>
        <w:t>1</w:t>
      </w:r>
      <w:r w:rsidR="006058D7" w:rsidRPr="00BB1910">
        <w:rPr>
          <w:rFonts w:asciiTheme="majorHAnsi" w:eastAsia="Calibri" w:hAnsiTheme="majorHAnsi" w:cstheme="majorHAnsi"/>
          <w:bCs/>
        </w:rPr>
        <w:t xml:space="preserve">, </w:t>
      </w:r>
      <w:r w:rsidR="006058D7" w:rsidRPr="00B359C3">
        <w:rPr>
          <w:rFonts w:asciiTheme="majorHAnsi" w:eastAsia="Calibri" w:hAnsiTheme="majorHAnsi" w:cstheme="majorHAnsi"/>
          <w:bCs/>
        </w:rPr>
        <w:t>Koushik</w:t>
      </w:r>
      <w:r w:rsidR="006058D7">
        <w:rPr>
          <w:rFonts w:asciiTheme="majorHAnsi" w:eastAsia="Calibri" w:hAnsiTheme="majorHAnsi" w:cstheme="majorHAnsi"/>
          <w:bCs/>
        </w:rPr>
        <w:t xml:space="preserve"> </w:t>
      </w:r>
      <w:r w:rsidR="006058D7" w:rsidRPr="00B359C3">
        <w:rPr>
          <w:rFonts w:asciiTheme="majorHAnsi" w:eastAsia="Calibri" w:hAnsiTheme="majorHAnsi" w:cstheme="majorHAnsi"/>
          <w:bCs/>
        </w:rPr>
        <w:t>Ramachandran</w:t>
      </w:r>
      <w:r w:rsidR="006058D7" w:rsidRPr="00BB1910">
        <w:rPr>
          <w:rFonts w:asciiTheme="majorHAnsi" w:eastAsia="Calibri" w:hAnsiTheme="majorHAnsi" w:cstheme="majorHAnsi"/>
          <w:bCs/>
          <w:vertAlign w:val="superscript"/>
        </w:rPr>
        <w:t>1</w:t>
      </w:r>
      <w:r w:rsidR="006058D7" w:rsidRPr="00B359C3">
        <w:rPr>
          <w:rFonts w:asciiTheme="majorHAnsi" w:eastAsia="Calibri" w:hAnsiTheme="majorHAnsi" w:cstheme="majorHAnsi"/>
          <w:bCs/>
        </w:rPr>
        <w:t>,</w:t>
      </w:r>
      <w:r w:rsidR="006058D7">
        <w:rPr>
          <w:rFonts w:asciiTheme="majorHAnsi" w:eastAsia="Calibri" w:hAnsiTheme="majorHAnsi" w:cstheme="majorHAnsi"/>
          <w:bCs/>
        </w:rPr>
        <w:t xml:space="preserve"> </w:t>
      </w:r>
      <w:r w:rsidR="006058D7" w:rsidRPr="00BB1910">
        <w:rPr>
          <w:rFonts w:asciiTheme="majorHAnsi" w:eastAsia="Calibri" w:hAnsiTheme="majorHAnsi" w:cstheme="majorHAnsi"/>
          <w:bCs/>
        </w:rPr>
        <w:t>Massimo Sorbara</w:t>
      </w:r>
      <w:r w:rsidR="006058D7" w:rsidRPr="00BB1910">
        <w:rPr>
          <w:rFonts w:asciiTheme="majorHAnsi" w:eastAsia="Calibri" w:hAnsiTheme="majorHAnsi" w:cstheme="majorHAnsi"/>
          <w:bCs/>
          <w:vertAlign w:val="superscript"/>
        </w:rPr>
        <w:t>1</w:t>
      </w:r>
      <w:r w:rsidRPr="00373088">
        <w:rPr>
          <w:rFonts w:asciiTheme="majorHAnsi" w:eastAsia="Calibri" w:hAnsiTheme="majorHAnsi" w:cstheme="majorHAnsi"/>
          <w:bCs/>
        </w:rPr>
        <w:t>, Shantanu Pal</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Takako Hirokawa</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Judson Holt</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Michal Rakowski</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Ming Gong</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Kevin Dezfulian</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Mrunal Shah</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Helen Wong</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Paul Diglio</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Ben Cadieux</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Daniel Smith</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Javier Ayala</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Asli Sahin</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Eric Snow</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Ken Giewont</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Bob Mulfinger</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Ryan Sporer</w:t>
      </w:r>
      <w:r w:rsidRPr="00373088">
        <w:rPr>
          <w:rFonts w:asciiTheme="majorHAnsi" w:eastAsia="Calibri" w:hAnsiTheme="majorHAnsi" w:cstheme="majorHAnsi"/>
          <w:bCs/>
          <w:vertAlign w:val="superscript"/>
        </w:rPr>
        <w:t>1</w:t>
      </w:r>
      <w:r w:rsidRPr="00373088">
        <w:rPr>
          <w:rFonts w:asciiTheme="majorHAnsi" w:eastAsia="Calibri" w:hAnsiTheme="majorHAnsi" w:cstheme="majorHAnsi"/>
          <w:bCs/>
        </w:rPr>
        <w:t>, Lukas Chrostowski</w:t>
      </w:r>
      <w:r w:rsidRPr="00373088">
        <w:rPr>
          <w:rFonts w:asciiTheme="majorHAnsi" w:eastAsia="Calibri" w:hAnsiTheme="majorHAnsi" w:cstheme="majorHAnsi"/>
          <w:bCs/>
          <w:vertAlign w:val="superscript"/>
        </w:rPr>
        <w:t>2</w:t>
      </w:r>
      <w:r w:rsidRPr="00373088">
        <w:rPr>
          <w:rFonts w:asciiTheme="majorHAnsi" w:eastAsia="Calibri" w:hAnsiTheme="majorHAnsi" w:cstheme="majorHAnsi"/>
          <w:bCs/>
        </w:rPr>
        <w:t>, Graham Reed</w:t>
      </w:r>
      <w:r w:rsidRPr="00373088">
        <w:rPr>
          <w:rFonts w:asciiTheme="majorHAnsi" w:eastAsia="Calibri" w:hAnsiTheme="majorHAnsi" w:cstheme="majorHAnsi"/>
          <w:bCs/>
          <w:vertAlign w:val="superscript"/>
        </w:rPr>
        <w:t>3</w:t>
      </w:r>
      <w:r w:rsidRPr="00373088">
        <w:rPr>
          <w:rFonts w:asciiTheme="majorHAnsi" w:eastAsia="Calibri" w:hAnsiTheme="majorHAnsi" w:cstheme="majorHAnsi"/>
          <w:bCs/>
        </w:rPr>
        <w:t>,</w:t>
      </w:r>
      <w:r w:rsidRPr="00373088">
        <w:rPr>
          <w:rFonts w:asciiTheme="majorHAnsi" w:eastAsia="Calibri" w:hAnsiTheme="majorHAnsi" w:cstheme="majorHAnsi"/>
          <w:b/>
          <w:bCs/>
        </w:rPr>
        <w:t xml:space="preserve"> </w:t>
      </w:r>
      <w:r w:rsidRPr="00373088">
        <w:rPr>
          <w:rFonts w:asciiTheme="majorHAnsi" w:eastAsia="Calibri" w:hAnsiTheme="majorHAnsi" w:cstheme="majorHAnsi"/>
          <w:bCs/>
        </w:rPr>
        <w:t>Keren Bergman</w:t>
      </w:r>
      <w:r w:rsidRPr="00373088">
        <w:rPr>
          <w:rFonts w:asciiTheme="majorHAnsi" w:eastAsia="Calibri" w:hAnsiTheme="majorHAnsi" w:cstheme="majorHAnsi"/>
          <w:bCs/>
          <w:vertAlign w:val="superscript"/>
        </w:rPr>
        <w:t>4</w:t>
      </w:r>
      <w:r w:rsidRPr="00373088">
        <w:rPr>
          <w:rFonts w:asciiTheme="majorHAnsi" w:eastAsia="Calibri" w:hAnsiTheme="majorHAnsi" w:cstheme="majorHAnsi"/>
          <w:bCs/>
        </w:rPr>
        <w:t>, and John E. Bowers</w:t>
      </w:r>
      <w:r w:rsidRPr="00373088">
        <w:rPr>
          <w:rFonts w:asciiTheme="majorHAnsi" w:eastAsia="Calibri" w:hAnsiTheme="majorHAnsi" w:cstheme="majorHAnsi"/>
          <w:bCs/>
          <w:vertAlign w:val="superscript"/>
        </w:rPr>
        <w:t>5</w:t>
      </w:r>
    </w:p>
    <w:p w14:paraId="430BCF18" w14:textId="77777777" w:rsidR="00AD17D6" w:rsidRPr="00373088" w:rsidRDefault="00AD17D6" w:rsidP="00AD17D6">
      <w:pPr>
        <w:spacing w:after="0" w:line="240" w:lineRule="auto"/>
        <w:jc w:val="both"/>
        <w:rPr>
          <w:rFonts w:asciiTheme="majorHAnsi" w:eastAsia="Calibri" w:hAnsiTheme="majorHAnsi" w:cstheme="majorHAnsi"/>
          <w:sz w:val="20"/>
          <w:szCs w:val="20"/>
        </w:rPr>
      </w:pPr>
      <w:r w:rsidRPr="00373088">
        <w:rPr>
          <w:rFonts w:asciiTheme="majorHAnsi" w:eastAsia="Calibri" w:hAnsiTheme="majorHAnsi" w:cstheme="majorHAnsi"/>
          <w:sz w:val="20"/>
          <w:szCs w:val="20"/>
          <w:vertAlign w:val="superscript"/>
        </w:rPr>
        <w:t>1</w:t>
      </w:r>
      <w:r w:rsidRPr="00373088">
        <w:rPr>
          <w:rFonts w:asciiTheme="majorHAnsi" w:eastAsia="Calibri" w:hAnsiTheme="majorHAnsi" w:cstheme="majorHAnsi"/>
          <w:sz w:val="20"/>
          <w:szCs w:val="20"/>
        </w:rPr>
        <w:t>GlobalFoundries, 400 Stone Break Rd Ext., Malta, NY 12020, USA</w:t>
      </w:r>
    </w:p>
    <w:p w14:paraId="3714A9FB" w14:textId="77777777" w:rsidR="00AD17D6" w:rsidRPr="00373088" w:rsidRDefault="00AD17D6" w:rsidP="00AD17D6">
      <w:pPr>
        <w:spacing w:after="0" w:line="240" w:lineRule="auto"/>
        <w:jc w:val="both"/>
        <w:rPr>
          <w:rFonts w:asciiTheme="majorHAnsi" w:eastAsia="Calibri" w:hAnsiTheme="majorHAnsi" w:cstheme="majorHAnsi"/>
          <w:sz w:val="20"/>
          <w:szCs w:val="20"/>
        </w:rPr>
      </w:pPr>
      <w:r w:rsidRPr="00373088">
        <w:rPr>
          <w:rFonts w:asciiTheme="majorHAnsi" w:eastAsia="Calibri" w:hAnsiTheme="majorHAnsi" w:cstheme="majorHAnsi"/>
          <w:sz w:val="20"/>
          <w:szCs w:val="20"/>
          <w:vertAlign w:val="superscript"/>
        </w:rPr>
        <w:t>2</w:t>
      </w:r>
      <w:r w:rsidRPr="00373088">
        <w:rPr>
          <w:rFonts w:asciiTheme="majorHAnsi" w:eastAsia="Calibri" w:hAnsiTheme="majorHAnsi" w:cstheme="majorHAnsi"/>
          <w:sz w:val="20"/>
          <w:szCs w:val="20"/>
        </w:rPr>
        <w:t>Department of Electrical &amp; Computer Engineering, University of British Columbia, 2332 Main Mall, Vancouver V6T1Z4 BC, Canada</w:t>
      </w:r>
    </w:p>
    <w:p w14:paraId="2EC9C8FE" w14:textId="77777777" w:rsidR="00AD17D6" w:rsidRPr="00373088" w:rsidRDefault="00AD17D6" w:rsidP="00AD17D6">
      <w:pPr>
        <w:spacing w:after="0" w:line="240" w:lineRule="auto"/>
        <w:jc w:val="both"/>
        <w:rPr>
          <w:rFonts w:asciiTheme="majorHAnsi" w:eastAsia="Calibri" w:hAnsiTheme="majorHAnsi" w:cstheme="majorHAnsi"/>
          <w:sz w:val="20"/>
          <w:szCs w:val="20"/>
        </w:rPr>
      </w:pPr>
      <w:r w:rsidRPr="00373088">
        <w:rPr>
          <w:rFonts w:asciiTheme="majorHAnsi" w:eastAsia="Calibri" w:hAnsiTheme="majorHAnsi" w:cstheme="majorHAnsi"/>
          <w:sz w:val="20"/>
          <w:szCs w:val="20"/>
          <w:vertAlign w:val="superscript"/>
        </w:rPr>
        <w:t>3</w:t>
      </w:r>
      <w:r w:rsidRPr="00373088">
        <w:rPr>
          <w:rFonts w:asciiTheme="majorHAnsi" w:eastAsia="Calibri" w:hAnsiTheme="majorHAnsi" w:cstheme="majorHAnsi"/>
          <w:sz w:val="20"/>
          <w:szCs w:val="20"/>
        </w:rPr>
        <w:t>Optoelectronics Research Centre, University of Southampton, Southampton, UK</w:t>
      </w:r>
    </w:p>
    <w:p w14:paraId="0E3084B4" w14:textId="77777777" w:rsidR="00AD17D6" w:rsidRPr="00373088" w:rsidRDefault="00AD17D6" w:rsidP="00AD17D6">
      <w:pPr>
        <w:spacing w:after="0" w:line="240" w:lineRule="auto"/>
        <w:jc w:val="both"/>
        <w:rPr>
          <w:rFonts w:asciiTheme="majorHAnsi" w:eastAsia="Calibri" w:hAnsiTheme="majorHAnsi" w:cstheme="majorHAnsi"/>
          <w:sz w:val="20"/>
          <w:szCs w:val="20"/>
        </w:rPr>
      </w:pPr>
      <w:r w:rsidRPr="00373088">
        <w:rPr>
          <w:rFonts w:asciiTheme="majorHAnsi" w:eastAsia="Calibri" w:hAnsiTheme="majorHAnsi" w:cstheme="majorHAnsi"/>
          <w:sz w:val="20"/>
          <w:szCs w:val="20"/>
          <w:vertAlign w:val="superscript"/>
        </w:rPr>
        <w:t>4</w:t>
      </w:r>
      <w:r w:rsidRPr="00373088">
        <w:rPr>
          <w:rFonts w:asciiTheme="majorHAnsi" w:eastAsia="Calibri" w:hAnsiTheme="majorHAnsi" w:cstheme="majorHAnsi"/>
          <w:sz w:val="20"/>
          <w:szCs w:val="20"/>
        </w:rPr>
        <w:t>Department of Electrical Engineering, Columbia University, New York, NY, USA</w:t>
      </w:r>
    </w:p>
    <w:p w14:paraId="765FAB5A" w14:textId="77777777" w:rsidR="00AD17D6" w:rsidRPr="00373088" w:rsidRDefault="00AD17D6" w:rsidP="00AD17D6">
      <w:pPr>
        <w:spacing w:after="0" w:line="240" w:lineRule="auto"/>
        <w:jc w:val="both"/>
        <w:rPr>
          <w:rFonts w:asciiTheme="majorHAnsi" w:eastAsia="Calibri" w:hAnsiTheme="majorHAnsi" w:cstheme="majorHAnsi"/>
          <w:sz w:val="20"/>
          <w:szCs w:val="20"/>
        </w:rPr>
      </w:pPr>
      <w:r w:rsidRPr="00373088">
        <w:rPr>
          <w:rFonts w:asciiTheme="majorHAnsi" w:eastAsia="Calibri" w:hAnsiTheme="majorHAnsi" w:cstheme="majorHAnsi"/>
          <w:sz w:val="20"/>
          <w:szCs w:val="20"/>
          <w:vertAlign w:val="superscript"/>
        </w:rPr>
        <w:t>5</w:t>
      </w:r>
      <w:r w:rsidRPr="00373088">
        <w:rPr>
          <w:rFonts w:asciiTheme="majorHAnsi" w:eastAsia="Calibri" w:hAnsiTheme="majorHAnsi" w:cstheme="majorHAnsi"/>
          <w:sz w:val="20"/>
          <w:szCs w:val="20"/>
        </w:rPr>
        <w:t>Department of Electrical &amp; Computer Engineering, University of California Santa Barbara, Santa Barbara 93106 CA, USA</w:t>
      </w:r>
    </w:p>
    <w:p w14:paraId="4F3DA437" w14:textId="77777777" w:rsidR="00AD17D6" w:rsidRPr="00373088" w:rsidRDefault="00AD17D6" w:rsidP="00AD17D6">
      <w:pPr>
        <w:spacing w:after="0" w:line="240" w:lineRule="auto"/>
        <w:jc w:val="both"/>
        <w:rPr>
          <w:rFonts w:asciiTheme="majorHAnsi" w:eastAsia="Calibri" w:hAnsiTheme="majorHAnsi" w:cstheme="majorHAnsi"/>
          <w:sz w:val="20"/>
          <w:szCs w:val="20"/>
        </w:rPr>
      </w:pPr>
      <w:r w:rsidRPr="00373088">
        <w:rPr>
          <w:rFonts w:asciiTheme="majorHAnsi" w:eastAsia="Calibri" w:hAnsiTheme="majorHAnsi" w:cstheme="majorHAnsi"/>
          <w:sz w:val="20"/>
          <w:szCs w:val="20"/>
          <w:vertAlign w:val="superscript"/>
        </w:rPr>
        <w:t>6</w:t>
      </w:r>
      <w:r w:rsidRPr="00373088">
        <w:rPr>
          <w:rFonts w:asciiTheme="majorHAnsi" w:eastAsia="Calibri" w:hAnsiTheme="majorHAnsi" w:cstheme="majorHAnsi"/>
          <w:sz w:val="20"/>
          <w:szCs w:val="20"/>
        </w:rPr>
        <w:t>These authors contributed equally</w:t>
      </w:r>
    </w:p>
    <w:p w14:paraId="0AD1AA06" w14:textId="77777777" w:rsidR="00AD17D6" w:rsidRPr="00373088" w:rsidRDefault="00AD17D6" w:rsidP="00AD17D6">
      <w:pPr>
        <w:spacing w:after="0" w:line="240" w:lineRule="auto"/>
        <w:jc w:val="both"/>
        <w:rPr>
          <w:rFonts w:asciiTheme="majorHAnsi" w:eastAsia="Calibri" w:hAnsiTheme="majorHAnsi" w:cstheme="majorHAnsi"/>
        </w:rPr>
      </w:pPr>
    </w:p>
    <w:p w14:paraId="28746C11" w14:textId="77777777" w:rsidR="00AD17D6" w:rsidRPr="00373088" w:rsidRDefault="00AD17D6" w:rsidP="00AD17D6">
      <w:pPr>
        <w:spacing w:after="0" w:line="240" w:lineRule="auto"/>
        <w:jc w:val="both"/>
        <w:rPr>
          <w:rFonts w:asciiTheme="majorHAnsi" w:eastAsia="Calibri" w:hAnsiTheme="majorHAnsi" w:cstheme="majorHAnsi"/>
        </w:rPr>
      </w:pPr>
      <w:r w:rsidRPr="00373088">
        <w:rPr>
          <w:rFonts w:asciiTheme="majorHAnsi" w:eastAsia="Calibri" w:hAnsiTheme="majorHAnsi" w:cstheme="majorHAnsi"/>
          <w:vertAlign w:val="superscript"/>
        </w:rPr>
        <w:t>†</w:t>
      </w:r>
      <w:r w:rsidRPr="00373088">
        <w:rPr>
          <w:rFonts w:asciiTheme="majorHAnsi" w:eastAsia="Calibri" w:hAnsiTheme="majorHAnsi" w:cstheme="majorHAnsi"/>
        </w:rPr>
        <w:t>e-mail: yusheng.bian@gf.com [corresponding author(s)are marked with dagger(s)</w:t>
      </w:r>
      <w:r w:rsidRPr="00373088">
        <w:rPr>
          <w:rFonts w:asciiTheme="majorHAnsi" w:eastAsia="Calibri" w:hAnsiTheme="majorHAnsi" w:cstheme="majorHAnsi"/>
          <w:vertAlign w:val="superscript"/>
        </w:rPr>
        <w:t>†</w:t>
      </w:r>
      <w:r w:rsidRPr="00373088">
        <w:rPr>
          <w:rFonts w:asciiTheme="majorHAnsi" w:eastAsia="Calibri" w:hAnsiTheme="majorHAnsi" w:cstheme="majorHAnsi"/>
        </w:rPr>
        <w:t xml:space="preserve"> in the author list]</w:t>
      </w:r>
    </w:p>
    <w:p w14:paraId="15629162" w14:textId="77777777" w:rsidR="00AD17D6" w:rsidRPr="00373088" w:rsidRDefault="00AD17D6" w:rsidP="00AD17D6">
      <w:pPr>
        <w:spacing w:after="0" w:line="240" w:lineRule="auto"/>
        <w:jc w:val="both"/>
        <w:rPr>
          <w:rFonts w:asciiTheme="majorHAnsi" w:eastAsia="Calibri" w:hAnsiTheme="majorHAnsi" w:cstheme="majorHAnsi"/>
        </w:rPr>
      </w:pPr>
    </w:p>
    <w:p w14:paraId="017021D7" w14:textId="77777777" w:rsidR="00AD17D6" w:rsidRPr="00373088" w:rsidRDefault="00AD17D6" w:rsidP="00AD17D6">
      <w:pPr>
        <w:pBdr>
          <w:top w:val="nil"/>
          <w:left w:val="nil"/>
          <w:bottom w:val="nil"/>
          <w:right w:val="nil"/>
          <w:between w:val="nil"/>
        </w:pBdr>
        <w:spacing w:after="0" w:line="240" w:lineRule="auto"/>
        <w:jc w:val="both"/>
        <w:rPr>
          <w:rFonts w:asciiTheme="majorHAnsi" w:eastAsia="Calibri" w:hAnsiTheme="majorHAnsi" w:cstheme="majorHAnsi"/>
          <w:sz w:val="24"/>
          <w:szCs w:val="24"/>
        </w:rPr>
      </w:pPr>
      <w:r w:rsidRPr="00373088">
        <w:rPr>
          <w:rFonts w:asciiTheme="majorHAnsi" w:eastAsia="Calibri" w:hAnsiTheme="majorHAnsi" w:cstheme="majorHAnsi"/>
          <w:b/>
          <w:sz w:val="24"/>
          <w:szCs w:val="24"/>
        </w:rPr>
        <w:t xml:space="preserve">Abstract </w:t>
      </w:r>
    </w:p>
    <w:p w14:paraId="45CEE24A" w14:textId="77777777" w:rsidR="00AD17D6" w:rsidRPr="00373088" w:rsidRDefault="00AD17D6" w:rsidP="00AD17D6">
      <w:pPr>
        <w:pBdr>
          <w:top w:val="nil"/>
          <w:left w:val="nil"/>
          <w:bottom w:val="nil"/>
          <w:right w:val="nil"/>
          <w:between w:val="nil"/>
        </w:pBdr>
        <w:spacing w:after="0" w:line="240" w:lineRule="auto"/>
        <w:jc w:val="both"/>
        <w:rPr>
          <w:rFonts w:asciiTheme="majorHAnsi" w:eastAsia="Calibri" w:hAnsiTheme="majorHAnsi" w:cstheme="majorHAnsi"/>
        </w:rPr>
      </w:pPr>
    </w:p>
    <w:p w14:paraId="2CCBF8AB" w14:textId="12DB9EE0" w:rsidR="00AD17D6" w:rsidRDefault="00AD17D6" w:rsidP="00AD17D6">
      <w:pPr>
        <w:pBdr>
          <w:top w:val="nil"/>
          <w:left w:val="nil"/>
          <w:bottom w:val="nil"/>
          <w:right w:val="nil"/>
          <w:between w:val="nil"/>
        </w:pBdr>
        <w:spacing w:after="0" w:line="240" w:lineRule="auto"/>
        <w:jc w:val="both"/>
        <w:rPr>
          <w:rFonts w:asciiTheme="majorHAnsi" w:eastAsia="Calibri" w:hAnsiTheme="majorHAnsi" w:cstheme="majorBidi"/>
        </w:rPr>
      </w:pPr>
      <w:r w:rsidRPr="00DE3A26">
        <w:rPr>
          <w:rFonts w:asciiTheme="majorHAnsi" w:eastAsia="Calibri" w:hAnsiTheme="majorHAnsi" w:cstheme="majorBidi"/>
        </w:rPr>
        <w:t>The explosive growth of artificial intelligence (AI) and high</w:t>
      </w:r>
      <w:r w:rsidRPr="00373088">
        <w:rPr>
          <w:rFonts w:ascii="Cambria Math" w:eastAsia="Calibri" w:hAnsi="Cambria Math" w:cs="Cambria Math"/>
        </w:rPr>
        <w:t>‑</w:t>
      </w:r>
      <w:r w:rsidRPr="00DE3A26">
        <w:rPr>
          <w:rFonts w:asciiTheme="majorHAnsi" w:eastAsia="Calibri" w:hAnsiTheme="majorHAnsi" w:cstheme="majorBidi"/>
        </w:rPr>
        <w:t>performance computing (HPC) workloads is placing increasingly stringent demands on optical interconnects for fast, reliable, and mass</w:t>
      </w:r>
      <w:r w:rsidRPr="00373088">
        <w:rPr>
          <w:rFonts w:ascii="Cambria Math" w:eastAsia="Calibri" w:hAnsi="Cambria Math" w:cs="Cambria Math"/>
        </w:rPr>
        <w:t>‑</w:t>
      </w:r>
      <w:r w:rsidRPr="00DE3A26">
        <w:rPr>
          <w:rFonts w:asciiTheme="majorHAnsi" w:eastAsia="Calibri" w:hAnsiTheme="majorHAnsi" w:cstheme="majorBidi"/>
        </w:rPr>
        <w:t>manufacturable photonic receivers</w:t>
      </w:r>
      <w:r w:rsidRPr="00A1788C">
        <w:rPr>
          <w:rFonts w:asciiTheme="majorHAnsi" w:eastAsia="Calibri" w:hAnsiTheme="majorHAnsi" w:cstheme="majorBidi"/>
        </w:rPr>
        <w:t>.</w:t>
      </w:r>
      <w:r>
        <w:rPr>
          <w:rFonts w:asciiTheme="majorHAnsi" w:eastAsia="Calibri" w:hAnsiTheme="majorHAnsi" w:cstheme="majorBidi"/>
        </w:rPr>
        <w:t xml:space="preserve"> </w:t>
      </w:r>
      <w:r w:rsidRPr="00CD624C">
        <w:rPr>
          <w:rFonts w:asciiTheme="majorHAnsi" w:eastAsia="Calibri" w:hAnsiTheme="majorHAnsi" w:cstheme="majorBidi"/>
        </w:rPr>
        <w:t>Germanium</w:t>
      </w:r>
      <w:r>
        <w:rPr>
          <w:rFonts w:asciiTheme="majorHAnsi" w:eastAsia="Calibri" w:hAnsiTheme="majorHAnsi" w:cstheme="majorBidi"/>
        </w:rPr>
        <w:t xml:space="preserve"> (Ge)-on-silicon (Si)</w:t>
      </w:r>
      <w:r w:rsidRPr="00CD624C">
        <w:rPr>
          <w:rFonts w:asciiTheme="majorHAnsi" w:eastAsia="Calibri" w:hAnsiTheme="majorHAnsi" w:cstheme="majorBidi"/>
        </w:rPr>
        <w:t xml:space="preserve"> photodetectors</w:t>
      </w:r>
      <w:r w:rsidRPr="372AC587">
        <w:rPr>
          <w:rFonts w:asciiTheme="majorHAnsi" w:eastAsia="Calibri" w:hAnsiTheme="majorHAnsi" w:cstheme="majorBidi"/>
        </w:rPr>
        <w:t xml:space="preserve"> </w:t>
      </w:r>
      <w:r w:rsidRPr="00CD624C">
        <w:rPr>
          <w:rFonts w:asciiTheme="majorHAnsi" w:eastAsia="Calibri" w:hAnsiTheme="majorHAnsi" w:cstheme="majorBidi"/>
        </w:rPr>
        <w:t>have demonstrated impressive bandwidth and responsivity</w:t>
      </w:r>
      <w:r>
        <w:rPr>
          <w:rFonts w:asciiTheme="majorHAnsi" w:eastAsia="Calibri" w:hAnsiTheme="majorHAnsi" w:cstheme="majorBidi"/>
        </w:rPr>
        <w:t>,</w:t>
      </w:r>
      <w:r w:rsidRPr="00CD624C">
        <w:rPr>
          <w:rFonts w:asciiTheme="majorHAnsi" w:eastAsia="Calibri" w:hAnsiTheme="majorHAnsi" w:cstheme="majorBidi"/>
        </w:rPr>
        <w:t xml:space="preserve"> yet large-signal operation beyond 400 </w:t>
      </w:r>
      <w:r>
        <w:rPr>
          <w:rFonts w:asciiTheme="majorHAnsi" w:eastAsia="Calibri" w:hAnsiTheme="majorHAnsi" w:cstheme="majorBidi"/>
        </w:rPr>
        <w:t>Gbps</w:t>
      </w:r>
      <w:r w:rsidRPr="00CD624C">
        <w:rPr>
          <w:rFonts w:asciiTheme="majorHAnsi" w:eastAsia="Calibri" w:hAnsiTheme="majorHAnsi" w:cstheme="majorBidi"/>
        </w:rPr>
        <w:t xml:space="preserve"> per wavelength has remained largely inaccessible in foundry</w:t>
      </w:r>
      <w:r>
        <w:rPr>
          <w:rFonts w:asciiTheme="majorHAnsi" w:eastAsia="Calibri" w:hAnsiTheme="majorHAnsi" w:cstheme="majorBidi"/>
        </w:rPr>
        <w:t>-</w:t>
      </w:r>
      <w:r w:rsidRPr="00CD624C">
        <w:rPr>
          <w:rFonts w:asciiTheme="majorHAnsi" w:eastAsia="Calibri" w:hAnsiTheme="majorHAnsi" w:cstheme="majorBidi"/>
        </w:rPr>
        <w:t>compatible platforms</w:t>
      </w:r>
      <w:r>
        <w:rPr>
          <w:rFonts w:asciiTheme="majorHAnsi" w:eastAsia="Calibri" w:hAnsiTheme="majorHAnsi" w:cstheme="majorBidi"/>
        </w:rPr>
        <w:t>.</w:t>
      </w:r>
      <w:r w:rsidRPr="00CD624C">
        <w:rPr>
          <w:rFonts w:asciiTheme="majorHAnsi" w:eastAsia="Calibri" w:hAnsiTheme="majorHAnsi" w:cstheme="majorBidi"/>
        </w:rPr>
        <w:t xml:space="preserve"> Here we show that a mass-manufacturable 300</w:t>
      </w:r>
      <w:r>
        <w:noBreakHyphen/>
      </w:r>
      <w:r w:rsidRPr="00CD624C">
        <w:rPr>
          <w:rFonts w:asciiTheme="majorHAnsi" w:eastAsia="Calibri" w:hAnsiTheme="majorHAnsi" w:cstheme="majorBidi"/>
        </w:rPr>
        <w:t xml:space="preserve">mm monolithic </w:t>
      </w:r>
      <w:r>
        <w:rPr>
          <w:rFonts w:asciiTheme="majorHAnsi" w:eastAsia="Calibri" w:hAnsiTheme="majorHAnsi" w:cstheme="majorBidi"/>
        </w:rPr>
        <w:t>c</w:t>
      </w:r>
      <w:r w:rsidRPr="00FB20DA">
        <w:rPr>
          <w:rFonts w:asciiTheme="majorHAnsi" w:eastAsia="Calibri" w:hAnsiTheme="majorHAnsi" w:cstheme="majorBidi"/>
        </w:rPr>
        <w:t xml:space="preserve">omplementary </w:t>
      </w:r>
      <w:r>
        <w:rPr>
          <w:rFonts w:asciiTheme="majorHAnsi" w:eastAsia="Calibri" w:hAnsiTheme="majorHAnsi" w:cstheme="majorBidi"/>
        </w:rPr>
        <w:t>m</w:t>
      </w:r>
      <w:r w:rsidRPr="00FB20DA">
        <w:rPr>
          <w:rFonts w:asciiTheme="majorHAnsi" w:eastAsia="Calibri" w:hAnsiTheme="majorHAnsi" w:cstheme="majorBidi"/>
        </w:rPr>
        <w:t>etal-</w:t>
      </w:r>
      <w:r>
        <w:rPr>
          <w:rFonts w:asciiTheme="majorHAnsi" w:eastAsia="Calibri" w:hAnsiTheme="majorHAnsi" w:cstheme="majorBidi"/>
        </w:rPr>
        <w:t>o</w:t>
      </w:r>
      <w:r w:rsidRPr="00FB20DA">
        <w:rPr>
          <w:rFonts w:asciiTheme="majorHAnsi" w:eastAsia="Calibri" w:hAnsiTheme="majorHAnsi" w:cstheme="majorBidi"/>
        </w:rPr>
        <w:t>xide-</w:t>
      </w:r>
      <w:r>
        <w:rPr>
          <w:rFonts w:asciiTheme="majorHAnsi" w:eastAsia="Calibri" w:hAnsiTheme="majorHAnsi" w:cstheme="majorBidi"/>
        </w:rPr>
        <w:t>s</w:t>
      </w:r>
      <w:r w:rsidRPr="00FB20DA">
        <w:rPr>
          <w:rFonts w:asciiTheme="majorHAnsi" w:eastAsia="Calibri" w:hAnsiTheme="majorHAnsi" w:cstheme="majorBidi"/>
        </w:rPr>
        <w:t>emiconductor</w:t>
      </w:r>
      <w:r>
        <w:rPr>
          <w:rFonts w:asciiTheme="majorHAnsi" w:eastAsia="Calibri" w:hAnsiTheme="majorHAnsi" w:cstheme="majorBidi"/>
        </w:rPr>
        <w:t xml:space="preserve"> (CMOS) </w:t>
      </w:r>
      <w:r w:rsidRPr="00CD624C">
        <w:rPr>
          <w:rFonts w:asciiTheme="majorHAnsi" w:eastAsia="Calibri" w:hAnsiTheme="majorHAnsi" w:cstheme="majorBidi"/>
        </w:rPr>
        <w:t xml:space="preserve">silicon photonics </w:t>
      </w:r>
      <w:r>
        <w:rPr>
          <w:rFonts w:asciiTheme="majorHAnsi" w:eastAsia="Calibri" w:hAnsiTheme="majorHAnsi" w:cstheme="majorBidi"/>
        </w:rPr>
        <w:t xml:space="preserve">(SiPh) </w:t>
      </w:r>
      <w:r w:rsidRPr="00CD624C">
        <w:rPr>
          <w:rFonts w:asciiTheme="majorHAnsi" w:eastAsia="Calibri" w:hAnsiTheme="majorHAnsi" w:cstheme="majorBidi"/>
        </w:rPr>
        <w:t xml:space="preserve">platform can overcome this limitation. </w:t>
      </w:r>
      <w:r w:rsidRPr="00E444F7">
        <w:rPr>
          <w:rFonts w:asciiTheme="majorHAnsi" w:eastAsia="Calibri" w:hAnsiTheme="majorHAnsi" w:cstheme="majorBidi"/>
        </w:rPr>
        <w:t>An O</w:t>
      </w:r>
      <w:r w:rsidRPr="00373088">
        <w:rPr>
          <w:rFonts w:ascii="Cambria Math" w:eastAsia="Calibri" w:hAnsi="Cambria Math" w:cs="Cambria Math"/>
        </w:rPr>
        <w:t>‑</w:t>
      </w:r>
      <w:r w:rsidRPr="00E444F7">
        <w:rPr>
          <w:rFonts w:asciiTheme="majorHAnsi" w:eastAsia="Calibri" w:hAnsiTheme="majorHAnsi" w:cstheme="majorBidi"/>
        </w:rPr>
        <w:t>band Ge</w:t>
      </w:r>
      <w:r w:rsidRPr="00373088">
        <w:rPr>
          <w:rFonts w:ascii="Cambria Math" w:eastAsia="Calibri" w:hAnsi="Cambria Math" w:cs="Cambria Math"/>
        </w:rPr>
        <w:t>‑</w:t>
      </w:r>
      <w:r w:rsidRPr="00E444F7">
        <w:rPr>
          <w:rFonts w:asciiTheme="majorHAnsi" w:eastAsia="Calibri" w:hAnsiTheme="majorHAnsi" w:cstheme="majorBidi"/>
        </w:rPr>
        <w:t>on</w:t>
      </w:r>
      <w:r w:rsidRPr="00373088">
        <w:rPr>
          <w:rFonts w:ascii="Cambria Math" w:eastAsia="Calibri" w:hAnsi="Cambria Math" w:cs="Cambria Math"/>
        </w:rPr>
        <w:t>‑</w:t>
      </w:r>
      <w:r w:rsidRPr="00E444F7">
        <w:rPr>
          <w:rFonts w:asciiTheme="majorHAnsi" w:eastAsia="Calibri" w:hAnsiTheme="majorHAnsi" w:cstheme="majorBidi"/>
        </w:rPr>
        <w:t>Si lateral photodetector achieves large</w:t>
      </w:r>
      <w:r w:rsidRPr="00373088">
        <w:rPr>
          <w:rFonts w:ascii="Cambria Math" w:eastAsia="Calibri" w:hAnsi="Cambria Math" w:cs="Cambria Math"/>
        </w:rPr>
        <w:t>‑</w:t>
      </w:r>
      <w:r w:rsidRPr="00E444F7">
        <w:rPr>
          <w:rFonts w:asciiTheme="majorHAnsi" w:eastAsia="Calibri" w:hAnsiTheme="majorHAnsi" w:cstheme="majorBidi"/>
        </w:rPr>
        <w:t>signal data rates exceeding 448</w:t>
      </w:r>
      <w:r>
        <w:rPr>
          <w:rFonts w:asciiTheme="majorHAnsi" w:eastAsia="Calibri" w:hAnsiTheme="majorHAnsi" w:cstheme="majorBidi"/>
        </w:rPr>
        <w:t xml:space="preserve"> </w:t>
      </w:r>
      <w:r>
        <w:rPr>
          <w:rFonts w:ascii="Calibri" w:eastAsia="Calibri" w:hAnsi="Calibri" w:cs="Calibri"/>
        </w:rPr>
        <w:t xml:space="preserve">Gbps </w:t>
      </w:r>
      <w:r w:rsidRPr="00E444F7">
        <w:rPr>
          <w:rFonts w:asciiTheme="majorHAnsi" w:eastAsia="Calibri" w:hAnsiTheme="majorHAnsi" w:cstheme="majorBidi"/>
        </w:rPr>
        <w:t>per wavelength with four</w:t>
      </w:r>
      <w:r w:rsidRPr="00373088">
        <w:rPr>
          <w:rFonts w:ascii="Cambria Math" w:eastAsia="Calibri" w:hAnsi="Cambria Math" w:cs="Cambria Math"/>
        </w:rPr>
        <w:t>‑</w:t>
      </w:r>
      <w:r w:rsidRPr="00E444F7">
        <w:rPr>
          <w:rFonts w:asciiTheme="majorHAnsi" w:eastAsia="Calibri" w:hAnsiTheme="majorHAnsi" w:cstheme="majorBidi"/>
        </w:rPr>
        <w:t>level pulse</w:t>
      </w:r>
      <w:r w:rsidRPr="00373088">
        <w:rPr>
          <w:rFonts w:ascii="Cambria Math" w:eastAsia="Calibri" w:hAnsi="Cambria Math" w:cs="Cambria Math"/>
        </w:rPr>
        <w:t>‑</w:t>
      </w:r>
      <w:r w:rsidRPr="00E444F7">
        <w:rPr>
          <w:rFonts w:asciiTheme="majorHAnsi" w:eastAsia="Calibri" w:hAnsiTheme="majorHAnsi" w:cstheme="majorBidi"/>
        </w:rPr>
        <w:t>amplitude modulation (PAM4) and 520</w:t>
      </w:r>
      <w:r>
        <w:rPr>
          <w:rFonts w:asciiTheme="majorHAnsi" w:eastAsia="Calibri" w:hAnsiTheme="majorHAnsi" w:cstheme="majorBidi"/>
        </w:rPr>
        <w:t xml:space="preserve"> </w:t>
      </w:r>
      <w:r>
        <w:rPr>
          <w:rFonts w:ascii="Calibri" w:eastAsia="Calibri" w:hAnsi="Calibri" w:cs="Calibri"/>
        </w:rPr>
        <w:t>Gbps</w:t>
      </w:r>
      <w:r>
        <w:rPr>
          <w:rFonts w:ascii="Calibri" w:hAnsi="Calibri" w:cs="Calibri"/>
          <w:lang w:eastAsia="zh-CN"/>
        </w:rPr>
        <w:t xml:space="preserve"> </w:t>
      </w:r>
      <w:r w:rsidRPr="00E444F7">
        <w:rPr>
          <w:rFonts w:asciiTheme="majorHAnsi" w:eastAsia="Calibri" w:hAnsiTheme="majorHAnsi" w:cstheme="majorBidi"/>
        </w:rPr>
        <w:t>with six</w:t>
      </w:r>
      <w:r w:rsidRPr="00373088">
        <w:rPr>
          <w:rFonts w:ascii="Cambria Math" w:eastAsia="Calibri" w:hAnsi="Cambria Math" w:cs="Cambria Math"/>
        </w:rPr>
        <w:t>‑</w:t>
      </w:r>
      <w:r w:rsidRPr="00E444F7">
        <w:rPr>
          <w:rFonts w:asciiTheme="majorHAnsi" w:eastAsia="Calibri" w:hAnsiTheme="majorHAnsi" w:cstheme="majorBidi"/>
        </w:rPr>
        <w:t>level pulse</w:t>
      </w:r>
      <w:r w:rsidRPr="00373088">
        <w:rPr>
          <w:rFonts w:ascii="Cambria Math" w:eastAsia="Calibri" w:hAnsi="Cambria Math" w:cs="Cambria Math"/>
        </w:rPr>
        <w:t>‑</w:t>
      </w:r>
      <w:r w:rsidRPr="00E444F7">
        <w:rPr>
          <w:rFonts w:asciiTheme="majorHAnsi" w:eastAsia="Calibri" w:hAnsiTheme="majorHAnsi" w:cstheme="majorBidi"/>
        </w:rPr>
        <w:t>amplitude modulation (PAM6)</w:t>
      </w:r>
      <w:r>
        <w:rPr>
          <w:rFonts w:asciiTheme="majorHAnsi" w:eastAsia="Calibri" w:hAnsiTheme="majorHAnsi" w:cstheme="majorBidi"/>
        </w:rPr>
        <w:t xml:space="preserve"> at a photocurrent of ~2 mA</w:t>
      </w:r>
      <w:r w:rsidRPr="00E444F7">
        <w:rPr>
          <w:rFonts w:asciiTheme="majorHAnsi" w:eastAsia="Calibri" w:hAnsiTheme="majorHAnsi" w:cstheme="majorBidi"/>
        </w:rPr>
        <w:t xml:space="preserve">. This performance is enabled by an optoelectronic bandwidth of </w:t>
      </w:r>
      <w:r>
        <w:rPr>
          <w:rFonts w:asciiTheme="majorHAnsi" w:eastAsia="Calibri" w:hAnsiTheme="majorHAnsi" w:cstheme="majorBidi"/>
        </w:rPr>
        <w:t xml:space="preserve">up to </w:t>
      </w:r>
      <w:r w:rsidRPr="00E444F7">
        <w:rPr>
          <w:rFonts w:asciiTheme="majorHAnsi" w:eastAsia="Calibri" w:hAnsiTheme="majorHAnsi" w:cstheme="majorBidi"/>
        </w:rPr>
        <w:t>~215</w:t>
      </w:r>
      <w:r w:rsidRPr="00373088">
        <w:rPr>
          <w:rFonts w:ascii="Calibri" w:eastAsia="Calibri" w:hAnsi="Calibri" w:cs="Calibri"/>
        </w:rPr>
        <w:t> </w:t>
      </w:r>
      <w:r w:rsidRPr="00E444F7">
        <w:rPr>
          <w:rFonts w:asciiTheme="majorHAnsi" w:eastAsia="Calibri" w:hAnsiTheme="majorHAnsi" w:cstheme="majorBidi"/>
        </w:rPr>
        <w:t>GHz, near</w:t>
      </w:r>
      <w:r w:rsidRPr="00373088">
        <w:rPr>
          <w:rFonts w:ascii="Cambria Math" w:eastAsia="Calibri" w:hAnsi="Cambria Math" w:cs="Cambria Math"/>
        </w:rPr>
        <w:t>‑</w:t>
      </w:r>
      <w:r w:rsidRPr="00E444F7">
        <w:rPr>
          <w:rFonts w:asciiTheme="majorHAnsi" w:eastAsia="Calibri" w:hAnsiTheme="majorHAnsi" w:cstheme="majorBidi"/>
        </w:rPr>
        <w:t>unity quantum efficiency, and a record bandwidth</w:t>
      </w:r>
      <w:r>
        <w:rPr>
          <w:rFonts w:ascii="Calibri" w:eastAsia="Calibri" w:hAnsi="Calibri" w:cs="Calibri"/>
        </w:rPr>
        <w:t>-</w:t>
      </w:r>
      <w:r w:rsidRPr="00E444F7">
        <w:rPr>
          <w:rFonts w:asciiTheme="majorHAnsi" w:eastAsia="Calibri" w:hAnsiTheme="majorHAnsi" w:cstheme="majorBidi"/>
        </w:rPr>
        <w:t>responsivity product exceeding ~2</w:t>
      </w:r>
      <w:r>
        <w:rPr>
          <w:rFonts w:asciiTheme="majorHAnsi" w:eastAsia="Calibri" w:hAnsiTheme="majorHAnsi" w:cstheme="majorBidi"/>
        </w:rPr>
        <w:t>17</w:t>
      </w:r>
      <w:r w:rsidRPr="00373088">
        <w:rPr>
          <w:rFonts w:ascii="Calibri" w:eastAsia="Calibri" w:hAnsi="Calibri" w:cs="Calibri"/>
        </w:rPr>
        <w:t> </w:t>
      </w:r>
      <w:r w:rsidRPr="00E444F7">
        <w:rPr>
          <w:rFonts w:asciiTheme="majorHAnsi" w:eastAsia="Calibri" w:hAnsiTheme="majorHAnsi" w:cstheme="majorBidi"/>
        </w:rPr>
        <w:t>GHz</w:t>
      </w:r>
      <w:r w:rsidRPr="00373088">
        <w:rPr>
          <w:rFonts w:ascii="Calibri" w:eastAsia="Calibri" w:hAnsi="Calibri" w:cs="Calibri"/>
        </w:rPr>
        <w:t>·</w:t>
      </w:r>
      <w:r w:rsidRPr="00E444F7">
        <w:rPr>
          <w:rFonts w:asciiTheme="majorHAnsi" w:eastAsia="Calibri" w:hAnsiTheme="majorHAnsi" w:cstheme="majorBidi"/>
        </w:rPr>
        <w:t>A</w:t>
      </w:r>
      <w:r w:rsidRPr="00373088">
        <w:rPr>
          <w:rFonts w:ascii="Calibri" w:eastAsia="Calibri" w:hAnsi="Calibri" w:cs="Calibri"/>
        </w:rPr>
        <w:t> </w:t>
      </w:r>
      <w:r w:rsidRPr="00E444F7">
        <w:rPr>
          <w:rFonts w:asciiTheme="majorHAnsi" w:eastAsia="Calibri" w:hAnsiTheme="majorHAnsi" w:cstheme="majorBidi"/>
        </w:rPr>
        <w:t>W</w:t>
      </w:r>
      <w:r w:rsidRPr="00373088">
        <w:rPr>
          <w:rFonts w:ascii="Calibri" w:eastAsia="Calibri" w:hAnsi="Calibri" w:cs="Calibri"/>
        </w:rPr>
        <w:t>⁻¹</w:t>
      </w:r>
      <w:r>
        <w:rPr>
          <w:rFonts w:ascii="Calibri" w:eastAsia="Calibri" w:hAnsi="Calibri" w:cs="Calibri"/>
        </w:rPr>
        <w:t xml:space="preserve"> - </w:t>
      </w:r>
      <w:r w:rsidRPr="00E444F7">
        <w:rPr>
          <w:rFonts w:asciiTheme="majorHAnsi" w:eastAsia="Calibri" w:hAnsiTheme="majorHAnsi" w:cstheme="majorBidi"/>
        </w:rPr>
        <w:t xml:space="preserve">more than </w:t>
      </w:r>
      <w:r>
        <w:rPr>
          <w:rFonts w:asciiTheme="majorHAnsi" w:eastAsia="Calibri" w:hAnsiTheme="majorHAnsi" w:cstheme="majorBidi"/>
        </w:rPr>
        <w:t>2</w:t>
      </w:r>
      <w:r>
        <w:rPr>
          <w:rFonts w:ascii="Calibri" w:eastAsia="Calibri" w:hAnsi="Calibri" w:cs="Calibri"/>
        </w:rPr>
        <w:t xml:space="preserve"> times</w:t>
      </w:r>
      <w:r w:rsidRPr="00E444F7">
        <w:rPr>
          <w:rFonts w:asciiTheme="majorHAnsi" w:eastAsia="Calibri" w:hAnsiTheme="majorHAnsi" w:cstheme="majorBidi"/>
        </w:rPr>
        <w:t xml:space="preserve"> higher than the previous best of </w:t>
      </w:r>
      <w:r>
        <w:rPr>
          <w:rFonts w:asciiTheme="majorHAnsi" w:eastAsia="Calibri" w:hAnsiTheme="majorHAnsi" w:cstheme="majorBidi"/>
        </w:rPr>
        <w:t>108</w:t>
      </w:r>
      <w:r w:rsidRPr="00373088">
        <w:rPr>
          <w:rFonts w:ascii="Calibri" w:eastAsia="Calibri" w:hAnsi="Calibri" w:cs="Calibri"/>
        </w:rPr>
        <w:t> </w:t>
      </w:r>
      <w:r w:rsidRPr="00E444F7">
        <w:rPr>
          <w:rFonts w:asciiTheme="majorHAnsi" w:eastAsia="Calibri" w:hAnsiTheme="majorHAnsi" w:cstheme="majorBidi"/>
        </w:rPr>
        <w:t>GHz</w:t>
      </w:r>
      <w:r w:rsidRPr="00373088">
        <w:rPr>
          <w:rFonts w:ascii="Calibri" w:eastAsia="Calibri" w:hAnsi="Calibri" w:cs="Calibri"/>
        </w:rPr>
        <w:t>·</w:t>
      </w:r>
      <w:r w:rsidRPr="00E444F7">
        <w:rPr>
          <w:rFonts w:asciiTheme="majorHAnsi" w:eastAsia="Calibri" w:hAnsiTheme="majorHAnsi" w:cstheme="majorBidi"/>
        </w:rPr>
        <w:t>A</w:t>
      </w:r>
      <w:r>
        <w:rPr>
          <w:rFonts w:asciiTheme="majorHAnsi" w:eastAsia="Calibri" w:hAnsiTheme="majorHAnsi" w:cstheme="majorBidi"/>
        </w:rPr>
        <w:t xml:space="preserve"> </w:t>
      </w:r>
      <w:r w:rsidRPr="00E444F7">
        <w:rPr>
          <w:rFonts w:asciiTheme="majorHAnsi" w:eastAsia="Calibri" w:hAnsiTheme="majorHAnsi" w:cstheme="majorBidi"/>
        </w:rPr>
        <w:t>W</w:t>
      </w:r>
      <w:r w:rsidRPr="00373088">
        <w:rPr>
          <w:rFonts w:ascii="Calibri" w:eastAsia="Calibri" w:hAnsi="Calibri" w:cs="Calibri"/>
        </w:rPr>
        <w:t>⁻¹</w:t>
      </w:r>
      <w:r w:rsidRPr="00E444F7">
        <w:rPr>
          <w:rFonts w:asciiTheme="majorHAnsi" w:eastAsia="Calibri" w:hAnsiTheme="majorHAnsi" w:cstheme="majorBidi"/>
        </w:rPr>
        <w:t xml:space="preserve"> for waveguide</w:t>
      </w:r>
      <w:r w:rsidRPr="00373088">
        <w:rPr>
          <w:rFonts w:ascii="Cambria Math" w:eastAsia="Calibri" w:hAnsi="Cambria Math" w:cs="Cambria Math"/>
        </w:rPr>
        <w:t>‑</w:t>
      </w:r>
      <w:r w:rsidRPr="00E444F7">
        <w:rPr>
          <w:rFonts w:asciiTheme="majorHAnsi" w:eastAsia="Calibri" w:hAnsiTheme="majorHAnsi" w:cstheme="majorBidi"/>
        </w:rPr>
        <w:t>coupled Ge photodiodes</w:t>
      </w:r>
      <w:r>
        <w:rPr>
          <w:rFonts w:ascii="Calibri" w:eastAsia="Calibri" w:hAnsi="Calibri" w:cs="Calibri"/>
        </w:rPr>
        <w:t xml:space="preserve"> - </w:t>
      </w:r>
      <w:r w:rsidRPr="00E444F7">
        <w:rPr>
          <w:rFonts w:asciiTheme="majorHAnsi" w:eastAsia="Calibri" w:hAnsiTheme="majorHAnsi" w:cstheme="majorBidi"/>
        </w:rPr>
        <w:t>while sustaining optical input powers up to 2.8 mW and maintaining sub</w:t>
      </w:r>
      <w:r w:rsidRPr="00373088">
        <w:rPr>
          <w:rFonts w:ascii="Cambria Math" w:eastAsia="Calibri" w:hAnsi="Cambria Math" w:cs="Cambria Math"/>
        </w:rPr>
        <w:t>‑</w:t>
      </w:r>
      <w:r w:rsidRPr="00E444F7">
        <w:rPr>
          <w:rFonts w:asciiTheme="majorHAnsi" w:eastAsia="Calibri" w:hAnsiTheme="majorHAnsi" w:cstheme="majorBidi"/>
        </w:rPr>
        <w:t>38</w:t>
      </w:r>
      <w:r w:rsidRPr="00373088">
        <w:rPr>
          <w:rFonts w:ascii="Calibri" w:eastAsia="Calibri" w:hAnsi="Calibri" w:cs="Calibri"/>
        </w:rPr>
        <w:t> </w:t>
      </w:r>
      <w:r w:rsidRPr="00E444F7">
        <w:rPr>
          <w:rFonts w:asciiTheme="majorHAnsi" w:eastAsia="Calibri" w:hAnsiTheme="majorHAnsi" w:cstheme="majorBidi"/>
        </w:rPr>
        <w:t xml:space="preserve">nA dark current at </w:t>
      </w:r>
      <w:r>
        <w:rPr>
          <w:rFonts w:ascii="Calibri" w:eastAsia="Calibri" w:hAnsi="Calibri" w:cs="Calibri"/>
        </w:rPr>
        <w:t>-</w:t>
      </w:r>
      <w:r w:rsidRPr="00E444F7">
        <w:rPr>
          <w:rFonts w:asciiTheme="majorHAnsi" w:eastAsia="Calibri" w:hAnsiTheme="majorHAnsi" w:cstheme="majorBidi"/>
        </w:rPr>
        <w:t>1</w:t>
      </w:r>
      <w:r w:rsidRPr="00373088">
        <w:rPr>
          <w:rFonts w:ascii="Calibri" w:eastAsia="Calibri" w:hAnsi="Calibri" w:cs="Calibri"/>
        </w:rPr>
        <w:t> </w:t>
      </w:r>
      <w:r w:rsidRPr="00E444F7">
        <w:rPr>
          <w:rFonts w:asciiTheme="majorHAnsi" w:eastAsia="Calibri" w:hAnsiTheme="majorHAnsi" w:cstheme="majorBidi"/>
        </w:rPr>
        <w:t>V bias.</w:t>
      </w:r>
      <w:r>
        <w:rPr>
          <w:rFonts w:asciiTheme="majorHAnsi" w:eastAsia="Calibri" w:hAnsiTheme="majorHAnsi" w:cstheme="majorBidi"/>
        </w:rPr>
        <w:t xml:space="preserve"> </w:t>
      </w:r>
      <w:r w:rsidRPr="00CD624C">
        <w:rPr>
          <w:rFonts w:asciiTheme="majorHAnsi" w:eastAsia="Calibri" w:hAnsiTheme="majorHAnsi" w:cstheme="majorBidi"/>
        </w:rPr>
        <w:t xml:space="preserve">Crucially, these metrics are attained without </w:t>
      </w:r>
      <w:r>
        <w:rPr>
          <w:rFonts w:asciiTheme="majorHAnsi" w:eastAsia="Calibri" w:hAnsiTheme="majorHAnsi" w:cstheme="majorBidi"/>
        </w:rPr>
        <w:t>i</w:t>
      </w:r>
      <w:r w:rsidRPr="5D7D7A9E">
        <w:rPr>
          <w:rFonts w:asciiTheme="majorHAnsi" w:eastAsia="Calibri" w:hAnsiTheme="majorHAnsi" w:cstheme="majorBidi"/>
        </w:rPr>
        <w:t>nductive peaking, avalanche gain, or transimpedance-amplifier (TIA) integration</w:t>
      </w:r>
      <w:r w:rsidRPr="00CD624C">
        <w:rPr>
          <w:rFonts w:asciiTheme="majorHAnsi" w:eastAsia="Calibri" w:hAnsiTheme="majorHAnsi" w:cstheme="majorBidi"/>
        </w:rPr>
        <w:t xml:space="preserve">, with uniform high-speed characteristics across a full 300 mm wafer, underscoring production-level reproducibility. </w:t>
      </w:r>
      <w:r w:rsidRPr="0065784C">
        <w:rPr>
          <w:rFonts w:asciiTheme="majorHAnsi" w:eastAsia="Calibri" w:hAnsiTheme="majorHAnsi" w:cstheme="majorBidi"/>
        </w:rPr>
        <w:t>The same platform supports high</w:t>
      </w:r>
      <w:r>
        <w:noBreakHyphen/>
      </w:r>
      <w:r w:rsidRPr="0065784C">
        <w:rPr>
          <w:rFonts w:asciiTheme="majorHAnsi" w:eastAsia="Calibri" w:hAnsiTheme="majorHAnsi" w:cstheme="majorBidi"/>
        </w:rPr>
        <w:t>speed depletion</w:t>
      </w:r>
      <w:r>
        <w:noBreakHyphen/>
      </w:r>
      <w:r w:rsidRPr="0065784C">
        <w:rPr>
          <w:rFonts w:asciiTheme="majorHAnsi" w:eastAsia="Calibri" w:hAnsiTheme="majorHAnsi" w:cstheme="majorBidi"/>
        </w:rPr>
        <w:t>mode, travelling</w:t>
      </w:r>
      <w:r>
        <w:noBreakHyphen/>
      </w:r>
      <w:r w:rsidRPr="0065784C">
        <w:rPr>
          <w:rFonts w:asciiTheme="majorHAnsi" w:eastAsia="Calibri" w:hAnsiTheme="majorHAnsi" w:cstheme="majorBidi"/>
        </w:rPr>
        <w:t xml:space="preserve">wave </w:t>
      </w:r>
      <w:r>
        <w:rPr>
          <w:rFonts w:asciiTheme="majorHAnsi" w:eastAsia="Calibri" w:hAnsiTheme="majorHAnsi" w:cstheme="majorBidi"/>
        </w:rPr>
        <w:t>Si</w:t>
      </w:r>
      <w:r w:rsidRPr="0065784C">
        <w:rPr>
          <w:rFonts w:asciiTheme="majorHAnsi" w:eastAsia="Calibri" w:hAnsiTheme="majorHAnsi" w:cstheme="majorBidi"/>
        </w:rPr>
        <w:t xml:space="preserve"> Mach</w:t>
      </w:r>
      <w:r>
        <w:rPr>
          <w:rFonts w:asciiTheme="majorHAnsi" w:eastAsia="Calibri" w:hAnsiTheme="majorHAnsi" w:cstheme="majorBidi"/>
        </w:rPr>
        <w:t>-</w:t>
      </w:r>
      <w:r w:rsidRPr="0065784C">
        <w:rPr>
          <w:rFonts w:asciiTheme="majorHAnsi" w:eastAsia="Calibri" w:hAnsiTheme="majorHAnsi" w:cstheme="majorBidi"/>
        </w:rPr>
        <w:t>Zehnder modulators</w:t>
      </w:r>
      <w:r>
        <w:rPr>
          <w:rFonts w:asciiTheme="majorHAnsi" w:eastAsia="Calibri" w:hAnsiTheme="majorHAnsi" w:cstheme="majorBidi"/>
        </w:rPr>
        <w:t xml:space="preserve"> (MZMs)</w:t>
      </w:r>
      <w:r w:rsidRPr="0065784C">
        <w:rPr>
          <w:rFonts w:asciiTheme="majorHAnsi" w:eastAsia="Calibri" w:hAnsiTheme="majorHAnsi" w:cstheme="majorBidi"/>
        </w:rPr>
        <w:t xml:space="preserve"> capable of ≥400</w:t>
      </w:r>
      <w:r>
        <w:noBreakHyphen/>
      </w:r>
      <w:r>
        <w:rPr>
          <w:rFonts w:asciiTheme="majorHAnsi" w:eastAsia="Calibri" w:hAnsiTheme="majorHAnsi" w:cstheme="majorBidi"/>
        </w:rPr>
        <w:t>Gbps</w:t>
      </w:r>
      <w:r w:rsidRPr="0065784C">
        <w:rPr>
          <w:rFonts w:asciiTheme="majorHAnsi" w:eastAsia="Calibri" w:hAnsiTheme="majorHAnsi" w:cstheme="majorBidi"/>
        </w:rPr>
        <w:t xml:space="preserve"> per wavelength operation without digital signal processing</w:t>
      </w:r>
      <w:r>
        <w:rPr>
          <w:rFonts w:asciiTheme="majorHAnsi" w:eastAsia="Calibri" w:hAnsiTheme="majorHAnsi" w:cstheme="majorBidi"/>
        </w:rPr>
        <w:t xml:space="preserve"> (DSP)</w:t>
      </w:r>
      <w:r w:rsidRPr="0065784C">
        <w:rPr>
          <w:rFonts w:asciiTheme="majorHAnsi" w:eastAsia="Calibri" w:hAnsiTheme="majorHAnsi" w:cstheme="majorBidi"/>
        </w:rPr>
        <w:t>, precision silicon</w:t>
      </w:r>
      <w:r>
        <w:t xml:space="preserve"> </w:t>
      </w:r>
      <w:r w:rsidRPr="0065784C">
        <w:rPr>
          <w:rFonts w:asciiTheme="majorHAnsi" w:eastAsia="Calibri" w:hAnsiTheme="majorHAnsi" w:cstheme="majorBidi"/>
        </w:rPr>
        <w:t>nitride</w:t>
      </w:r>
      <w:r>
        <w:rPr>
          <w:rFonts w:asciiTheme="majorHAnsi" w:eastAsia="Calibri" w:hAnsiTheme="majorHAnsi" w:cstheme="majorBidi"/>
        </w:rPr>
        <w:t xml:space="preserve"> (SiN)</w:t>
      </w:r>
      <w:r w:rsidRPr="0065784C">
        <w:rPr>
          <w:rFonts w:asciiTheme="majorHAnsi" w:eastAsia="Calibri" w:hAnsiTheme="majorHAnsi" w:cstheme="majorBidi"/>
        </w:rPr>
        <w:t xml:space="preserve"> wavelength</w:t>
      </w:r>
      <w:r>
        <w:noBreakHyphen/>
      </w:r>
      <w:r w:rsidRPr="0065784C">
        <w:rPr>
          <w:rFonts w:asciiTheme="majorHAnsi" w:eastAsia="Calibri" w:hAnsiTheme="majorHAnsi" w:cstheme="majorBidi"/>
        </w:rPr>
        <w:t>division</w:t>
      </w:r>
      <w:r>
        <w:noBreakHyphen/>
      </w:r>
      <w:r w:rsidRPr="0065784C">
        <w:rPr>
          <w:rFonts w:asciiTheme="majorHAnsi" w:eastAsia="Calibri" w:hAnsiTheme="majorHAnsi" w:cstheme="majorBidi"/>
        </w:rPr>
        <w:t xml:space="preserve">multiplexing </w:t>
      </w:r>
      <w:r>
        <w:rPr>
          <w:rFonts w:asciiTheme="majorHAnsi" w:eastAsia="Calibri" w:hAnsiTheme="majorHAnsi" w:cstheme="majorBidi"/>
        </w:rPr>
        <w:t xml:space="preserve">(WDM) </w:t>
      </w:r>
      <w:r w:rsidRPr="0065784C">
        <w:rPr>
          <w:rFonts w:asciiTheme="majorHAnsi" w:eastAsia="Calibri" w:hAnsiTheme="majorHAnsi" w:cstheme="majorBidi"/>
        </w:rPr>
        <w:t>filters with sub</w:t>
      </w:r>
      <w:r>
        <w:noBreakHyphen/>
      </w:r>
      <w:r>
        <w:rPr>
          <w:rFonts w:asciiTheme="majorHAnsi" w:eastAsia="Calibri" w:hAnsiTheme="majorHAnsi" w:cstheme="majorBidi"/>
        </w:rPr>
        <w:t xml:space="preserve">1.5 </w:t>
      </w:r>
      <w:r w:rsidRPr="0065784C">
        <w:rPr>
          <w:rFonts w:asciiTheme="majorHAnsi" w:eastAsia="Calibri" w:hAnsiTheme="majorHAnsi" w:cstheme="majorBidi"/>
        </w:rPr>
        <w:t>nanometre channel stability, low</w:t>
      </w:r>
      <w:r>
        <w:noBreakHyphen/>
      </w:r>
      <w:r w:rsidRPr="0065784C">
        <w:rPr>
          <w:rFonts w:asciiTheme="majorHAnsi" w:eastAsia="Calibri" w:hAnsiTheme="majorHAnsi" w:cstheme="majorBidi"/>
        </w:rPr>
        <w:t>loss</w:t>
      </w:r>
      <w:r>
        <w:rPr>
          <w:rFonts w:asciiTheme="majorHAnsi" w:eastAsia="Calibri" w:hAnsiTheme="majorHAnsi" w:cstheme="majorBidi"/>
        </w:rPr>
        <w:t xml:space="preserve"> detachable</w:t>
      </w:r>
      <w:r w:rsidRPr="0065784C">
        <w:rPr>
          <w:rFonts w:asciiTheme="majorHAnsi" w:eastAsia="Calibri" w:hAnsiTheme="majorHAnsi" w:cstheme="majorBidi"/>
        </w:rPr>
        <w:t xml:space="preserve"> fibre</w:t>
      </w:r>
      <w:r>
        <w:rPr>
          <w:rFonts w:asciiTheme="majorHAnsi" w:hAnsiTheme="majorHAnsi" w:cstheme="majorBidi"/>
          <w:lang w:eastAsia="zh-CN"/>
        </w:rPr>
        <w:t>-</w:t>
      </w:r>
      <w:r w:rsidRPr="0065784C">
        <w:rPr>
          <w:rFonts w:asciiTheme="majorHAnsi" w:eastAsia="Calibri" w:hAnsiTheme="majorHAnsi" w:cstheme="majorBidi"/>
        </w:rPr>
        <w:t xml:space="preserve">chip </w:t>
      </w:r>
      <w:r w:rsidRPr="5D7D7A9E">
        <w:rPr>
          <w:rFonts w:asciiTheme="majorHAnsi" w:eastAsia="Calibri" w:hAnsiTheme="majorHAnsi" w:cstheme="majorBidi"/>
        </w:rPr>
        <w:t>input</w:t>
      </w:r>
      <w:r>
        <w:rPr>
          <w:rFonts w:asciiTheme="majorHAnsi" w:eastAsia="Calibri" w:hAnsiTheme="majorHAnsi" w:cstheme="majorBidi"/>
        </w:rPr>
        <w:t>-</w:t>
      </w:r>
      <w:r w:rsidRPr="5D7D7A9E">
        <w:rPr>
          <w:rFonts w:asciiTheme="majorHAnsi" w:eastAsia="Calibri" w:hAnsiTheme="majorHAnsi" w:cstheme="majorBidi"/>
        </w:rPr>
        <w:t>output (I/O)</w:t>
      </w:r>
      <w:r w:rsidRPr="0065784C">
        <w:rPr>
          <w:rFonts w:asciiTheme="majorHAnsi" w:eastAsia="Calibri" w:hAnsiTheme="majorHAnsi" w:cstheme="majorBidi"/>
        </w:rPr>
        <w:t xml:space="preserve"> (~1 dB per facet), co</w:t>
      </w:r>
      <w:r>
        <w:noBreakHyphen/>
      </w:r>
      <w:r w:rsidRPr="0065784C">
        <w:rPr>
          <w:rFonts w:asciiTheme="majorHAnsi" w:eastAsia="Calibri" w:hAnsiTheme="majorHAnsi" w:cstheme="majorBidi"/>
        </w:rPr>
        <w:t>integrated CMOS circuits using ≥350</w:t>
      </w:r>
      <w:r>
        <w:noBreakHyphen/>
      </w:r>
      <w:r w:rsidRPr="0065784C">
        <w:rPr>
          <w:rFonts w:asciiTheme="majorHAnsi" w:eastAsia="Calibri" w:hAnsiTheme="majorHAnsi" w:cstheme="majorBidi"/>
        </w:rPr>
        <w:t>GHz</w:t>
      </w:r>
      <w:r>
        <w:noBreakHyphen/>
      </w:r>
      <w:r w:rsidRPr="0065784C">
        <w:rPr>
          <w:rFonts w:asciiTheme="majorHAnsi" w:eastAsia="Calibri" w:hAnsiTheme="majorHAnsi" w:cstheme="majorBidi"/>
        </w:rPr>
        <w:t xml:space="preserve">class </w:t>
      </w:r>
      <w:r w:rsidRPr="00DB1A7A">
        <w:rPr>
          <w:rFonts w:asciiTheme="majorHAnsi" w:eastAsia="Calibri" w:hAnsiTheme="majorHAnsi" w:cstheme="majorBidi"/>
          <w:i/>
          <w:iCs/>
        </w:rPr>
        <w:t>f</w:t>
      </w:r>
      <w:r w:rsidRPr="00DB1A7A">
        <w:rPr>
          <w:rFonts w:asciiTheme="majorHAnsi" w:eastAsia="Calibri" w:hAnsiTheme="majorHAnsi" w:cstheme="majorBidi"/>
          <w:i/>
          <w:iCs/>
          <w:vertAlign w:val="subscript"/>
        </w:rPr>
        <w:t>t</w:t>
      </w:r>
      <w:r w:rsidRPr="0065784C">
        <w:rPr>
          <w:rFonts w:asciiTheme="majorHAnsi" w:eastAsia="Calibri" w:hAnsiTheme="majorHAnsi" w:cstheme="majorBidi"/>
        </w:rPr>
        <w:t xml:space="preserve"> transistors, and advanced wafer</w:t>
      </w:r>
      <w:r>
        <w:noBreakHyphen/>
      </w:r>
      <w:r w:rsidRPr="0065784C">
        <w:rPr>
          <w:rFonts w:asciiTheme="majorHAnsi" w:eastAsia="Calibri" w:hAnsiTheme="majorHAnsi" w:cstheme="majorBidi"/>
        </w:rPr>
        <w:t>level packaging features.</w:t>
      </w:r>
      <w:r>
        <w:rPr>
          <w:rFonts w:asciiTheme="majorHAnsi" w:eastAsia="Calibri" w:hAnsiTheme="majorHAnsi" w:cstheme="majorBidi"/>
        </w:rPr>
        <w:t xml:space="preserve"> </w:t>
      </w:r>
      <w:r w:rsidRPr="00780851">
        <w:rPr>
          <w:rFonts w:asciiTheme="majorHAnsi" w:eastAsia="Calibri" w:hAnsiTheme="majorHAnsi" w:cstheme="majorBidi"/>
        </w:rPr>
        <w:t>To the best of our knowledge, this is the first monolithic</w:t>
      </w:r>
      <w:r>
        <w:rPr>
          <w:rFonts w:asciiTheme="majorHAnsi" w:eastAsia="Calibri" w:hAnsiTheme="majorHAnsi" w:cstheme="majorBidi"/>
        </w:rPr>
        <w:t xml:space="preserve"> CMOS</w:t>
      </w:r>
      <w:r w:rsidRPr="00780851">
        <w:rPr>
          <w:rFonts w:asciiTheme="majorHAnsi" w:eastAsia="Calibri" w:hAnsiTheme="majorHAnsi" w:cstheme="majorBidi"/>
        </w:rPr>
        <w:t xml:space="preserve"> </w:t>
      </w:r>
      <w:r>
        <w:rPr>
          <w:rFonts w:asciiTheme="majorHAnsi" w:eastAsia="Calibri" w:hAnsiTheme="majorHAnsi" w:cstheme="majorBidi"/>
        </w:rPr>
        <w:t>silicon photonics foundry</w:t>
      </w:r>
      <w:r w:rsidRPr="00780851">
        <w:rPr>
          <w:rFonts w:asciiTheme="majorHAnsi" w:eastAsia="Calibri" w:hAnsiTheme="majorHAnsi" w:cstheme="majorBidi"/>
        </w:rPr>
        <w:t xml:space="preserve"> platform uniting ≥400 </w:t>
      </w:r>
      <w:r>
        <w:rPr>
          <w:rFonts w:asciiTheme="majorHAnsi" w:eastAsia="Calibri" w:hAnsiTheme="majorHAnsi" w:cstheme="majorBidi"/>
        </w:rPr>
        <w:t>Gbps</w:t>
      </w:r>
      <w:r w:rsidRPr="00780851">
        <w:rPr>
          <w:rFonts w:asciiTheme="majorHAnsi" w:eastAsia="Calibri" w:hAnsiTheme="majorHAnsi" w:cstheme="majorBidi"/>
        </w:rPr>
        <w:t>-class transmitter and receiver functions on a single substrate, providing a scalable foundation for next-generation pluggable, near- and co-packaged (NPO/CPO) optical interconnects in AI/HPC systems.</w:t>
      </w:r>
    </w:p>
    <w:p w14:paraId="4B4FAB6A" w14:textId="77777777" w:rsidR="006B5072" w:rsidRPr="00373088" w:rsidRDefault="006B5072" w:rsidP="00EE7DEC">
      <w:pPr>
        <w:spacing w:after="0" w:line="276" w:lineRule="auto"/>
        <w:jc w:val="both"/>
        <w:rPr>
          <w:rFonts w:asciiTheme="majorHAnsi" w:eastAsia="Calibri" w:hAnsiTheme="majorHAnsi" w:cstheme="majorHAnsi"/>
          <w:b/>
          <w:sz w:val="24"/>
          <w:szCs w:val="24"/>
        </w:rPr>
      </w:pPr>
    </w:p>
    <w:p w14:paraId="2F7A459C" w14:textId="449EED65" w:rsidR="005A74F5" w:rsidRPr="00373088" w:rsidRDefault="00373088" w:rsidP="00EE7DEC">
      <w:pPr>
        <w:spacing w:after="0" w:line="276" w:lineRule="auto"/>
        <w:jc w:val="both"/>
        <w:rPr>
          <w:rFonts w:asciiTheme="majorHAnsi" w:eastAsia="Calibri" w:hAnsiTheme="majorHAnsi" w:cstheme="majorHAnsi"/>
          <w:b/>
          <w:sz w:val="24"/>
          <w:szCs w:val="24"/>
        </w:rPr>
      </w:pPr>
      <w:r>
        <w:rPr>
          <w:rFonts w:asciiTheme="majorHAnsi" w:eastAsia="Calibri" w:hAnsiTheme="majorHAnsi" w:cstheme="majorHAnsi"/>
          <w:b/>
          <w:sz w:val="24"/>
          <w:szCs w:val="24"/>
        </w:rPr>
        <w:t xml:space="preserve">S1. </w:t>
      </w:r>
      <w:r w:rsidR="00432FC7" w:rsidRPr="00373088">
        <w:rPr>
          <w:rFonts w:asciiTheme="majorHAnsi" w:eastAsia="Calibri" w:hAnsiTheme="majorHAnsi" w:cstheme="majorHAnsi"/>
          <w:b/>
          <w:sz w:val="24"/>
          <w:szCs w:val="24"/>
        </w:rPr>
        <w:t>Monolithic silicon photonics platform capability</w:t>
      </w:r>
    </w:p>
    <w:p w14:paraId="5DA5FFF8" w14:textId="77777777" w:rsidR="005A74F5" w:rsidRPr="00373088" w:rsidRDefault="005A74F5" w:rsidP="00EE7DEC">
      <w:pPr>
        <w:spacing w:after="0" w:line="276" w:lineRule="auto"/>
        <w:jc w:val="both"/>
        <w:rPr>
          <w:rFonts w:asciiTheme="majorHAnsi" w:eastAsia="Calibri" w:hAnsiTheme="majorHAnsi" w:cstheme="majorHAnsi"/>
          <w:b/>
          <w:sz w:val="24"/>
          <w:szCs w:val="24"/>
        </w:rPr>
      </w:pPr>
    </w:p>
    <w:p w14:paraId="35476112" w14:textId="32420256" w:rsidR="00432FC7" w:rsidRPr="00373088" w:rsidRDefault="007A2E4F" w:rsidP="00965799">
      <w:pPr>
        <w:spacing w:after="0" w:line="276" w:lineRule="auto"/>
        <w:jc w:val="center"/>
        <w:rPr>
          <w:rFonts w:asciiTheme="majorHAnsi" w:eastAsia="Calibri" w:hAnsiTheme="majorHAnsi" w:cstheme="majorHAnsi"/>
          <w:b/>
          <w:sz w:val="24"/>
          <w:szCs w:val="24"/>
        </w:rPr>
      </w:pPr>
      <w:r w:rsidRPr="00373088">
        <w:rPr>
          <w:rFonts w:asciiTheme="majorHAnsi" w:eastAsia="Calibri" w:hAnsiTheme="majorHAnsi" w:cstheme="majorHAnsi"/>
          <w:b/>
          <w:noProof/>
          <w:sz w:val="24"/>
          <w:szCs w:val="24"/>
        </w:rPr>
        <w:drawing>
          <wp:inline distT="0" distB="0" distL="0" distR="0" wp14:anchorId="373BB810" wp14:editId="789CCC22">
            <wp:extent cx="5486400" cy="3973556"/>
            <wp:effectExtent l="0" t="0" r="0" b="8255"/>
            <wp:docPr id="95222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973556"/>
                    </a:xfrm>
                    <a:prstGeom prst="rect">
                      <a:avLst/>
                    </a:prstGeom>
                    <a:noFill/>
                  </pic:spPr>
                </pic:pic>
              </a:graphicData>
            </a:graphic>
          </wp:inline>
        </w:drawing>
      </w:r>
    </w:p>
    <w:p w14:paraId="56CA39B3" w14:textId="77777777" w:rsidR="00EC6FF2" w:rsidRPr="00373088" w:rsidRDefault="00EC6FF2" w:rsidP="00DF0334">
      <w:pPr>
        <w:spacing w:after="0" w:line="276" w:lineRule="auto"/>
        <w:jc w:val="both"/>
        <w:rPr>
          <w:rFonts w:asciiTheme="majorHAnsi" w:eastAsia="Calibri" w:hAnsiTheme="majorHAnsi" w:cstheme="majorHAnsi"/>
          <w:sz w:val="20"/>
          <w:szCs w:val="20"/>
        </w:rPr>
      </w:pPr>
    </w:p>
    <w:p w14:paraId="3E2CC9CD" w14:textId="776DAD1B" w:rsidR="00EC6FF2" w:rsidRPr="0004383D" w:rsidRDefault="00EC6FF2" w:rsidP="00EC6FF2">
      <w:pPr>
        <w:spacing w:after="0" w:line="276" w:lineRule="auto"/>
        <w:jc w:val="both"/>
        <w:rPr>
          <w:rFonts w:asciiTheme="majorHAnsi" w:eastAsia="Calibri" w:hAnsiTheme="majorHAnsi" w:cstheme="majorHAnsi"/>
          <w:sz w:val="20"/>
          <w:szCs w:val="20"/>
        </w:rPr>
      </w:pPr>
      <w:r w:rsidRPr="0004383D">
        <w:rPr>
          <w:rFonts w:asciiTheme="majorHAnsi" w:eastAsia="Calibri" w:hAnsiTheme="majorHAnsi" w:cstheme="majorHAnsi"/>
          <w:b/>
          <w:bCs/>
          <w:sz w:val="20"/>
          <w:szCs w:val="20"/>
        </w:rPr>
        <w:t>Supplementary Fig. 1 | Monolithic silicon photonics platform integrating</w:t>
      </w:r>
      <w:r w:rsidR="002E0BCD" w:rsidRPr="0004383D">
        <w:rPr>
          <w:rFonts w:asciiTheme="majorHAnsi" w:eastAsia="Calibri" w:hAnsiTheme="majorHAnsi" w:cstheme="majorHAnsi"/>
          <w:b/>
          <w:bCs/>
          <w:sz w:val="20"/>
          <w:szCs w:val="20"/>
        </w:rPr>
        <w:t xml:space="preserve"> advanced</w:t>
      </w:r>
      <w:r w:rsidRPr="0004383D">
        <w:rPr>
          <w:rFonts w:asciiTheme="majorHAnsi" w:eastAsia="Calibri" w:hAnsiTheme="majorHAnsi" w:cstheme="majorHAnsi"/>
          <w:b/>
          <w:bCs/>
          <w:sz w:val="20"/>
          <w:szCs w:val="20"/>
        </w:rPr>
        <w:t xml:space="preserve"> photonics, </w:t>
      </w:r>
      <w:r w:rsidR="002E0BCD" w:rsidRPr="0004383D">
        <w:rPr>
          <w:rFonts w:asciiTheme="majorHAnsi" w:eastAsia="Calibri" w:hAnsiTheme="majorHAnsi" w:cstheme="majorHAnsi"/>
          <w:b/>
          <w:bCs/>
          <w:sz w:val="20"/>
          <w:szCs w:val="20"/>
        </w:rPr>
        <w:t xml:space="preserve">CMOS </w:t>
      </w:r>
      <w:r w:rsidRPr="0004383D">
        <w:rPr>
          <w:rFonts w:asciiTheme="majorHAnsi" w:eastAsia="Calibri" w:hAnsiTheme="majorHAnsi" w:cstheme="majorHAnsi"/>
          <w:b/>
          <w:bCs/>
          <w:sz w:val="20"/>
          <w:szCs w:val="20"/>
        </w:rPr>
        <w:t xml:space="preserve">and packaging </w:t>
      </w:r>
      <w:r w:rsidR="002E0BCD" w:rsidRPr="0004383D">
        <w:rPr>
          <w:rFonts w:asciiTheme="majorHAnsi" w:eastAsia="Calibri" w:hAnsiTheme="majorHAnsi" w:cstheme="majorHAnsi"/>
          <w:b/>
          <w:bCs/>
          <w:sz w:val="20"/>
          <w:szCs w:val="20"/>
        </w:rPr>
        <w:t xml:space="preserve">features </w:t>
      </w:r>
      <w:r w:rsidRPr="0004383D">
        <w:rPr>
          <w:rFonts w:asciiTheme="majorHAnsi" w:eastAsia="Calibri" w:hAnsiTheme="majorHAnsi" w:cstheme="majorHAnsi"/>
          <w:b/>
          <w:bCs/>
          <w:sz w:val="20"/>
          <w:szCs w:val="20"/>
        </w:rPr>
        <w:t>on a single SOI substrate.</w:t>
      </w:r>
      <w:r w:rsidRPr="0004383D">
        <w:rPr>
          <w:rFonts w:asciiTheme="majorHAnsi" w:eastAsia="Calibri" w:hAnsiTheme="majorHAnsi" w:cstheme="majorHAnsi"/>
          <w:sz w:val="20"/>
          <w:szCs w:val="20"/>
        </w:rPr>
        <w:t xml:space="preserve"> </w:t>
      </w:r>
      <w:r w:rsidRPr="0004383D">
        <w:rPr>
          <w:rFonts w:asciiTheme="majorHAnsi" w:eastAsia="Calibri" w:hAnsiTheme="majorHAnsi" w:cstheme="majorHAnsi"/>
          <w:b/>
          <w:bCs/>
          <w:sz w:val="20"/>
          <w:szCs w:val="20"/>
        </w:rPr>
        <w:t>a,</w:t>
      </w:r>
      <w:r w:rsidRPr="0004383D">
        <w:rPr>
          <w:rFonts w:asciiTheme="majorHAnsi" w:eastAsia="Calibri" w:hAnsiTheme="majorHAnsi" w:cstheme="majorHAnsi"/>
          <w:sz w:val="20"/>
          <w:szCs w:val="20"/>
        </w:rPr>
        <w:t xml:space="preserve"> Schematic cross-section of the 300-mm platform showing co-integration of 45-nm CMOS transistors alongside silicon and silicon nitride</w:t>
      </w:r>
      <w:r w:rsidR="00E45390" w:rsidRPr="0004383D">
        <w:rPr>
          <w:rFonts w:asciiTheme="majorHAnsi" w:eastAsia="Calibri" w:hAnsiTheme="majorHAnsi" w:cstheme="majorHAnsi"/>
          <w:sz w:val="20"/>
          <w:szCs w:val="20"/>
        </w:rPr>
        <w:t>-based passive and active components</w:t>
      </w:r>
      <w:r w:rsidRPr="0004383D">
        <w:rPr>
          <w:rFonts w:asciiTheme="majorHAnsi" w:eastAsia="Calibri" w:hAnsiTheme="majorHAnsi" w:cstheme="majorHAnsi"/>
          <w:sz w:val="20"/>
          <w:szCs w:val="20"/>
        </w:rPr>
        <w:t>, beneath a multi-level BEOL interconnect stack fully compatible with standard CMOS manufacturing and optional electronic</w:t>
      </w:r>
      <w:r w:rsidR="00E45390" w:rsidRPr="0004383D">
        <w:rPr>
          <w:rFonts w:asciiTheme="majorHAnsi" w:eastAsia="Calibri" w:hAnsiTheme="majorHAnsi" w:cstheme="majorHAnsi"/>
          <w:sz w:val="20"/>
          <w:szCs w:val="20"/>
        </w:rPr>
        <w:t>-</w:t>
      </w:r>
      <w:r w:rsidRPr="0004383D">
        <w:rPr>
          <w:rFonts w:asciiTheme="majorHAnsi" w:eastAsia="Calibri" w:hAnsiTheme="majorHAnsi" w:cstheme="majorHAnsi"/>
          <w:sz w:val="20"/>
          <w:szCs w:val="20"/>
        </w:rPr>
        <w:t xml:space="preserve">photonic co-integration. </w:t>
      </w:r>
      <w:r w:rsidRPr="0004383D">
        <w:rPr>
          <w:rFonts w:asciiTheme="majorHAnsi" w:eastAsia="Calibri" w:hAnsiTheme="majorHAnsi" w:cstheme="majorHAnsi"/>
          <w:b/>
          <w:bCs/>
          <w:sz w:val="20"/>
          <w:szCs w:val="20"/>
        </w:rPr>
        <w:t>b</w:t>
      </w:r>
      <w:r w:rsidR="00DA0BC7">
        <w:rPr>
          <w:rFonts w:asciiTheme="majorHAnsi" w:eastAsia="Calibri" w:hAnsiTheme="majorHAnsi" w:cstheme="majorHAnsi"/>
          <w:b/>
          <w:bCs/>
          <w:sz w:val="20"/>
          <w:szCs w:val="20"/>
        </w:rPr>
        <w:t>-</w:t>
      </w:r>
      <w:r w:rsidRPr="0004383D">
        <w:rPr>
          <w:rFonts w:asciiTheme="majorHAnsi" w:eastAsia="Calibri" w:hAnsiTheme="majorHAnsi" w:cstheme="majorHAnsi"/>
          <w:b/>
          <w:bCs/>
          <w:sz w:val="20"/>
          <w:szCs w:val="20"/>
        </w:rPr>
        <w:t>f,</w:t>
      </w:r>
      <w:r w:rsidRPr="0004383D">
        <w:rPr>
          <w:rFonts w:asciiTheme="majorHAnsi" w:eastAsia="Calibri" w:hAnsiTheme="majorHAnsi" w:cstheme="majorHAnsi"/>
          <w:sz w:val="20"/>
          <w:szCs w:val="20"/>
        </w:rPr>
        <w:t xml:space="preserve"> Additional CMOS and photonics device features</w:t>
      </w:r>
      <w:r w:rsidR="00757B27" w:rsidRPr="0004383D">
        <w:rPr>
          <w:rFonts w:asciiTheme="majorHAnsi" w:eastAsia="Calibri" w:hAnsiTheme="majorHAnsi" w:cstheme="majorHAnsi"/>
          <w:sz w:val="20"/>
          <w:szCs w:val="20"/>
        </w:rPr>
        <w:t xml:space="preserve"> in addition to high speed Ge photodetectors</w:t>
      </w:r>
      <w:r w:rsidRPr="0004383D">
        <w:rPr>
          <w:rFonts w:asciiTheme="majorHAnsi" w:eastAsia="Calibri" w:hAnsiTheme="majorHAnsi" w:cstheme="majorHAnsi"/>
          <w:sz w:val="20"/>
          <w:szCs w:val="20"/>
        </w:rPr>
        <w:t>: high-speed transistors (</w:t>
      </w:r>
      <w:r w:rsidRPr="0004383D">
        <w:rPr>
          <w:rFonts w:asciiTheme="majorHAnsi" w:eastAsia="Calibri" w:hAnsiTheme="majorHAnsi" w:cstheme="majorHAnsi"/>
          <w:b/>
          <w:bCs/>
          <w:sz w:val="20"/>
          <w:szCs w:val="20"/>
        </w:rPr>
        <w:t>b</w:t>
      </w:r>
      <w:r w:rsidRPr="0004383D">
        <w:rPr>
          <w:rFonts w:asciiTheme="majorHAnsi" w:eastAsia="Calibri" w:hAnsiTheme="majorHAnsi" w:cstheme="majorHAnsi"/>
          <w:sz w:val="20"/>
          <w:szCs w:val="20"/>
        </w:rPr>
        <w:t>), pure-silicon modulators (MZM, MRM) (</w:t>
      </w:r>
      <w:r w:rsidRPr="0004383D">
        <w:rPr>
          <w:rFonts w:asciiTheme="majorHAnsi" w:eastAsia="Calibri" w:hAnsiTheme="majorHAnsi" w:cstheme="majorHAnsi"/>
          <w:b/>
          <w:bCs/>
          <w:sz w:val="20"/>
          <w:szCs w:val="20"/>
        </w:rPr>
        <w:t>c</w:t>
      </w:r>
      <w:r w:rsidRPr="0004383D">
        <w:rPr>
          <w:rFonts w:asciiTheme="majorHAnsi" w:eastAsia="Calibri" w:hAnsiTheme="majorHAnsi" w:cstheme="majorHAnsi"/>
          <w:sz w:val="20"/>
          <w:szCs w:val="20"/>
        </w:rPr>
        <w:t>), edge coupler with oxide-filled trench (</w:t>
      </w:r>
      <w:r w:rsidRPr="0004383D">
        <w:rPr>
          <w:rFonts w:asciiTheme="majorHAnsi" w:eastAsia="Calibri" w:hAnsiTheme="majorHAnsi" w:cstheme="majorHAnsi"/>
          <w:b/>
          <w:bCs/>
          <w:sz w:val="20"/>
          <w:szCs w:val="20"/>
        </w:rPr>
        <w:t>d</w:t>
      </w:r>
      <w:r w:rsidRPr="0004383D">
        <w:rPr>
          <w:rFonts w:asciiTheme="majorHAnsi" w:eastAsia="Calibri" w:hAnsiTheme="majorHAnsi" w:cstheme="majorHAnsi"/>
          <w:sz w:val="20"/>
          <w:szCs w:val="20"/>
        </w:rPr>
        <w:t>), silicon and silicon nitride passives including hybrid components such as the polarization splitter and rotator (PSR) (</w:t>
      </w:r>
      <w:r w:rsidRPr="0004383D">
        <w:rPr>
          <w:rFonts w:asciiTheme="majorHAnsi" w:eastAsia="Calibri" w:hAnsiTheme="majorHAnsi" w:cstheme="majorHAnsi"/>
          <w:b/>
          <w:bCs/>
          <w:sz w:val="20"/>
          <w:szCs w:val="20"/>
        </w:rPr>
        <w:t>e</w:t>
      </w:r>
      <w:r w:rsidRPr="0004383D">
        <w:rPr>
          <w:rFonts w:asciiTheme="majorHAnsi" w:eastAsia="Calibri" w:hAnsiTheme="majorHAnsi" w:cstheme="majorHAnsi"/>
          <w:sz w:val="20"/>
          <w:szCs w:val="20"/>
        </w:rPr>
        <w:t>), and sealed-undercut structure for optical and thermal isolation</w:t>
      </w:r>
      <w:r w:rsidR="00975580" w:rsidRPr="0004383D">
        <w:rPr>
          <w:rFonts w:asciiTheme="majorHAnsi" w:eastAsia="Calibri" w:hAnsiTheme="majorHAnsi" w:cstheme="majorHAnsi"/>
          <w:sz w:val="20"/>
          <w:szCs w:val="20"/>
        </w:rPr>
        <w:t>s</w:t>
      </w:r>
      <w:r w:rsidRPr="0004383D">
        <w:rPr>
          <w:rFonts w:asciiTheme="majorHAnsi" w:eastAsia="Calibri" w:hAnsiTheme="majorHAnsi" w:cstheme="majorHAnsi"/>
          <w:sz w:val="20"/>
          <w:szCs w:val="20"/>
        </w:rPr>
        <w:t xml:space="preserve"> (</w:t>
      </w:r>
      <w:r w:rsidRPr="0004383D">
        <w:rPr>
          <w:rFonts w:asciiTheme="majorHAnsi" w:eastAsia="Calibri" w:hAnsiTheme="majorHAnsi" w:cstheme="majorHAnsi"/>
          <w:b/>
          <w:bCs/>
          <w:sz w:val="20"/>
          <w:szCs w:val="20"/>
        </w:rPr>
        <w:t>f</w:t>
      </w:r>
      <w:r w:rsidRPr="0004383D">
        <w:rPr>
          <w:rFonts w:asciiTheme="majorHAnsi" w:eastAsia="Calibri" w:hAnsiTheme="majorHAnsi" w:cstheme="majorHAnsi"/>
          <w:sz w:val="20"/>
          <w:szCs w:val="20"/>
        </w:rPr>
        <w:t xml:space="preserve">). </w:t>
      </w:r>
      <w:r w:rsidRPr="0004383D">
        <w:rPr>
          <w:rFonts w:asciiTheme="majorHAnsi" w:eastAsia="Calibri" w:hAnsiTheme="majorHAnsi" w:cstheme="majorHAnsi"/>
          <w:b/>
          <w:bCs/>
          <w:sz w:val="20"/>
          <w:szCs w:val="20"/>
        </w:rPr>
        <w:t>g,</w:t>
      </w:r>
      <w:r w:rsidRPr="0004383D">
        <w:rPr>
          <w:rFonts w:asciiTheme="majorHAnsi" w:eastAsia="Calibri" w:hAnsiTheme="majorHAnsi" w:cstheme="majorHAnsi"/>
          <w:sz w:val="20"/>
          <w:szCs w:val="20"/>
        </w:rPr>
        <w:t xml:space="preserve"> Photograph of a packaged module with an electronic integrated circuit (EIC) flip-chip attached on top of the photonic integrated circuit (PIC), illustrating chip-to-chip electrical interconnects and V-groove-based optical I/O enabled by the platform's packaging infrastructure. </w:t>
      </w:r>
      <w:r w:rsidRPr="0004383D">
        <w:rPr>
          <w:rFonts w:asciiTheme="majorHAnsi" w:eastAsia="Calibri" w:hAnsiTheme="majorHAnsi" w:cstheme="majorHAnsi"/>
          <w:b/>
          <w:bCs/>
          <w:sz w:val="20"/>
          <w:szCs w:val="20"/>
        </w:rPr>
        <w:t>h</w:t>
      </w:r>
      <w:r w:rsidR="00DA0BC7">
        <w:rPr>
          <w:rFonts w:asciiTheme="majorHAnsi" w:eastAsia="Calibri" w:hAnsiTheme="majorHAnsi" w:cstheme="majorHAnsi"/>
          <w:b/>
          <w:bCs/>
          <w:sz w:val="20"/>
          <w:szCs w:val="20"/>
        </w:rPr>
        <w:t>-</w:t>
      </w:r>
      <w:r w:rsidRPr="0004383D">
        <w:rPr>
          <w:rFonts w:asciiTheme="majorHAnsi" w:eastAsia="Calibri" w:hAnsiTheme="majorHAnsi" w:cstheme="majorHAnsi"/>
          <w:b/>
          <w:bCs/>
          <w:sz w:val="20"/>
          <w:szCs w:val="20"/>
        </w:rPr>
        <w:t>k,</w:t>
      </w:r>
      <w:r w:rsidRPr="0004383D">
        <w:rPr>
          <w:rFonts w:asciiTheme="majorHAnsi" w:eastAsia="Calibri" w:hAnsiTheme="majorHAnsi" w:cstheme="majorHAnsi"/>
          <w:sz w:val="20"/>
          <w:szCs w:val="20"/>
        </w:rPr>
        <w:t xml:space="preserve"> Advanced packaging features, including top-level aluminium (Al) pads that serve as bond sites for wire bonding and as landing pads for on-wafer electrical probing and test access, copper pillar and copper receive pad interconnects (100–150 µm pitch, with ≤55 µm pitch in development), through-silicon vias (TSVs), and lithographically defined cavities for flip-chip attachment of III–V lasers and semiconductor optical amplifiers.</w:t>
      </w:r>
    </w:p>
    <w:p w14:paraId="22BABFCF" w14:textId="77777777" w:rsidR="00FC67DF" w:rsidRDefault="00FC67DF" w:rsidP="00EC6FF2">
      <w:pPr>
        <w:spacing w:after="0" w:line="276" w:lineRule="auto"/>
        <w:jc w:val="both"/>
        <w:rPr>
          <w:rFonts w:asciiTheme="majorHAnsi" w:eastAsia="Calibri" w:hAnsiTheme="majorHAnsi" w:cstheme="majorHAnsi"/>
          <w:sz w:val="20"/>
          <w:szCs w:val="20"/>
        </w:rPr>
      </w:pPr>
    </w:p>
    <w:p w14:paraId="574298D0" w14:textId="77777777" w:rsidR="00FC67DF" w:rsidRDefault="00FC67DF" w:rsidP="00FC67DF">
      <w:pPr>
        <w:spacing w:after="0" w:line="276" w:lineRule="auto"/>
        <w:jc w:val="both"/>
        <w:rPr>
          <w:rFonts w:asciiTheme="majorHAnsi" w:eastAsia="Calibri" w:hAnsiTheme="majorHAnsi" w:cstheme="majorHAnsi"/>
          <w:sz w:val="20"/>
          <w:szCs w:val="20"/>
        </w:rPr>
      </w:pPr>
      <w:r w:rsidRPr="00FC67DF">
        <w:rPr>
          <w:rFonts w:asciiTheme="majorHAnsi" w:eastAsia="Calibri" w:hAnsiTheme="majorHAnsi" w:cstheme="majorHAnsi"/>
          <w:b/>
          <w:bCs/>
          <w:sz w:val="20"/>
          <w:szCs w:val="20"/>
        </w:rPr>
        <w:t>Supplementary Fig. 1 | Monolithic silicon photonics platform integrating advanced photonics, CMOS and packaging features on a single SOI substrate.</w:t>
      </w:r>
    </w:p>
    <w:p w14:paraId="632CAB07" w14:textId="143DDE09" w:rsidR="00FC67DF" w:rsidRPr="00FC67DF" w:rsidRDefault="00FC67DF" w:rsidP="00FC67DF">
      <w:pPr>
        <w:spacing w:after="0" w:line="276" w:lineRule="auto"/>
        <w:jc w:val="both"/>
        <w:rPr>
          <w:rFonts w:asciiTheme="majorHAnsi" w:eastAsia="Calibri" w:hAnsiTheme="majorHAnsi" w:cstheme="majorHAnsi"/>
          <w:sz w:val="20"/>
          <w:szCs w:val="20"/>
        </w:rPr>
      </w:pPr>
      <w:r w:rsidRPr="00FC67DF">
        <w:rPr>
          <w:rFonts w:asciiTheme="majorHAnsi" w:eastAsia="Calibri" w:hAnsiTheme="majorHAnsi" w:cstheme="majorHAnsi"/>
          <w:b/>
          <w:bCs/>
          <w:sz w:val="20"/>
          <w:szCs w:val="20"/>
        </w:rPr>
        <w:t>a,</w:t>
      </w:r>
      <w:r w:rsidRPr="00FC67DF">
        <w:rPr>
          <w:rFonts w:asciiTheme="majorHAnsi" w:eastAsia="Calibri" w:hAnsiTheme="majorHAnsi" w:cstheme="majorHAnsi"/>
          <w:sz w:val="20"/>
          <w:szCs w:val="20"/>
        </w:rPr>
        <w:t xml:space="preserve"> Schematic cross</w:t>
      </w:r>
      <w:r w:rsidRPr="00FC67DF">
        <w:rPr>
          <w:rFonts w:asciiTheme="majorHAnsi" w:eastAsia="Calibri" w:hAnsiTheme="majorHAnsi" w:cstheme="majorHAnsi"/>
          <w:sz w:val="20"/>
          <w:szCs w:val="20"/>
        </w:rPr>
        <w:noBreakHyphen/>
        <w:t>section of the 300</w:t>
      </w:r>
      <w:r w:rsidRPr="00FC67DF">
        <w:rPr>
          <w:rFonts w:asciiTheme="majorHAnsi" w:eastAsia="Calibri" w:hAnsiTheme="majorHAnsi" w:cstheme="majorHAnsi"/>
          <w:sz w:val="20"/>
          <w:szCs w:val="20"/>
        </w:rPr>
        <w:noBreakHyphen/>
        <w:t>mm platform showing co</w:t>
      </w:r>
      <w:r w:rsidRPr="00FC67DF">
        <w:rPr>
          <w:rFonts w:asciiTheme="majorHAnsi" w:eastAsia="Calibri" w:hAnsiTheme="majorHAnsi" w:cstheme="majorHAnsi"/>
          <w:sz w:val="20"/>
          <w:szCs w:val="20"/>
        </w:rPr>
        <w:noBreakHyphen/>
        <w:t>integration of 45</w:t>
      </w:r>
      <w:r w:rsidRPr="00FC67DF">
        <w:rPr>
          <w:rFonts w:asciiTheme="majorHAnsi" w:eastAsia="Calibri" w:hAnsiTheme="majorHAnsi" w:cstheme="majorHAnsi"/>
          <w:sz w:val="20"/>
          <w:szCs w:val="20"/>
        </w:rPr>
        <w:noBreakHyphen/>
        <w:t>nm CMOS transistors alongside silicon</w:t>
      </w:r>
      <w:r w:rsidRPr="00FC67DF">
        <w:rPr>
          <w:rFonts w:asciiTheme="majorHAnsi" w:eastAsia="Calibri" w:hAnsiTheme="majorHAnsi" w:cstheme="majorHAnsi"/>
          <w:sz w:val="20"/>
          <w:szCs w:val="20"/>
        </w:rPr>
        <w:noBreakHyphen/>
        <w:t xml:space="preserve"> and silicon nitride</w:t>
      </w:r>
      <w:r w:rsidRPr="00FC67DF">
        <w:rPr>
          <w:rFonts w:asciiTheme="majorHAnsi" w:eastAsia="Calibri" w:hAnsiTheme="majorHAnsi" w:cstheme="majorHAnsi"/>
          <w:sz w:val="20"/>
          <w:szCs w:val="20"/>
        </w:rPr>
        <w:noBreakHyphen/>
        <w:t>based passive and active components, beneath a multi</w:t>
      </w:r>
      <w:r w:rsidRPr="00FC67DF">
        <w:rPr>
          <w:rFonts w:asciiTheme="majorHAnsi" w:eastAsia="Calibri" w:hAnsiTheme="majorHAnsi" w:cstheme="majorHAnsi"/>
          <w:sz w:val="20"/>
          <w:szCs w:val="20"/>
        </w:rPr>
        <w:noBreakHyphen/>
        <w:t>level BEOL interconnect stack supporting up to nine metallization layers for high</w:t>
      </w:r>
      <w:r w:rsidRPr="00FC67DF">
        <w:rPr>
          <w:rFonts w:asciiTheme="majorHAnsi" w:eastAsia="Calibri" w:hAnsiTheme="majorHAnsi" w:cstheme="majorHAnsi"/>
          <w:sz w:val="20"/>
          <w:szCs w:val="20"/>
        </w:rPr>
        <w:noBreakHyphen/>
        <w:t>frequency signal routing and electronic–photonic co</w:t>
      </w:r>
      <w:r w:rsidRPr="00FC67DF">
        <w:rPr>
          <w:rFonts w:asciiTheme="majorHAnsi" w:eastAsia="Calibri" w:hAnsiTheme="majorHAnsi" w:cstheme="majorHAnsi"/>
          <w:sz w:val="20"/>
          <w:szCs w:val="20"/>
        </w:rPr>
        <w:noBreakHyphen/>
        <w:t>integration compatibility. For standalone PIC implementations, the backend stack can be simplified to ≤5 metallization layers to reduce process complexity and cost while preserving photonic functionality.</w:t>
      </w:r>
      <w:r>
        <w:rPr>
          <w:rFonts w:asciiTheme="majorHAnsi" w:eastAsia="Calibri" w:hAnsiTheme="majorHAnsi" w:cstheme="majorHAnsi"/>
          <w:sz w:val="20"/>
          <w:szCs w:val="20"/>
        </w:rPr>
        <w:t xml:space="preserve"> </w:t>
      </w:r>
      <w:r w:rsidR="00237389">
        <w:rPr>
          <w:rFonts w:asciiTheme="majorHAnsi" w:eastAsia="Calibri" w:hAnsiTheme="majorHAnsi" w:cstheme="majorHAnsi"/>
          <w:b/>
          <w:bCs/>
          <w:sz w:val="20"/>
          <w:szCs w:val="20"/>
        </w:rPr>
        <w:t>b-</w:t>
      </w:r>
      <w:r w:rsidRPr="00FC67DF">
        <w:rPr>
          <w:rFonts w:asciiTheme="majorHAnsi" w:eastAsia="Calibri" w:hAnsiTheme="majorHAnsi" w:cstheme="majorHAnsi"/>
          <w:b/>
          <w:bCs/>
          <w:sz w:val="20"/>
          <w:szCs w:val="20"/>
        </w:rPr>
        <w:t>f,</w:t>
      </w:r>
      <w:r w:rsidRPr="00FC67DF">
        <w:rPr>
          <w:rFonts w:asciiTheme="majorHAnsi" w:eastAsia="Calibri" w:hAnsiTheme="majorHAnsi" w:cstheme="majorHAnsi"/>
          <w:sz w:val="20"/>
          <w:szCs w:val="20"/>
        </w:rPr>
        <w:t xml:space="preserve"> Additional CMOS and photonics device features beyond high</w:t>
      </w:r>
      <w:r w:rsidRPr="00FC67DF">
        <w:rPr>
          <w:rFonts w:asciiTheme="majorHAnsi" w:eastAsia="Calibri" w:hAnsiTheme="majorHAnsi" w:cstheme="majorHAnsi"/>
          <w:sz w:val="20"/>
          <w:szCs w:val="20"/>
        </w:rPr>
        <w:noBreakHyphen/>
        <w:t>speed Ge photodetectors: high</w:t>
      </w:r>
      <w:r w:rsidRPr="00FC67DF">
        <w:rPr>
          <w:rFonts w:asciiTheme="majorHAnsi" w:eastAsia="Calibri" w:hAnsiTheme="majorHAnsi" w:cstheme="majorHAnsi"/>
          <w:sz w:val="20"/>
          <w:szCs w:val="20"/>
        </w:rPr>
        <w:noBreakHyphen/>
        <w:t>speed transistors (</w:t>
      </w:r>
      <w:r w:rsidRPr="00FC67DF">
        <w:rPr>
          <w:rFonts w:asciiTheme="majorHAnsi" w:eastAsia="Calibri" w:hAnsiTheme="majorHAnsi" w:cstheme="majorHAnsi"/>
          <w:b/>
          <w:bCs/>
          <w:sz w:val="20"/>
          <w:szCs w:val="20"/>
        </w:rPr>
        <w:t>b</w:t>
      </w:r>
      <w:r w:rsidRPr="00FC67DF">
        <w:rPr>
          <w:rFonts w:asciiTheme="majorHAnsi" w:eastAsia="Calibri" w:hAnsiTheme="majorHAnsi" w:cstheme="majorHAnsi"/>
          <w:sz w:val="20"/>
          <w:szCs w:val="20"/>
        </w:rPr>
        <w:t>), pure</w:t>
      </w:r>
      <w:r w:rsidRPr="00FC67DF">
        <w:rPr>
          <w:rFonts w:asciiTheme="majorHAnsi" w:eastAsia="Calibri" w:hAnsiTheme="majorHAnsi" w:cstheme="majorHAnsi"/>
          <w:sz w:val="20"/>
          <w:szCs w:val="20"/>
        </w:rPr>
        <w:noBreakHyphen/>
        <w:t>silicon modulators (MZM, MRM) (</w:t>
      </w:r>
      <w:r w:rsidRPr="00FC67DF">
        <w:rPr>
          <w:rFonts w:asciiTheme="majorHAnsi" w:eastAsia="Calibri" w:hAnsiTheme="majorHAnsi" w:cstheme="majorHAnsi"/>
          <w:b/>
          <w:bCs/>
          <w:sz w:val="20"/>
          <w:szCs w:val="20"/>
        </w:rPr>
        <w:t>c</w:t>
      </w:r>
      <w:r w:rsidRPr="00FC67DF">
        <w:rPr>
          <w:rFonts w:asciiTheme="majorHAnsi" w:eastAsia="Calibri" w:hAnsiTheme="majorHAnsi" w:cstheme="majorHAnsi"/>
          <w:sz w:val="20"/>
          <w:szCs w:val="20"/>
        </w:rPr>
        <w:t>), edge coupler with oxide</w:t>
      </w:r>
      <w:r w:rsidRPr="00FC67DF">
        <w:rPr>
          <w:rFonts w:asciiTheme="majorHAnsi" w:eastAsia="Calibri" w:hAnsiTheme="majorHAnsi" w:cstheme="majorHAnsi"/>
          <w:sz w:val="20"/>
          <w:szCs w:val="20"/>
        </w:rPr>
        <w:noBreakHyphen/>
        <w:t>filled trench (</w:t>
      </w:r>
      <w:r w:rsidRPr="00FC67DF">
        <w:rPr>
          <w:rFonts w:asciiTheme="majorHAnsi" w:eastAsia="Calibri" w:hAnsiTheme="majorHAnsi" w:cstheme="majorHAnsi"/>
          <w:b/>
          <w:bCs/>
          <w:sz w:val="20"/>
          <w:szCs w:val="20"/>
        </w:rPr>
        <w:t>d</w:t>
      </w:r>
      <w:r w:rsidRPr="00FC67DF">
        <w:rPr>
          <w:rFonts w:asciiTheme="majorHAnsi" w:eastAsia="Calibri" w:hAnsiTheme="majorHAnsi" w:cstheme="majorHAnsi"/>
          <w:sz w:val="20"/>
          <w:szCs w:val="20"/>
        </w:rPr>
        <w:t>), silicon and silicon nitride passives including hybrid components such as the polarization splitter and rotator (PSR) (</w:t>
      </w:r>
      <w:r w:rsidRPr="00FC67DF">
        <w:rPr>
          <w:rFonts w:asciiTheme="majorHAnsi" w:eastAsia="Calibri" w:hAnsiTheme="majorHAnsi" w:cstheme="majorHAnsi"/>
          <w:b/>
          <w:bCs/>
          <w:sz w:val="20"/>
          <w:szCs w:val="20"/>
        </w:rPr>
        <w:t>e</w:t>
      </w:r>
      <w:r w:rsidRPr="00FC67DF">
        <w:rPr>
          <w:rFonts w:asciiTheme="majorHAnsi" w:eastAsia="Calibri" w:hAnsiTheme="majorHAnsi" w:cstheme="majorHAnsi"/>
          <w:sz w:val="20"/>
          <w:szCs w:val="20"/>
        </w:rPr>
        <w:t>), and sealed</w:t>
      </w:r>
      <w:r w:rsidRPr="00FC67DF">
        <w:rPr>
          <w:rFonts w:asciiTheme="majorHAnsi" w:eastAsia="Calibri" w:hAnsiTheme="majorHAnsi" w:cstheme="majorHAnsi"/>
          <w:sz w:val="20"/>
          <w:szCs w:val="20"/>
        </w:rPr>
        <w:noBreakHyphen/>
        <w:t>undercut structures for optical and thermal isolation (</w:t>
      </w:r>
      <w:r w:rsidRPr="00FC67DF">
        <w:rPr>
          <w:rFonts w:asciiTheme="majorHAnsi" w:eastAsia="Calibri" w:hAnsiTheme="majorHAnsi" w:cstheme="majorHAnsi"/>
          <w:b/>
          <w:bCs/>
          <w:sz w:val="20"/>
          <w:szCs w:val="20"/>
        </w:rPr>
        <w:t>f</w:t>
      </w:r>
      <w:r w:rsidRPr="00FC67DF">
        <w:rPr>
          <w:rFonts w:asciiTheme="majorHAnsi" w:eastAsia="Calibri" w:hAnsiTheme="majorHAnsi" w:cstheme="majorHAnsi"/>
          <w:sz w:val="20"/>
          <w:szCs w:val="20"/>
        </w:rPr>
        <w:t>).</w:t>
      </w:r>
      <w:r>
        <w:rPr>
          <w:rFonts w:asciiTheme="majorHAnsi" w:eastAsia="Calibri" w:hAnsiTheme="majorHAnsi" w:cstheme="majorHAnsi"/>
          <w:sz w:val="20"/>
          <w:szCs w:val="20"/>
        </w:rPr>
        <w:t xml:space="preserve"> </w:t>
      </w:r>
      <w:r w:rsidRPr="00FC67DF">
        <w:rPr>
          <w:rFonts w:asciiTheme="majorHAnsi" w:eastAsia="Calibri" w:hAnsiTheme="majorHAnsi" w:cstheme="majorHAnsi"/>
          <w:b/>
          <w:bCs/>
          <w:sz w:val="20"/>
          <w:szCs w:val="20"/>
        </w:rPr>
        <w:t>g,</w:t>
      </w:r>
      <w:r w:rsidRPr="00FC67DF">
        <w:rPr>
          <w:rFonts w:asciiTheme="majorHAnsi" w:eastAsia="Calibri" w:hAnsiTheme="majorHAnsi" w:cstheme="majorHAnsi"/>
          <w:sz w:val="20"/>
          <w:szCs w:val="20"/>
        </w:rPr>
        <w:t xml:space="preserve"> Photograph of a packaged module with an electronic integrated circuit (EIC) flip</w:t>
      </w:r>
      <w:r w:rsidRPr="00FC67DF">
        <w:rPr>
          <w:rFonts w:asciiTheme="majorHAnsi" w:eastAsia="Calibri" w:hAnsiTheme="majorHAnsi" w:cstheme="majorHAnsi"/>
          <w:sz w:val="20"/>
          <w:szCs w:val="20"/>
        </w:rPr>
        <w:noBreakHyphen/>
        <w:t>chip attached on top of the photonic integrated circuit (PIC), illustrating chip</w:t>
      </w:r>
      <w:r w:rsidRPr="00FC67DF">
        <w:rPr>
          <w:rFonts w:asciiTheme="majorHAnsi" w:eastAsia="Calibri" w:hAnsiTheme="majorHAnsi" w:cstheme="majorHAnsi"/>
          <w:sz w:val="20"/>
          <w:szCs w:val="20"/>
        </w:rPr>
        <w:noBreakHyphen/>
        <w:t>to</w:t>
      </w:r>
      <w:r w:rsidRPr="00FC67DF">
        <w:rPr>
          <w:rFonts w:asciiTheme="majorHAnsi" w:eastAsia="Calibri" w:hAnsiTheme="majorHAnsi" w:cstheme="majorHAnsi"/>
          <w:sz w:val="20"/>
          <w:szCs w:val="20"/>
        </w:rPr>
        <w:noBreakHyphen/>
        <w:t>chip electrical interconnects and V</w:t>
      </w:r>
      <w:r w:rsidRPr="00FC67DF">
        <w:rPr>
          <w:rFonts w:asciiTheme="majorHAnsi" w:eastAsia="Calibri" w:hAnsiTheme="majorHAnsi" w:cstheme="majorHAnsi"/>
          <w:sz w:val="20"/>
          <w:szCs w:val="20"/>
        </w:rPr>
        <w:noBreakHyphen/>
        <w:t>groove</w:t>
      </w:r>
      <w:r w:rsidRPr="00FC67DF">
        <w:rPr>
          <w:rFonts w:asciiTheme="majorHAnsi" w:eastAsia="Calibri" w:hAnsiTheme="majorHAnsi" w:cstheme="majorHAnsi"/>
          <w:sz w:val="20"/>
          <w:szCs w:val="20"/>
        </w:rPr>
        <w:noBreakHyphen/>
        <w:t>based optical I/O enabled by the platform's packaging infrastructure.</w:t>
      </w:r>
      <w:r>
        <w:rPr>
          <w:rFonts w:asciiTheme="majorHAnsi" w:eastAsia="Calibri" w:hAnsiTheme="majorHAnsi" w:cstheme="majorHAnsi"/>
          <w:sz w:val="20"/>
          <w:szCs w:val="20"/>
        </w:rPr>
        <w:t xml:space="preserve"> </w:t>
      </w:r>
      <w:r w:rsidRPr="00FC67DF">
        <w:rPr>
          <w:rFonts w:asciiTheme="majorHAnsi" w:eastAsia="Calibri" w:hAnsiTheme="majorHAnsi" w:cstheme="majorHAnsi"/>
          <w:b/>
          <w:bCs/>
          <w:sz w:val="20"/>
          <w:szCs w:val="20"/>
        </w:rPr>
        <w:t>h</w:t>
      </w:r>
      <w:r w:rsidR="00237389">
        <w:rPr>
          <w:rFonts w:asciiTheme="majorHAnsi" w:eastAsia="Calibri" w:hAnsiTheme="majorHAnsi" w:cstheme="majorHAnsi"/>
          <w:b/>
          <w:bCs/>
          <w:sz w:val="20"/>
          <w:szCs w:val="20"/>
        </w:rPr>
        <w:t>-</w:t>
      </w:r>
      <w:r w:rsidRPr="00FC67DF">
        <w:rPr>
          <w:rFonts w:asciiTheme="majorHAnsi" w:eastAsia="Calibri" w:hAnsiTheme="majorHAnsi" w:cstheme="majorHAnsi"/>
          <w:b/>
          <w:bCs/>
          <w:sz w:val="20"/>
          <w:szCs w:val="20"/>
        </w:rPr>
        <w:t>k,</w:t>
      </w:r>
      <w:r w:rsidRPr="00FC67DF">
        <w:rPr>
          <w:rFonts w:asciiTheme="majorHAnsi" w:eastAsia="Calibri" w:hAnsiTheme="majorHAnsi" w:cstheme="majorHAnsi"/>
          <w:sz w:val="20"/>
          <w:szCs w:val="20"/>
        </w:rPr>
        <w:t xml:space="preserve"> Advanced packaging features, including top</w:t>
      </w:r>
      <w:r w:rsidRPr="00FC67DF">
        <w:rPr>
          <w:rFonts w:asciiTheme="majorHAnsi" w:eastAsia="Calibri" w:hAnsiTheme="majorHAnsi" w:cstheme="majorHAnsi"/>
          <w:sz w:val="20"/>
          <w:szCs w:val="20"/>
        </w:rPr>
        <w:noBreakHyphen/>
        <w:t>level aluminium pads for wire bonding and probing, copper pillar and copper receive pad interconnects (100–150 µm pitch</w:t>
      </w:r>
      <w:r w:rsidR="00AC2518">
        <w:rPr>
          <w:rFonts w:asciiTheme="majorHAnsi" w:eastAsia="Calibri" w:hAnsiTheme="majorHAnsi" w:cstheme="majorHAnsi"/>
          <w:sz w:val="20"/>
          <w:szCs w:val="20"/>
        </w:rPr>
        <w:t xml:space="preserve"> and</w:t>
      </w:r>
      <w:r w:rsidRPr="00FC67DF">
        <w:rPr>
          <w:rFonts w:asciiTheme="majorHAnsi" w:eastAsia="Calibri" w:hAnsiTheme="majorHAnsi" w:cstheme="majorHAnsi"/>
          <w:sz w:val="20"/>
          <w:szCs w:val="20"/>
        </w:rPr>
        <w:t xml:space="preserve"> ≤55 µm pitch), through</w:t>
      </w:r>
      <w:r w:rsidRPr="00FC67DF">
        <w:rPr>
          <w:rFonts w:asciiTheme="majorHAnsi" w:eastAsia="Calibri" w:hAnsiTheme="majorHAnsi" w:cstheme="majorHAnsi"/>
          <w:sz w:val="20"/>
          <w:szCs w:val="20"/>
        </w:rPr>
        <w:noBreakHyphen/>
        <w:t>silicon vias (TSVs), and lithographically defined cavities for flip</w:t>
      </w:r>
      <w:r w:rsidRPr="00FC67DF">
        <w:rPr>
          <w:rFonts w:asciiTheme="majorHAnsi" w:eastAsia="Calibri" w:hAnsiTheme="majorHAnsi" w:cstheme="majorHAnsi"/>
          <w:sz w:val="20"/>
          <w:szCs w:val="20"/>
        </w:rPr>
        <w:noBreakHyphen/>
        <w:t>chip attachment of III–V lasers and semiconductor optical amplifiers.</w:t>
      </w:r>
    </w:p>
    <w:p w14:paraId="1FC721CF" w14:textId="77777777" w:rsidR="00FC67DF" w:rsidRPr="0004383D" w:rsidRDefault="00FC67DF" w:rsidP="00EC6FF2">
      <w:pPr>
        <w:spacing w:after="0" w:line="276" w:lineRule="auto"/>
        <w:jc w:val="both"/>
        <w:rPr>
          <w:rFonts w:asciiTheme="majorHAnsi" w:eastAsia="Calibri" w:hAnsiTheme="majorHAnsi" w:cstheme="majorHAnsi"/>
          <w:sz w:val="20"/>
          <w:szCs w:val="20"/>
        </w:rPr>
      </w:pPr>
    </w:p>
    <w:p w14:paraId="578D6A32" w14:textId="77777777" w:rsidR="00EC6FF2" w:rsidRPr="00373088" w:rsidRDefault="00EC6FF2" w:rsidP="00DF0334">
      <w:pPr>
        <w:spacing w:after="0" w:line="276" w:lineRule="auto"/>
        <w:jc w:val="both"/>
        <w:rPr>
          <w:rFonts w:asciiTheme="majorHAnsi" w:eastAsia="Calibri" w:hAnsiTheme="majorHAnsi" w:cstheme="majorHAnsi"/>
          <w:sz w:val="20"/>
          <w:szCs w:val="20"/>
        </w:rPr>
      </w:pPr>
    </w:p>
    <w:p w14:paraId="1615D718" w14:textId="4240CD60" w:rsidR="001D4111" w:rsidRDefault="00373088" w:rsidP="00CF6B03">
      <w:pPr>
        <w:pBdr>
          <w:top w:val="nil"/>
          <w:left w:val="nil"/>
          <w:bottom w:val="nil"/>
          <w:right w:val="nil"/>
          <w:between w:val="nil"/>
        </w:pBdr>
        <w:spacing w:after="0" w:line="216" w:lineRule="atLeast"/>
        <w:jc w:val="both"/>
        <w:rPr>
          <w:rFonts w:asciiTheme="majorHAnsi" w:eastAsia="Calibri" w:hAnsiTheme="majorHAnsi" w:cstheme="majorHAnsi"/>
          <w:b/>
          <w:sz w:val="24"/>
          <w:szCs w:val="24"/>
        </w:rPr>
      </w:pPr>
      <w:r>
        <w:rPr>
          <w:rFonts w:asciiTheme="majorHAnsi" w:eastAsia="Calibri" w:hAnsiTheme="majorHAnsi" w:cstheme="majorHAnsi"/>
          <w:b/>
          <w:sz w:val="24"/>
          <w:szCs w:val="24"/>
        </w:rPr>
        <w:t xml:space="preserve">S2. </w:t>
      </w:r>
      <w:r w:rsidR="001D4111" w:rsidRPr="00373088">
        <w:rPr>
          <w:rFonts w:asciiTheme="majorHAnsi" w:eastAsia="Calibri" w:hAnsiTheme="majorHAnsi" w:cstheme="majorHAnsi"/>
          <w:b/>
          <w:sz w:val="24"/>
          <w:szCs w:val="24"/>
        </w:rPr>
        <w:t xml:space="preserve">Wafer level measurement details including ILOTs, small and large signal measurements </w:t>
      </w:r>
    </w:p>
    <w:p w14:paraId="195462EE" w14:textId="77777777" w:rsidR="0004383D" w:rsidRDefault="0004383D" w:rsidP="00CF6B03">
      <w:pPr>
        <w:pBdr>
          <w:top w:val="nil"/>
          <w:left w:val="nil"/>
          <w:bottom w:val="nil"/>
          <w:right w:val="nil"/>
          <w:between w:val="nil"/>
        </w:pBdr>
        <w:spacing w:after="0" w:line="216" w:lineRule="atLeast"/>
        <w:jc w:val="both"/>
        <w:rPr>
          <w:rFonts w:asciiTheme="majorHAnsi" w:eastAsia="Calibri" w:hAnsiTheme="majorHAnsi" w:cstheme="majorHAnsi"/>
          <w:b/>
          <w:sz w:val="24"/>
          <w:szCs w:val="24"/>
        </w:rPr>
      </w:pPr>
    </w:p>
    <w:p w14:paraId="2C88BF8E" w14:textId="09D0B155" w:rsidR="00261A1C" w:rsidRPr="00373088" w:rsidRDefault="00D17E78" w:rsidP="00BD4631">
      <w:pPr>
        <w:spacing w:after="120" w:line="216" w:lineRule="atLeast"/>
        <w:jc w:val="both"/>
        <w:rPr>
          <w:rFonts w:asciiTheme="majorHAnsi" w:eastAsia="Calibri" w:hAnsiTheme="majorHAnsi" w:cstheme="majorHAnsi"/>
          <w:color w:val="000000" w:themeColor="text1"/>
          <w:sz w:val="24"/>
          <w:szCs w:val="24"/>
        </w:rPr>
      </w:pPr>
      <w:r>
        <w:rPr>
          <w:rFonts w:asciiTheme="majorHAnsi" w:eastAsia="Calibri" w:hAnsiTheme="majorHAnsi" w:cstheme="majorHAnsi"/>
          <w:b/>
          <w:bCs/>
          <w:color w:val="000000" w:themeColor="text1"/>
          <w:sz w:val="24"/>
          <w:szCs w:val="24"/>
        </w:rPr>
        <w:t xml:space="preserve">S2.1 </w:t>
      </w:r>
      <w:r w:rsidR="00261A1C" w:rsidRPr="00373088">
        <w:rPr>
          <w:rFonts w:asciiTheme="majorHAnsi" w:eastAsia="Calibri" w:hAnsiTheme="majorHAnsi" w:cstheme="majorHAnsi"/>
          <w:b/>
          <w:bCs/>
          <w:color w:val="000000" w:themeColor="text1"/>
          <w:sz w:val="24"/>
          <w:szCs w:val="24"/>
        </w:rPr>
        <w:t>Responsivity and dark current measurement methodology</w:t>
      </w:r>
      <w:r w:rsidR="00261A1C" w:rsidRPr="00373088">
        <w:rPr>
          <w:rFonts w:asciiTheme="majorHAnsi" w:eastAsia="Calibri" w:hAnsiTheme="majorHAnsi" w:cstheme="majorHAnsi"/>
          <w:color w:val="000000" w:themeColor="text1"/>
          <w:sz w:val="24"/>
          <w:szCs w:val="24"/>
        </w:rPr>
        <w:t xml:space="preserve"> </w:t>
      </w:r>
    </w:p>
    <w:p w14:paraId="152965B5" w14:textId="77777777" w:rsidR="00261A1C" w:rsidRPr="00A67C6A" w:rsidRDefault="00261A1C" w:rsidP="00CF6B03">
      <w:pPr>
        <w:spacing w:after="0" w:line="216" w:lineRule="atLeast"/>
        <w:jc w:val="both"/>
        <w:rPr>
          <w:rFonts w:asciiTheme="majorHAnsi" w:eastAsia="Calibri" w:hAnsiTheme="majorHAnsi" w:cstheme="majorBidi"/>
        </w:rPr>
      </w:pPr>
      <w:r w:rsidRPr="00373088">
        <w:rPr>
          <w:rFonts w:asciiTheme="majorHAnsi" w:eastAsia="Calibri" w:hAnsiTheme="majorHAnsi" w:cstheme="majorHAnsi"/>
        </w:rPr>
        <w:t xml:space="preserve">Accurate extraction of photodetector responsivity and dark current at wafer scale requires careful consideration of optical coupling variability and test structure design. Several measurement approaches are commonly employed in silicon photonics, including the use of dedicated input/output grating couplers per device/optical cutback structure, or shared coupling schemes combined with reference devices or dedicated optical cutbacks. Each approach involves different tradeoffs between accuracy, robustness, and suitability for high volume process monitoring. </w:t>
      </w:r>
      <w:r w:rsidRPr="00A67C6A">
        <w:rPr>
          <w:rFonts w:asciiTheme="majorHAnsi" w:eastAsia="Calibri" w:hAnsiTheme="majorHAnsi" w:cstheme="majorBidi"/>
        </w:rPr>
        <w:t xml:space="preserve"> </w:t>
      </w:r>
    </w:p>
    <w:p w14:paraId="702F904A" w14:textId="77777777" w:rsidR="00261A1C" w:rsidRPr="00373088" w:rsidRDefault="00261A1C" w:rsidP="00CF6B03">
      <w:pPr>
        <w:spacing w:after="0" w:line="216" w:lineRule="atLeast"/>
        <w:jc w:val="both"/>
        <w:rPr>
          <w:rFonts w:asciiTheme="majorHAnsi" w:eastAsia="Calibri" w:hAnsiTheme="majorHAnsi" w:cstheme="majorHAnsi"/>
          <w:color w:val="000000" w:themeColor="text1"/>
        </w:rPr>
      </w:pPr>
      <w:r w:rsidRPr="00373088">
        <w:rPr>
          <w:rFonts w:asciiTheme="majorHAnsi" w:eastAsia="Calibri" w:hAnsiTheme="majorHAnsi" w:cstheme="majorHAnsi"/>
          <w:color w:val="000000" w:themeColor="text1"/>
        </w:rPr>
        <w:t xml:space="preserve"> </w:t>
      </w:r>
    </w:p>
    <w:p w14:paraId="6BBF6848" w14:textId="594E8989" w:rsidR="00261A1C" w:rsidRPr="00373088" w:rsidRDefault="00261A1C" w:rsidP="00B15C66">
      <w:pPr>
        <w:spacing w:after="120" w:line="216" w:lineRule="atLeast"/>
        <w:jc w:val="both"/>
        <w:rPr>
          <w:rFonts w:asciiTheme="majorHAnsi" w:eastAsia="Calibri" w:hAnsiTheme="majorHAnsi" w:cstheme="majorHAnsi"/>
          <w:color w:val="000000" w:themeColor="text1"/>
        </w:rPr>
      </w:pPr>
      <w:r w:rsidRPr="00373088">
        <w:rPr>
          <w:rFonts w:asciiTheme="majorHAnsi" w:eastAsia="Calibri" w:hAnsiTheme="majorHAnsi" w:cstheme="majorHAnsi"/>
          <w:b/>
          <w:bCs/>
          <w:color w:val="000000" w:themeColor="text1"/>
        </w:rPr>
        <w:t>Dark current measurement considerations</w:t>
      </w:r>
      <w:r w:rsidRPr="00373088">
        <w:rPr>
          <w:rFonts w:asciiTheme="majorHAnsi" w:eastAsia="Calibri" w:hAnsiTheme="majorHAnsi" w:cstheme="majorHAnsi"/>
          <w:color w:val="000000" w:themeColor="text1"/>
        </w:rPr>
        <w:t xml:space="preserve"> </w:t>
      </w:r>
    </w:p>
    <w:p w14:paraId="291086AC" w14:textId="77777777" w:rsidR="00261A1C"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Dark current is measured electrically under reverse bias with the optical input blocked. Since dark current does not depend on optical coupling efficiency, it can be extracted directly without de-embedding. Measurements are performed at wafer level across multiple dies to assess distribution, outliers, and uniformity. The combination of low dark current and tight wafer scale distributions provides an important indicator of Ge material quality and junction integrity in a manufacturable process environment. </w:t>
      </w:r>
    </w:p>
    <w:p w14:paraId="7A0B3957" w14:textId="77777777" w:rsidR="00261A1C"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 </w:t>
      </w:r>
    </w:p>
    <w:p w14:paraId="737181CE" w14:textId="46026436" w:rsidR="00261A1C" w:rsidRPr="0035584E" w:rsidRDefault="00261A1C" w:rsidP="00B15C66">
      <w:pPr>
        <w:spacing w:after="120" w:line="216" w:lineRule="atLeast"/>
        <w:jc w:val="both"/>
        <w:rPr>
          <w:rFonts w:asciiTheme="majorHAnsi" w:eastAsia="Calibri" w:hAnsiTheme="majorHAnsi" w:cstheme="majorHAnsi"/>
          <w:b/>
          <w:bCs/>
          <w:color w:val="000000" w:themeColor="text1"/>
        </w:rPr>
      </w:pPr>
      <w:r w:rsidRPr="00373088">
        <w:rPr>
          <w:rFonts w:asciiTheme="majorHAnsi" w:eastAsia="Calibri" w:hAnsiTheme="majorHAnsi" w:cstheme="majorHAnsi"/>
          <w:b/>
          <w:bCs/>
        </w:rPr>
        <w:t>Responsivity measurement and extraction procedure</w:t>
      </w:r>
    </w:p>
    <w:p w14:paraId="2893EA13" w14:textId="7D67E348" w:rsidR="00261A1C" w:rsidRPr="00A67C6A" w:rsidRDefault="00261A1C" w:rsidP="00CF6B03">
      <w:pPr>
        <w:spacing w:after="0" w:line="216" w:lineRule="atLeast"/>
        <w:jc w:val="both"/>
        <w:rPr>
          <w:rFonts w:asciiTheme="majorHAnsi" w:eastAsia="Calibri" w:hAnsiTheme="majorHAnsi" w:cstheme="majorBidi"/>
        </w:rPr>
      </w:pPr>
      <w:r w:rsidRPr="54C2A180">
        <w:rPr>
          <w:rFonts w:asciiTheme="majorHAnsi" w:eastAsia="Calibri" w:hAnsiTheme="majorHAnsi" w:cstheme="majorBidi"/>
        </w:rPr>
        <w:t xml:space="preserve">Calculating the responsivity of a photodiode requires a measurement of net photocurrent </w:t>
      </w:r>
      <w:r w:rsidR="5B5E90FA" w:rsidRPr="3C5F09E9">
        <w:rPr>
          <w:rFonts w:asciiTheme="majorHAnsi" w:eastAsia="Calibri" w:hAnsiTheme="majorHAnsi" w:cstheme="majorBidi"/>
        </w:rPr>
        <w:t>(</w:t>
      </w:r>
      <w:r w:rsidR="5B5E90FA" w:rsidRPr="2F9F733A">
        <w:rPr>
          <w:rFonts w:asciiTheme="majorHAnsi" w:eastAsia="Calibri" w:hAnsiTheme="majorHAnsi" w:cstheme="majorBidi"/>
        </w:rPr>
        <w:t>total</w:t>
      </w:r>
      <w:r w:rsidR="5B5E90FA" w:rsidRPr="3C5F09E9">
        <w:rPr>
          <w:rFonts w:asciiTheme="majorHAnsi" w:eastAsia="Calibri" w:hAnsiTheme="majorHAnsi" w:cstheme="majorBidi"/>
        </w:rPr>
        <w:t xml:space="preserve"> current </w:t>
      </w:r>
      <w:r w:rsidR="14DAEB02" w:rsidRPr="2F9F733A">
        <w:rPr>
          <w:rFonts w:asciiTheme="majorHAnsi" w:eastAsia="Calibri" w:hAnsiTheme="majorHAnsi" w:cstheme="majorBidi"/>
        </w:rPr>
        <w:t>under</w:t>
      </w:r>
      <w:r w:rsidR="5B5E90FA" w:rsidRPr="2F9F733A">
        <w:rPr>
          <w:rFonts w:asciiTheme="majorHAnsi" w:eastAsia="Calibri" w:hAnsiTheme="majorHAnsi" w:cstheme="majorBidi"/>
        </w:rPr>
        <w:t xml:space="preserve"> illumination</w:t>
      </w:r>
      <w:r w:rsidRPr="2F9F733A" w:rsidDel="00261A1C">
        <w:rPr>
          <w:rFonts w:asciiTheme="majorHAnsi" w:eastAsia="Calibri" w:hAnsiTheme="majorHAnsi" w:cstheme="majorBidi"/>
        </w:rPr>
        <w:t xml:space="preserve"> </w:t>
      </w:r>
      <w:r w:rsidR="00010CF6">
        <w:rPr>
          <w:rFonts w:asciiTheme="majorHAnsi" w:eastAsia="Calibri" w:hAnsiTheme="majorHAnsi" w:cstheme="majorBidi"/>
        </w:rPr>
        <w:t>-</w:t>
      </w:r>
      <w:r w:rsidR="5B5E90FA" w:rsidRPr="2F9F733A">
        <w:rPr>
          <w:rFonts w:asciiTheme="majorHAnsi" w:eastAsia="Calibri" w:hAnsiTheme="majorHAnsi" w:cstheme="majorBidi"/>
        </w:rPr>
        <w:t xml:space="preserve"> dark current)</w:t>
      </w:r>
      <w:r w:rsidRPr="3C5F09E9">
        <w:rPr>
          <w:rFonts w:asciiTheme="majorHAnsi" w:eastAsia="Calibri" w:hAnsiTheme="majorHAnsi" w:cstheme="majorBidi"/>
        </w:rPr>
        <w:t xml:space="preserve"> </w:t>
      </w:r>
      <w:r w:rsidRPr="54C2A180">
        <w:rPr>
          <w:rFonts w:asciiTheme="majorHAnsi" w:eastAsia="Calibri" w:hAnsiTheme="majorHAnsi" w:cstheme="majorBidi"/>
        </w:rPr>
        <w:t>and an estimation of the optical power illuminating the junction, so as to populate the equation</w:t>
      </w:r>
      <w:r w:rsidR="00ED05F6" w:rsidRPr="00A67C6A">
        <w:rPr>
          <w:rFonts w:asciiTheme="majorHAnsi" w:eastAsia="Calibri" w:hAnsiTheme="majorHAnsi" w:cstheme="majorBidi"/>
        </w:rPr>
        <w:t xml:space="preserve"> </w:t>
      </w:r>
    </w:p>
    <w:p w14:paraId="36B26AE5" w14:textId="77777777" w:rsidR="00ED05F6" w:rsidRPr="00ED05F6" w:rsidRDefault="00ED05F6" w:rsidP="00CF6B03">
      <w:pPr>
        <w:spacing w:after="0" w:line="216" w:lineRule="atLeast"/>
        <w:jc w:val="both"/>
        <w:rPr>
          <w:rFonts w:asciiTheme="majorHAnsi" w:eastAsia="Calibri" w:hAnsiTheme="majorHAnsi" w:cstheme="majorHAnsi"/>
        </w:rPr>
      </w:pPr>
    </w:p>
    <w:p w14:paraId="4D879E30" w14:textId="0D3553C9" w:rsidR="00261A1C" w:rsidRDefault="00261A1C" w:rsidP="00B15C66">
      <w:pPr>
        <w:spacing w:after="0" w:line="216" w:lineRule="atLeast"/>
        <w:jc w:val="right"/>
        <w:rPr>
          <w:rFonts w:asciiTheme="majorHAnsi" w:eastAsia="Calibri" w:hAnsiTheme="majorHAnsi" w:cstheme="majorBidi"/>
        </w:rPr>
      </w:pPr>
      <m:oMath>
        <m:r>
          <w:rPr>
            <w:rFonts w:ascii="Cambria Math" w:eastAsia="Calibri" w:hAnsi="Cambria Math" w:cstheme="majorBidi"/>
          </w:rPr>
          <m:t>R</m:t>
        </m:r>
        <m:r>
          <m:rPr>
            <m:sty m:val="p"/>
          </m:rPr>
          <w:rPr>
            <w:rFonts w:ascii="Cambria Math" w:eastAsia="Calibri" w:hAnsi="Cambria Math" w:cstheme="majorBidi"/>
          </w:rPr>
          <m:t>=</m:t>
        </m:r>
        <m:f>
          <m:fPr>
            <m:ctrlPr>
              <w:rPr>
                <w:rFonts w:ascii="Cambria Math" w:eastAsia="Calibri" w:hAnsi="Cambria Math" w:cstheme="majorBidi"/>
              </w:rPr>
            </m:ctrlPr>
          </m:fPr>
          <m:num>
            <m:sSub>
              <m:sSubPr>
                <m:ctrlPr>
                  <w:rPr>
                    <w:rFonts w:ascii="Cambria Math" w:eastAsia="Calibri" w:hAnsi="Cambria Math" w:cstheme="majorBidi"/>
                  </w:rPr>
                </m:ctrlPr>
              </m:sSubPr>
              <m:e>
                <m:r>
                  <w:rPr>
                    <w:rFonts w:ascii="Cambria Math" w:eastAsia="Calibri" w:hAnsi="Cambria Math" w:cstheme="majorBidi"/>
                  </w:rPr>
                  <m:t>I</m:t>
                </m:r>
              </m:e>
              <m:sub>
                <m:r>
                  <w:rPr>
                    <w:rFonts w:ascii="Cambria Math" w:eastAsia="Calibri" w:hAnsi="Cambria Math" w:cstheme="majorBidi"/>
                  </w:rPr>
                  <m:t>photo</m:t>
                </m:r>
              </m:sub>
            </m:sSub>
          </m:num>
          <m:den>
            <m:sSub>
              <m:sSubPr>
                <m:ctrlPr>
                  <w:rPr>
                    <w:rFonts w:ascii="Cambria Math" w:eastAsia="Calibri" w:hAnsi="Cambria Math" w:cstheme="majorBidi"/>
                  </w:rPr>
                </m:ctrlPr>
              </m:sSubPr>
              <m:e>
                <m:r>
                  <w:rPr>
                    <w:rFonts w:ascii="Cambria Math" w:hAnsi="Cambria Math" w:cstheme="majorHAnsi"/>
                  </w:rPr>
                  <m:t>P</m:t>
                </m:r>
              </m:e>
              <m:sub>
                <m:r>
                  <w:rPr>
                    <w:rFonts w:ascii="Cambria Math" w:hAnsi="Cambria Math" w:cstheme="majorHAnsi"/>
                  </w:rPr>
                  <m:t>PD</m:t>
                </m:r>
              </m:sub>
            </m:sSub>
          </m:den>
        </m:f>
      </m:oMath>
      <w:r w:rsidRPr="00A67C6A">
        <w:rPr>
          <w:rFonts w:asciiTheme="majorHAnsi" w:eastAsia="Calibri" w:hAnsiTheme="majorHAnsi" w:cstheme="majorBidi"/>
        </w:rPr>
        <w:t xml:space="preserve"> </w:t>
      </w:r>
      <w:r w:rsidR="00B15C66">
        <w:rPr>
          <w:rFonts w:asciiTheme="majorHAnsi" w:eastAsia="Calibri" w:hAnsiTheme="majorHAnsi" w:cstheme="majorBidi"/>
        </w:rPr>
        <w:t xml:space="preserve">                                                                          </w:t>
      </w:r>
      <w:r w:rsidRPr="00A67C6A">
        <w:rPr>
          <w:rFonts w:asciiTheme="majorHAnsi" w:eastAsia="Calibri" w:hAnsiTheme="majorHAnsi" w:cstheme="majorBidi"/>
        </w:rPr>
        <w:t>(1)</w:t>
      </w:r>
      <w:r w:rsidR="00ED05F6">
        <w:rPr>
          <w:rFonts w:asciiTheme="majorHAnsi" w:eastAsia="Calibri" w:hAnsiTheme="majorHAnsi" w:cstheme="majorBidi"/>
        </w:rPr>
        <w:t xml:space="preserve"> </w:t>
      </w:r>
    </w:p>
    <w:p w14:paraId="1681E1C4" w14:textId="77777777" w:rsidR="00ED05F6" w:rsidRPr="00A67C6A" w:rsidRDefault="00ED05F6" w:rsidP="00CF6B03">
      <w:pPr>
        <w:spacing w:after="0" w:line="216" w:lineRule="atLeast"/>
        <w:jc w:val="center"/>
        <w:rPr>
          <w:rFonts w:asciiTheme="majorHAnsi" w:eastAsia="Calibri" w:hAnsiTheme="majorHAnsi" w:cstheme="majorBidi"/>
        </w:rPr>
      </w:pPr>
    </w:p>
    <w:p w14:paraId="66CC759F" w14:textId="77777777" w:rsidR="00F875D1" w:rsidRPr="00F875D1"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This requ</w:t>
      </w:r>
      <w:r w:rsidRPr="0035584E">
        <w:rPr>
          <w:rFonts w:asciiTheme="majorHAnsi" w:eastAsia="Calibri" w:hAnsiTheme="majorHAnsi" w:cstheme="majorHAnsi"/>
        </w:rPr>
        <w:t xml:space="preserve">ires multiple measurements, and careful consideration regarding potential variations in test conditions between those measurements. At a minimum, this requires one optical-to-optical measurement for path loss, as well as one optical-to-electrical measurement for photocurrent in conjunction with the dark current measurement taken with the optical power supply shuttered. </w:t>
      </w:r>
    </w:p>
    <w:p w14:paraId="73523317" w14:textId="77777777" w:rsidR="00F875D1" w:rsidRPr="00373088" w:rsidRDefault="00F875D1" w:rsidP="00F875D1">
      <w:pPr>
        <w:pBdr>
          <w:top w:val="nil"/>
          <w:left w:val="nil"/>
          <w:bottom w:val="nil"/>
          <w:right w:val="nil"/>
          <w:between w:val="nil"/>
        </w:pBdr>
        <w:spacing w:after="0" w:line="240" w:lineRule="auto"/>
        <w:jc w:val="both"/>
        <w:rPr>
          <w:rFonts w:asciiTheme="majorHAnsi" w:eastAsia="Calibri" w:hAnsiTheme="majorHAnsi" w:cstheme="majorHAnsi"/>
          <w:b/>
          <w:sz w:val="24"/>
          <w:szCs w:val="24"/>
        </w:rPr>
      </w:pPr>
    </w:p>
    <w:p w14:paraId="337EF5BD" w14:textId="313D66CE" w:rsidR="00F875D1" w:rsidRPr="00373088" w:rsidRDefault="004871A7" w:rsidP="00F875D1">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Pr>
          <w:rFonts w:asciiTheme="majorHAnsi" w:eastAsia="Calibri" w:hAnsiTheme="majorHAnsi" w:cstheme="majorHAnsi"/>
          <w:b/>
          <w:noProof/>
          <w:sz w:val="24"/>
          <w:szCs w:val="24"/>
        </w:rPr>
        <w:drawing>
          <wp:inline distT="0" distB="0" distL="0" distR="0" wp14:anchorId="01B1CFE4" wp14:editId="4E99AD5E">
            <wp:extent cx="5486400" cy="3382985"/>
            <wp:effectExtent l="0" t="0" r="0" b="8255"/>
            <wp:docPr id="117441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382985"/>
                    </a:xfrm>
                    <a:prstGeom prst="rect">
                      <a:avLst/>
                    </a:prstGeom>
                    <a:noFill/>
                  </pic:spPr>
                </pic:pic>
              </a:graphicData>
            </a:graphic>
          </wp:inline>
        </w:drawing>
      </w:r>
    </w:p>
    <w:p w14:paraId="076EF8BB" w14:textId="77777777" w:rsidR="00F875D1" w:rsidRPr="00373088" w:rsidRDefault="00F875D1" w:rsidP="00F875D1">
      <w:pPr>
        <w:pBdr>
          <w:top w:val="nil"/>
          <w:left w:val="nil"/>
          <w:bottom w:val="nil"/>
          <w:right w:val="nil"/>
          <w:between w:val="nil"/>
        </w:pBdr>
        <w:spacing w:after="0" w:line="240" w:lineRule="auto"/>
        <w:jc w:val="both"/>
        <w:rPr>
          <w:rFonts w:asciiTheme="majorHAnsi" w:eastAsia="Calibri" w:hAnsiTheme="majorHAnsi" w:cstheme="majorHAnsi"/>
          <w:b/>
          <w:bCs/>
        </w:rPr>
      </w:pPr>
    </w:p>
    <w:p w14:paraId="610CF44B" w14:textId="77777777" w:rsidR="00727EE6" w:rsidRDefault="004D049D" w:rsidP="004D049D">
      <w:pPr>
        <w:pBdr>
          <w:top w:val="nil"/>
          <w:left w:val="nil"/>
          <w:bottom w:val="nil"/>
          <w:right w:val="nil"/>
          <w:between w:val="nil"/>
        </w:pBdr>
        <w:spacing w:after="0" w:line="240" w:lineRule="auto"/>
        <w:jc w:val="both"/>
        <w:rPr>
          <w:rFonts w:asciiTheme="majorHAnsi" w:eastAsia="Calibri" w:hAnsiTheme="majorHAnsi" w:cstheme="majorHAnsi"/>
          <w:b/>
          <w:bCs/>
          <w:sz w:val="20"/>
          <w:szCs w:val="20"/>
        </w:rPr>
      </w:pPr>
      <w:r w:rsidRPr="004D049D">
        <w:rPr>
          <w:rFonts w:asciiTheme="majorHAnsi" w:eastAsia="Calibri" w:hAnsiTheme="majorHAnsi" w:cstheme="majorHAnsi"/>
          <w:b/>
          <w:bCs/>
          <w:sz w:val="20"/>
          <w:szCs w:val="20"/>
        </w:rPr>
        <w:t>Supplementary Fig. 2 | Wafer</w:t>
      </w:r>
      <w:r w:rsidRPr="004D049D">
        <w:rPr>
          <w:rFonts w:asciiTheme="majorHAnsi" w:eastAsia="Calibri" w:hAnsiTheme="majorHAnsi" w:cstheme="majorHAnsi"/>
          <w:b/>
          <w:bCs/>
          <w:sz w:val="20"/>
          <w:szCs w:val="20"/>
        </w:rPr>
        <w:noBreakHyphen/>
        <w:t>level ILOTS measurement setup and optimized test structures for Ge</w:t>
      </w:r>
      <w:r w:rsidRPr="004D049D">
        <w:rPr>
          <w:rFonts w:asciiTheme="majorHAnsi" w:eastAsia="Calibri" w:hAnsiTheme="majorHAnsi" w:cstheme="majorHAnsi"/>
          <w:b/>
          <w:bCs/>
          <w:sz w:val="20"/>
          <w:szCs w:val="20"/>
        </w:rPr>
        <w:noBreakHyphen/>
        <w:t>on</w:t>
      </w:r>
      <w:r w:rsidRPr="004D049D">
        <w:rPr>
          <w:rFonts w:asciiTheme="majorHAnsi" w:eastAsia="Calibri" w:hAnsiTheme="majorHAnsi" w:cstheme="majorHAnsi"/>
          <w:b/>
          <w:bCs/>
          <w:sz w:val="20"/>
          <w:szCs w:val="20"/>
        </w:rPr>
        <w:noBreakHyphen/>
        <w:t>Si photodetector characterization.</w:t>
      </w:r>
    </w:p>
    <w:p w14:paraId="1904E1DF" w14:textId="1921EDAF" w:rsidR="004D049D" w:rsidRPr="00B05714" w:rsidRDefault="004D049D" w:rsidP="004D049D">
      <w:pPr>
        <w:pBdr>
          <w:top w:val="nil"/>
          <w:left w:val="nil"/>
          <w:bottom w:val="nil"/>
          <w:right w:val="nil"/>
          <w:between w:val="nil"/>
        </w:pBdr>
        <w:spacing w:after="0" w:line="240" w:lineRule="auto"/>
        <w:jc w:val="both"/>
        <w:rPr>
          <w:rFonts w:asciiTheme="majorHAnsi" w:eastAsia="Calibri" w:hAnsiTheme="majorHAnsi" w:cstheme="majorHAnsi"/>
          <w:b/>
          <w:bCs/>
          <w:sz w:val="20"/>
          <w:szCs w:val="20"/>
        </w:rPr>
      </w:pPr>
      <w:r w:rsidRPr="004D049D">
        <w:rPr>
          <w:rFonts w:asciiTheme="majorHAnsi" w:eastAsia="Calibri" w:hAnsiTheme="majorHAnsi" w:cstheme="majorHAnsi"/>
          <w:b/>
          <w:bCs/>
          <w:sz w:val="20"/>
          <w:szCs w:val="20"/>
        </w:rPr>
        <w:t>a,</w:t>
      </w:r>
      <w:r w:rsidRPr="004D049D">
        <w:rPr>
          <w:rFonts w:asciiTheme="majorHAnsi" w:eastAsia="Calibri" w:hAnsiTheme="majorHAnsi" w:cstheme="majorHAnsi"/>
          <w:sz w:val="20"/>
          <w:szCs w:val="20"/>
        </w:rPr>
        <w:t xml:space="preserve"> Schematic of the in</w:t>
      </w:r>
      <w:r w:rsidRPr="004D049D">
        <w:rPr>
          <w:rFonts w:asciiTheme="majorHAnsi" w:eastAsia="Calibri" w:hAnsiTheme="majorHAnsi" w:cstheme="majorHAnsi"/>
          <w:sz w:val="20"/>
          <w:szCs w:val="20"/>
        </w:rPr>
        <w:noBreakHyphen/>
        <w:t>line optical test system (ILOTS) used for wafer</w:t>
      </w:r>
      <w:r w:rsidRPr="004D049D">
        <w:rPr>
          <w:rFonts w:asciiTheme="majorHAnsi" w:eastAsia="Calibri" w:hAnsiTheme="majorHAnsi" w:cstheme="majorHAnsi"/>
          <w:sz w:val="20"/>
          <w:szCs w:val="20"/>
        </w:rPr>
        <w:noBreakHyphen/>
        <w:t>level electrical and optoelectronic characterization, incorporating calibrated optical source, attenuation and polarization control, together with electrical probing of the device under test</w:t>
      </w:r>
      <w:r>
        <w:rPr>
          <w:rFonts w:asciiTheme="majorHAnsi" w:eastAsia="Calibri" w:hAnsiTheme="majorHAnsi" w:cstheme="majorHAnsi"/>
          <w:sz w:val="20"/>
          <w:szCs w:val="20"/>
        </w:rPr>
        <w:t xml:space="preserve">. </w:t>
      </w:r>
      <w:r w:rsidRPr="004D049D">
        <w:rPr>
          <w:rFonts w:asciiTheme="majorHAnsi" w:eastAsia="Calibri" w:hAnsiTheme="majorHAnsi" w:cstheme="majorHAnsi"/>
          <w:b/>
          <w:bCs/>
          <w:sz w:val="20"/>
          <w:szCs w:val="20"/>
        </w:rPr>
        <w:t>b,</w:t>
      </w:r>
      <w:r w:rsidRPr="004D049D">
        <w:rPr>
          <w:rFonts w:asciiTheme="majorHAnsi" w:eastAsia="Calibri" w:hAnsiTheme="majorHAnsi" w:cstheme="majorHAnsi"/>
          <w:sz w:val="20"/>
          <w:szCs w:val="20"/>
        </w:rPr>
        <w:t xml:space="preserve"> Photograph of the wafer</w:t>
      </w:r>
      <w:r w:rsidRPr="004D049D">
        <w:rPr>
          <w:rFonts w:asciiTheme="majorHAnsi" w:eastAsia="Calibri" w:hAnsiTheme="majorHAnsi" w:cstheme="majorHAnsi"/>
          <w:sz w:val="20"/>
          <w:szCs w:val="20"/>
        </w:rPr>
        <w:noBreakHyphen/>
        <w:t>level measurement configuration, showing fiber</w:t>
      </w:r>
      <w:r w:rsidRPr="004D049D">
        <w:rPr>
          <w:rFonts w:asciiTheme="majorHAnsi" w:eastAsia="Calibri" w:hAnsiTheme="majorHAnsi" w:cstheme="majorHAnsi"/>
          <w:sz w:val="20"/>
          <w:szCs w:val="20"/>
        </w:rPr>
        <w:noBreakHyphen/>
        <w:t>based optical coupling and electrical probe card contact on a 300</w:t>
      </w:r>
      <w:r w:rsidRPr="004D049D">
        <w:rPr>
          <w:rFonts w:asciiTheme="majorHAnsi" w:eastAsia="Calibri" w:hAnsiTheme="majorHAnsi" w:cstheme="majorHAnsi"/>
          <w:sz w:val="20"/>
          <w:szCs w:val="20"/>
        </w:rPr>
        <w:noBreakHyphen/>
        <w:t>mm silicon photonics wafer.</w:t>
      </w:r>
      <w:r>
        <w:rPr>
          <w:rFonts w:asciiTheme="majorHAnsi" w:eastAsia="Calibri" w:hAnsiTheme="majorHAnsi" w:cstheme="majorHAnsi"/>
          <w:sz w:val="20"/>
          <w:szCs w:val="20"/>
        </w:rPr>
        <w:t xml:space="preserve"> </w:t>
      </w:r>
      <w:r w:rsidRPr="004D049D">
        <w:rPr>
          <w:rFonts w:asciiTheme="majorHAnsi" w:eastAsia="Calibri" w:hAnsiTheme="majorHAnsi" w:cstheme="majorHAnsi"/>
          <w:b/>
          <w:bCs/>
          <w:sz w:val="20"/>
          <w:szCs w:val="20"/>
        </w:rPr>
        <w:t>c,</w:t>
      </w:r>
      <w:r w:rsidRPr="004D049D">
        <w:rPr>
          <w:rFonts w:asciiTheme="majorHAnsi" w:eastAsia="Calibri" w:hAnsiTheme="majorHAnsi" w:cstheme="majorHAnsi"/>
          <w:sz w:val="20"/>
          <w:szCs w:val="20"/>
        </w:rPr>
        <w:t xml:space="preserve"> Conventional test structure employing paired photodiode and loss</w:t>
      </w:r>
      <w:r w:rsidRPr="004D049D">
        <w:rPr>
          <w:rFonts w:asciiTheme="majorHAnsi" w:eastAsia="Calibri" w:hAnsiTheme="majorHAnsi" w:cstheme="majorHAnsi"/>
          <w:sz w:val="20"/>
          <w:szCs w:val="20"/>
        </w:rPr>
        <w:noBreakHyphen/>
        <w:t>matched reference paths, requiring independent optical alignment for each device under test.</w:t>
      </w:r>
      <w:r>
        <w:rPr>
          <w:rFonts w:asciiTheme="majorHAnsi" w:eastAsia="Calibri" w:hAnsiTheme="majorHAnsi" w:cstheme="majorHAnsi"/>
          <w:sz w:val="20"/>
          <w:szCs w:val="20"/>
        </w:rPr>
        <w:t xml:space="preserve"> </w:t>
      </w:r>
      <w:r w:rsidRPr="004D049D">
        <w:rPr>
          <w:rFonts w:asciiTheme="majorHAnsi" w:eastAsia="Calibri" w:hAnsiTheme="majorHAnsi" w:cstheme="majorHAnsi"/>
          <w:b/>
          <w:bCs/>
          <w:sz w:val="20"/>
          <w:szCs w:val="20"/>
        </w:rPr>
        <w:t>d,</w:t>
      </w:r>
      <w:r w:rsidRPr="004D049D">
        <w:rPr>
          <w:rFonts w:asciiTheme="majorHAnsi" w:eastAsia="Calibri" w:hAnsiTheme="majorHAnsi" w:cstheme="majorHAnsi"/>
          <w:sz w:val="20"/>
          <w:szCs w:val="20"/>
        </w:rPr>
        <w:t xml:space="preserve"> Optimized shared</w:t>
      </w:r>
      <w:r w:rsidRPr="004D049D">
        <w:rPr>
          <w:rFonts w:asciiTheme="majorHAnsi" w:eastAsia="Calibri" w:hAnsiTheme="majorHAnsi" w:cstheme="majorHAnsi"/>
          <w:sz w:val="20"/>
          <w:szCs w:val="20"/>
        </w:rPr>
        <w:noBreakHyphen/>
        <w:t>alignment test structure enabling simultaneous reference and device measurement within a single optical alignment.</w:t>
      </w:r>
      <w:r>
        <w:rPr>
          <w:rFonts w:asciiTheme="majorHAnsi" w:eastAsia="Calibri" w:hAnsiTheme="majorHAnsi" w:cstheme="majorHAnsi"/>
          <w:sz w:val="20"/>
          <w:szCs w:val="20"/>
        </w:rPr>
        <w:t xml:space="preserve"> </w:t>
      </w:r>
      <w:r w:rsidRPr="004D049D">
        <w:rPr>
          <w:rFonts w:asciiTheme="majorHAnsi" w:eastAsia="Calibri" w:hAnsiTheme="majorHAnsi" w:cstheme="majorHAnsi"/>
          <w:b/>
          <w:bCs/>
          <w:sz w:val="20"/>
          <w:szCs w:val="20"/>
        </w:rPr>
        <w:t>e,</w:t>
      </w:r>
      <w:r w:rsidRPr="004D049D">
        <w:rPr>
          <w:rFonts w:asciiTheme="majorHAnsi" w:eastAsia="Calibri" w:hAnsiTheme="majorHAnsi" w:cstheme="majorHAnsi"/>
          <w:sz w:val="20"/>
          <w:szCs w:val="20"/>
        </w:rPr>
        <w:t xml:space="preserve"> ILOTS macro design adopted in this work</w:t>
      </w:r>
      <w:r>
        <w:rPr>
          <w:rFonts w:asciiTheme="majorHAnsi" w:eastAsia="Calibri" w:hAnsiTheme="majorHAnsi" w:cstheme="majorHAnsi"/>
          <w:sz w:val="20"/>
          <w:szCs w:val="20"/>
        </w:rPr>
        <w:t xml:space="preserve"> for </w:t>
      </w:r>
      <w:r w:rsidR="00177119">
        <w:rPr>
          <w:rFonts w:asciiTheme="majorHAnsi" w:eastAsia="Calibri" w:hAnsiTheme="majorHAnsi" w:cstheme="majorHAnsi"/>
          <w:sz w:val="20"/>
          <w:szCs w:val="20"/>
        </w:rPr>
        <w:t>ultra-high-speed Ge PD mea</w:t>
      </w:r>
      <w:r w:rsidR="0045153E">
        <w:rPr>
          <w:rFonts w:asciiTheme="majorHAnsi" w:eastAsia="Calibri" w:hAnsiTheme="majorHAnsi" w:cstheme="majorHAnsi"/>
          <w:sz w:val="20"/>
          <w:szCs w:val="20"/>
        </w:rPr>
        <w:t>sureme</w:t>
      </w:r>
      <w:r w:rsidR="00177119">
        <w:rPr>
          <w:rFonts w:asciiTheme="majorHAnsi" w:eastAsia="Calibri" w:hAnsiTheme="majorHAnsi" w:cstheme="majorHAnsi"/>
          <w:sz w:val="20"/>
          <w:szCs w:val="20"/>
        </w:rPr>
        <w:t>nts</w:t>
      </w:r>
      <w:r w:rsidRPr="004D049D">
        <w:rPr>
          <w:rFonts w:asciiTheme="majorHAnsi" w:eastAsia="Calibri" w:hAnsiTheme="majorHAnsi" w:cstheme="majorHAnsi"/>
          <w:sz w:val="20"/>
          <w:szCs w:val="20"/>
        </w:rPr>
        <w:t>, combining a shared reference path with multiple photodetectors and on</w:t>
      </w:r>
      <w:r w:rsidRPr="004D049D">
        <w:rPr>
          <w:rFonts w:asciiTheme="majorHAnsi" w:eastAsia="Calibri" w:hAnsiTheme="majorHAnsi" w:cstheme="majorHAnsi"/>
          <w:sz w:val="20"/>
          <w:szCs w:val="20"/>
        </w:rPr>
        <w:noBreakHyphen/>
        <w:t>chip splitting to reduce alignment steps while maintaining measurement accuracy, enabling efficient wafer</w:t>
      </w:r>
      <w:r w:rsidRPr="004D049D">
        <w:rPr>
          <w:rFonts w:asciiTheme="majorHAnsi" w:eastAsia="Calibri" w:hAnsiTheme="majorHAnsi" w:cstheme="majorHAnsi"/>
          <w:sz w:val="20"/>
          <w:szCs w:val="20"/>
        </w:rPr>
        <w:noBreakHyphen/>
        <w:t>scale statistical characterization.</w:t>
      </w:r>
    </w:p>
    <w:p w14:paraId="550D1E5A" w14:textId="77777777" w:rsidR="00F875D1" w:rsidRPr="00147426" w:rsidRDefault="00F875D1" w:rsidP="00CF6B03">
      <w:pPr>
        <w:spacing w:after="0" w:line="216" w:lineRule="atLeast"/>
        <w:jc w:val="both"/>
        <w:rPr>
          <w:rFonts w:ascii="Calibri" w:eastAsia="Times New Roman" w:hAnsi="Calibri" w:cs="Calibri"/>
        </w:rPr>
      </w:pPr>
    </w:p>
    <w:p w14:paraId="017A15C0" w14:textId="0E9C5B29" w:rsidR="00F875D1" w:rsidRDefault="00F875D1" w:rsidP="00F875D1">
      <w:pPr>
        <w:spacing w:after="0" w:line="216" w:lineRule="atLeast"/>
        <w:jc w:val="both"/>
        <w:rPr>
          <w:rFonts w:ascii="Calibri" w:eastAsia="Calibri" w:hAnsi="Calibri" w:cs="Calibri"/>
        </w:rPr>
      </w:pPr>
      <w:r w:rsidRPr="0035584E">
        <w:rPr>
          <w:rFonts w:asciiTheme="majorHAnsi" w:eastAsia="Calibri" w:hAnsiTheme="majorHAnsi" w:cstheme="majorHAnsi"/>
        </w:rPr>
        <w:t>T</w:t>
      </w:r>
      <w:r w:rsidRPr="00147426">
        <w:rPr>
          <w:rFonts w:ascii="Calibri" w:eastAsia="Calibri" w:hAnsi="Calibri" w:cs="Calibri"/>
        </w:rPr>
        <w:t xml:space="preserve">he measurement system used in this work is shown in </w:t>
      </w:r>
      <w:r w:rsidRPr="00F802E1">
        <w:rPr>
          <w:rFonts w:ascii="Calibri" w:eastAsia="Calibri" w:hAnsi="Calibri" w:cs="Calibri"/>
          <w:b/>
          <w:bCs/>
        </w:rPr>
        <w:t>Supplementary Fig.2</w:t>
      </w:r>
      <w:r w:rsidR="00D86C02" w:rsidRPr="00F802E1">
        <w:rPr>
          <w:rFonts w:ascii="Calibri" w:eastAsia="Calibri" w:hAnsi="Calibri" w:cs="Calibri"/>
          <w:b/>
          <w:bCs/>
        </w:rPr>
        <w:t xml:space="preserve"> a-b</w:t>
      </w:r>
      <w:r w:rsidRPr="00147426">
        <w:rPr>
          <w:rFonts w:ascii="Calibri" w:eastAsia="Calibri" w:hAnsi="Calibri" w:cs="Calibri"/>
        </w:rPr>
        <w:t xml:space="preserve">. The system consists of a single-in-single-out optical probe pair, alongside a 25-pin DC cantilever probe card. The front-end-hardware is contained within a light box designed to comply with ANSI Z136.2 standards on laser safety for optical communication systems </w:t>
      </w:r>
      <w:r w:rsidR="00630256">
        <w:rPr>
          <w:rFonts w:ascii="Calibri" w:eastAsia="Calibri" w:hAnsi="Calibri" w:cs="Calibri"/>
        </w:rPr>
        <w:t>[1]</w:t>
      </w:r>
      <w:r w:rsidRPr="00147426">
        <w:rPr>
          <w:rFonts w:ascii="Calibri" w:eastAsia="Calibri" w:hAnsi="Calibri" w:cs="Calibri"/>
        </w:rPr>
        <w:t xml:space="preserve"> as well as to shield the device under test from foreign materials and ambient lighting that may corrupt the measurement. Beside the prober is a test equipment rack, containing continuous-wave and tunable laser sources for both Oband and Cband, as well as a visible laser used in assisting with automated optical alignment. The equipment rack also contains two dual-channel source-measurement units (SMUs), a tunable attenuator, an 8x1 optical multiplexer switch, a 2x2 directional control switch, an optical fiber polarization controller and a 4-channel optical power meter. All of the optical equipment is connected using standard FC-APC single-mode fiber, and all of the optical paths are routinely calibrated to de-embed system losses for both the forward (</w:t>
      </w:r>
      <m:oMath>
        <m:sSub>
          <m:sSubPr>
            <m:ctrlPr>
              <w:rPr>
                <w:rFonts w:ascii="Cambria Math" w:eastAsia="Calibri" w:hAnsi="Cambria Math" w:cs="Calibri"/>
              </w:rPr>
            </m:ctrlPr>
          </m:sSubPr>
          <m:e>
            <m:r>
              <w:rPr>
                <w:rFonts w:ascii="Cambria Math" w:hAnsi="Cambria Math" w:cs="Calibri"/>
              </w:rPr>
              <m:t>L</m:t>
            </m:r>
          </m:e>
          <m:sub>
            <m:r>
              <w:rPr>
                <w:rFonts w:ascii="Cambria Math" w:hAnsi="Cambria Math" w:cs="Calibri"/>
              </w:rPr>
              <m:t>TesterFWD</m:t>
            </m:r>
          </m:sub>
        </m:sSub>
      </m:oMath>
      <w:r w:rsidRPr="00147426">
        <w:rPr>
          <w:rFonts w:ascii="Calibri" w:eastAsia="Calibri" w:hAnsi="Calibri" w:cs="Calibri"/>
        </w:rPr>
        <w:t>) and return (</w:t>
      </w:r>
      <m:oMath>
        <m:sSub>
          <m:sSubPr>
            <m:ctrlPr>
              <w:rPr>
                <w:rFonts w:ascii="Cambria Math" w:eastAsia="Calibri" w:hAnsi="Cambria Math" w:cs="Calibri"/>
              </w:rPr>
            </m:ctrlPr>
          </m:sSubPr>
          <m:e>
            <m:r>
              <w:rPr>
                <w:rFonts w:ascii="Cambria Math" w:hAnsi="Cambria Math" w:cs="Calibri"/>
              </w:rPr>
              <m:t>L</m:t>
            </m:r>
          </m:e>
          <m:sub>
            <m:r>
              <w:rPr>
                <w:rFonts w:ascii="Cambria Math" w:hAnsi="Cambria Math" w:cs="Calibri"/>
              </w:rPr>
              <m:t>TesterReturn</m:t>
            </m:r>
          </m:sub>
        </m:sSub>
      </m:oMath>
      <w:r w:rsidRPr="00147426">
        <w:rPr>
          <w:rFonts w:ascii="Calibri" w:eastAsia="Calibri" w:hAnsi="Calibri" w:cs="Calibri"/>
        </w:rPr>
        <w:t>) paths. This calibration is necessary for providing an accurate estimation of the power at the photodiode, which is derived using the optical power loss through the reference structure in Extended Data Eq. 2</w:t>
      </w:r>
    </w:p>
    <w:p w14:paraId="2D3CAE39" w14:textId="77777777" w:rsidR="00C97634" w:rsidRPr="00147426" w:rsidRDefault="00C97634" w:rsidP="00F875D1">
      <w:pPr>
        <w:spacing w:after="0" w:line="216" w:lineRule="atLeast"/>
        <w:jc w:val="both"/>
        <w:rPr>
          <w:rFonts w:ascii="Calibri" w:eastAsia="Calibri" w:hAnsi="Calibri" w:cs="Calibri"/>
        </w:rPr>
      </w:pPr>
    </w:p>
    <w:p w14:paraId="43A12611" w14:textId="57C9CFA9" w:rsidR="00F875D1" w:rsidRDefault="001C6F92" w:rsidP="00F875D1">
      <w:pPr>
        <w:spacing w:after="0" w:line="216" w:lineRule="atLeast"/>
        <w:jc w:val="right"/>
        <w:rPr>
          <w:rFonts w:ascii="Calibri" w:eastAsia="Aptos" w:hAnsi="Calibri" w:cs="Calibri"/>
        </w:rPr>
      </w:pPr>
      <m:oMath>
        <m:sSub>
          <m:sSubPr>
            <m:ctrlPr>
              <w:rPr>
                <w:rFonts w:ascii="Cambria Math" w:eastAsia="Aptos" w:hAnsi="Cambria Math" w:cs="Calibri"/>
                <w:i/>
              </w:rPr>
            </m:ctrlPr>
          </m:sSubPr>
          <m:e>
            <m:r>
              <w:rPr>
                <w:rFonts w:ascii="Cambria Math" w:eastAsia="Aptos" w:hAnsi="Cambria Math" w:cs="Calibri"/>
              </w:rPr>
              <m:t>L</m:t>
            </m:r>
          </m:e>
          <m:sub>
            <m:r>
              <w:rPr>
                <w:rFonts w:ascii="Cambria Math" w:eastAsia="Aptos" w:hAnsi="Cambria Math" w:cs="Calibri"/>
              </w:rPr>
              <m:t>RefPath</m:t>
            </m:r>
          </m:sub>
        </m:sSub>
        <m:r>
          <w:rPr>
            <w:rFonts w:ascii="Cambria Math" w:eastAsia="Aptos" w:hAnsi="Cambria Math" w:cs="Calibri"/>
          </w:rPr>
          <m:t>=10</m:t>
        </m:r>
        <m:func>
          <m:funcPr>
            <m:ctrlPr>
              <w:rPr>
                <w:rFonts w:ascii="Cambria Math" w:eastAsia="Aptos" w:hAnsi="Cambria Math" w:cs="Calibri"/>
                <w:i/>
              </w:rPr>
            </m:ctrlPr>
          </m:funcPr>
          <m:fName>
            <m:sSub>
              <m:sSubPr>
                <m:ctrlPr>
                  <w:rPr>
                    <w:rFonts w:ascii="Cambria Math" w:eastAsia="Aptos" w:hAnsi="Cambria Math" w:cs="Calibri"/>
                    <w:i/>
                  </w:rPr>
                </m:ctrlPr>
              </m:sSubPr>
              <m:e>
                <m:r>
                  <m:rPr>
                    <m:sty m:val="p"/>
                  </m:rPr>
                  <w:rPr>
                    <w:rFonts w:ascii="Cambria Math" w:eastAsia="Aptos" w:hAnsi="Cambria Math" w:cs="Calibri"/>
                  </w:rPr>
                  <m:t>log</m:t>
                </m:r>
                <m:ctrlPr>
                  <w:rPr>
                    <w:rFonts w:ascii="Cambria Math" w:eastAsia="Aptos" w:hAnsi="Cambria Math" w:cs="Calibri"/>
                  </w:rPr>
                </m:ctrlPr>
              </m:e>
              <m:sub>
                <m:r>
                  <w:rPr>
                    <w:rFonts w:ascii="Cambria Math" w:eastAsia="Aptos" w:hAnsi="Cambria Math" w:cs="Calibri"/>
                  </w:rPr>
                  <m:t>10</m:t>
                </m:r>
                <m:ctrlPr>
                  <w:rPr>
                    <w:rFonts w:ascii="Cambria Math" w:eastAsia="Aptos" w:hAnsi="Cambria Math" w:cs="Calibri"/>
                  </w:rPr>
                </m:ctrlPr>
              </m:sub>
            </m:sSub>
            <m:ctrlPr>
              <w:rPr>
                <w:rFonts w:ascii="Cambria Math" w:hAnsi="Cambria Math" w:cs="Calibri"/>
                <w:i/>
                <w:noProof/>
              </w:rPr>
            </m:ctrlPr>
          </m:fName>
          <m:e>
            <m:r>
              <m:rPr>
                <m:lit/>
              </m:rPr>
              <w:rPr>
                <w:rFonts w:ascii="Cambria Math" w:hAnsi="Cambria Math" w:cs="Calibri"/>
                <w:noProof/>
              </w:rPr>
              <m:t>(</m:t>
            </m:r>
            <m:f>
              <m:fPr>
                <m:ctrlPr>
                  <w:rPr>
                    <w:rFonts w:ascii="Cambria Math" w:hAnsi="Cambria Math" w:cs="Calibri"/>
                    <w:i/>
                    <w:noProof/>
                  </w:rPr>
                </m:ctrlPr>
              </m:fPr>
              <m:num>
                <m:sSub>
                  <m:sSubPr>
                    <m:ctrlPr>
                      <w:rPr>
                        <w:rFonts w:ascii="Cambria Math" w:hAnsi="Cambria Math" w:cs="Calibri"/>
                        <w:i/>
                        <w:noProof/>
                      </w:rPr>
                    </m:ctrlPr>
                  </m:sSubPr>
                  <m:e>
                    <m:r>
                      <w:rPr>
                        <w:rFonts w:ascii="Cambria Math" w:hAnsi="Cambria Math" w:cs="Calibri"/>
                        <w:noProof/>
                      </w:rPr>
                      <m:t>P</m:t>
                    </m:r>
                  </m:e>
                  <m:sub>
                    <m:r>
                      <w:rPr>
                        <w:rFonts w:ascii="Cambria Math" w:hAnsi="Cambria Math" w:cs="Calibri"/>
                        <w:noProof/>
                      </w:rPr>
                      <m:t>Out</m:t>
                    </m:r>
                  </m:sub>
                </m:sSub>
              </m:num>
              <m:den>
                <m:sSub>
                  <m:sSubPr>
                    <m:ctrlPr>
                      <w:rPr>
                        <w:rFonts w:ascii="Cambria Math" w:hAnsi="Cambria Math" w:cs="Calibri"/>
                        <w:i/>
                        <w:noProof/>
                      </w:rPr>
                    </m:ctrlPr>
                  </m:sSubPr>
                  <m:e>
                    <m:r>
                      <w:rPr>
                        <w:rFonts w:ascii="Cambria Math" w:hAnsi="Cambria Math" w:cs="Calibri"/>
                        <w:noProof/>
                      </w:rPr>
                      <m:t>P</m:t>
                    </m:r>
                  </m:e>
                  <m:sub>
                    <m:r>
                      <w:rPr>
                        <w:rFonts w:ascii="Cambria Math" w:hAnsi="Cambria Math" w:cs="Calibri"/>
                        <w:noProof/>
                      </w:rPr>
                      <m:t>In</m:t>
                    </m:r>
                  </m:sub>
                </m:sSub>
              </m:den>
            </m:f>
            <m:ctrlPr>
              <w:rPr>
                <w:rFonts w:ascii="Cambria Math" w:hAnsi="Cambria Math" w:cs="Calibri"/>
                <w:i/>
                <w:noProof/>
              </w:rPr>
            </m:ctrlPr>
          </m:e>
        </m:func>
        <m:r>
          <m:rPr>
            <m:lit/>
          </m:rPr>
          <w:rPr>
            <w:rFonts w:ascii="Cambria Math" w:hAnsi="Cambria Math" w:cs="Calibri"/>
            <w:noProof/>
          </w:rPr>
          <m:t>)</m:t>
        </m:r>
        <m:r>
          <w:rPr>
            <w:rFonts w:ascii="Cambria Math" w:hAnsi="Cambria Math" w:cs="Calibri"/>
            <w:noProof/>
          </w:rPr>
          <m:t>-</m:t>
        </m:r>
        <m:sSub>
          <m:sSubPr>
            <m:ctrlPr>
              <w:rPr>
                <w:rFonts w:ascii="Cambria Math" w:hAnsi="Cambria Math" w:cs="Calibri"/>
                <w:i/>
                <w:noProof/>
              </w:rPr>
            </m:ctrlPr>
          </m:sSubPr>
          <m:e>
            <m:r>
              <w:rPr>
                <w:rFonts w:ascii="Cambria Math" w:hAnsi="Cambria Math" w:cs="Calibri"/>
                <w:noProof/>
              </w:rPr>
              <m:t>L</m:t>
            </m:r>
          </m:e>
          <m:sub>
            <m:r>
              <w:rPr>
                <w:rFonts w:ascii="Cambria Math" w:hAnsi="Cambria Math" w:cs="Calibri"/>
                <w:noProof/>
              </w:rPr>
              <m:t>TesterFWD</m:t>
            </m:r>
          </m:sub>
        </m:sSub>
        <m:r>
          <w:rPr>
            <w:rFonts w:ascii="Cambria Math" w:hAnsi="Cambria Math" w:cs="Calibri"/>
            <w:noProof/>
          </w:rPr>
          <m:t>-</m:t>
        </m:r>
        <m:sSub>
          <m:sSubPr>
            <m:ctrlPr>
              <w:rPr>
                <w:rFonts w:ascii="Cambria Math" w:hAnsi="Cambria Math" w:cs="Calibri"/>
                <w:i/>
                <w:noProof/>
              </w:rPr>
            </m:ctrlPr>
          </m:sSubPr>
          <m:e>
            <m:r>
              <w:rPr>
                <w:rFonts w:ascii="Cambria Math" w:hAnsi="Cambria Math" w:cs="Calibri"/>
                <w:noProof/>
              </w:rPr>
              <m:t>L</m:t>
            </m:r>
          </m:e>
          <m:sub>
            <m:r>
              <w:rPr>
                <w:rFonts w:ascii="Cambria Math" w:hAnsi="Cambria Math" w:cs="Calibri"/>
                <w:noProof/>
              </w:rPr>
              <m:t>TesterReturn</m:t>
            </m:r>
          </m:sub>
        </m:sSub>
      </m:oMath>
      <w:r w:rsidR="00F875D1" w:rsidRPr="00147426">
        <w:rPr>
          <w:rFonts w:ascii="Calibri" w:eastAsia="Aptos" w:hAnsi="Calibri" w:cs="Calibri"/>
        </w:rPr>
        <w:t xml:space="preserve">    </w:t>
      </w:r>
      <w:r w:rsidR="00C97634">
        <w:rPr>
          <w:rFonts w:ascii="Calibri" w:eastAsia="Aptos" w:hAnsi="Calibri" w:cs="Calibri"/>
        </w:rPr>
        <w:t xml:space="preserve">   </w:t>
      </w:r>
      <w:r w:rsidR="00F875D1" w:rsidRPr="00147426">
        <w:rPr>
          <w:rFonts w:ascii="Calibri" w:eastAsia="Aptos" w:hAnsi="Calibri" w:cs="Calibri"/>
        </w:rPr>
        <w:t xml:space="preserve">             (2)</w:t>
      </w:r>
    </w:p>
    <w:p w14:paraId="3FF9B421" w14:textId="77777777" w:rsidR="00C97634" w:rsidRPr="00147426" w:rsidRDefault="00C97634" w:rsidP="00F875D1">
      <w:pPr>
        <w:spacing w:after="0" w:line="216" w:lineRule="atLeast"/>
        <w:jc w:val="right"/>
        <w:rPr>
          <w:rFonts w:ascii="Calibri" w:eastAsia="Aptos" w:hAnsi="Calibri" w:cs="Calibri"/>
        </w:rPr>
      </w:pPr>
    </w:p>
    <w:p w14:paraId="226A5C9B" w14:textId="7E161759" w:rsidR="00F875D1" w:rsidRDefault="00F875D1" w:rsidP="00F875D1">
      <w:pPr>
        <w:spacing w:after="0" w:line="216" w:lineRule="atLeast"/>
        <w:jc w:val="both"/>
        <w:rPr>
          <w:rFonts w:ascii="Calibri" w:eastAsia="Calibri" w:hAnsi="Calibri" w:cs="Calibri"/>
        </w:rPr>
      </w:pPr>
      <w:r w:rsidRPr="00147426">
        <w:rPr>
          <w:rFonts w:ascii="Calibri" w:eastAsia="Calibri" w:hAnsi="Calibri" w:cs="Calibri"/>
        </w:rPr>
        <w:t xml:space="preserve">In this equation, </w:t>
      </w:r>
      <m:oMath>
        <m:sSub>
          <m:sSubPr>
            <m:ctrlPr>
              <w:rPr>
                <w:rFonts w:ascii="Cambria Math" w:hAnsi="Cambria Math" w:cs="Calibri"/>
                <w:i/>
                <w:noProof/>
              </w:rPr>
            </m:ctrlPr>
          </m:sSubPr>
          <m:e>
            <m:r>
              <w:rPr>
                <w:rFonts w:ascii="Cambria Math" w:hAnsi="Cambria Math" w:cs="Calibri"/>
                <w:noProof/>
              </w:rPr>
              <m:t>P</m:t>
            </m:r>
          </m:e>
          <m:sub>
            <m:r>
              <w:rPr>
                <w:rFonts w:ascii="Cambria Math" w:hAnsi="Cambria Math" w:cs="Calibri"/>
                <w:noProof/>
              </w:rPr>
              <m:t>In</m:t>
            </m:r>
          </m:sub>
        </m:sSub>
      </m:oMath>
      <w:r w:rsidRPr="00147426">
        <w:rPr>
          <w:rFonts w:ascii="Calibri" w:eastAsia="Calibri" w:hAnsi="Calibri" w:cs="Calibri"/>
        </w:rPr>
        <w:t xml:space="preserve"> is measured using the tunable attenuator’s internal powermeter, and set to a value low enough as to not incur highly nonlinear loss through the silicon grating coupler.  </w:t>
      </w:r>
      <m:oMath>
        <m:sSub>
          <m:sSubPr>
            <m:ctrlPr>
              <w:rPr>
                <w:rFonts w:ascii="Cambria Math" w:hAnsi="Cambria Math" w:cs="Calibri"/>
                <w:i/>
                <w:noProof/>
              </w:rPr>
            </m:ctrlPr>
          </m:sSubPr>
          <m:e>
            <m:r>
              <w:rPr>
                <w:rFonts w:ascii="Cambria Math" w:hAnsi="Cambria Math" w:cs="Calibri"/>
                <w:noProof/>
              </w:rPr>
              <m:t>P</m:t>
            </m:r>
          </m:e>
          <m:sub>
            <m:r>
              <w:rPr>
                <w:rFonts w:ascii="Cambria Math" w:hAnsi="Cambria Math" w:cs="Calibri"/>
                <w:noProof/>
              </w:rPr>
              <m:t>Out</m:t>
            </m:r>
          </m:sub>
        </m:sSub>
      </m:oMath>
      <w:r w:rsidRPr="00147426">
        <w:rPr>
          <w:rFonts w:ascii="Calibri" w:hAnsi="Calibri" w:cs="Calibri"/>
          <w:noProof/>
        </w:rPr>
        <w:t xml:space="preserve"> </w:t>
      </w:r>
      <w:r w:rsidRPr="00147426">
        <w:rPr>
          <w:rFonts w:ascii="Calibri" w:eastAsia="Calibri" w:hAnsi="Calibri" w:cs="Calibri"/>
        </w:rPr>
        <w:t xml:space="preserve">is measured at the optical powermeter after using the motor controllers to execute a series of high-precision rasters for optimal alignment to the input and output gratings. The calibration constants are removed from the measured loss to yield a decible value for the loss of the cutback. With a cutback that is carefully designed to be double the optical path loss of the path to the photodiode under test, the power that will reach the photodiode under optimal alignment can then be estimated as </w:t>
      </w:r>
    </w:p>
    <w:p w14:paraId="754D4E78" w14:textId="77777777" w:rsidR="00C97634" w:rsidRPr="00147426" w:rsidRDefault="00C97634" w:rsidP="00F875D1">
      <w:pPr>
        <w:spacing w:after="0" w:line="216" w:lineRule="atLeast"/>
        <w:jc w:val="both"/>
        <w:rPr>
          <w:rFonts w:ascii="Calibri" w:eastAsia="Calibri" w:hAnsi="Calibri" w:cs="Calibri"/>
        </w:rPr>
      </w:pPr>
    </w:p>
    <w:p w14:paraId="656F5AFB" w14:textId="753E9C6B" w:rsidR="00F875D1" w:rsidRDefault="000407E5" w:rsidP="00F875D1">
      <w:pPr>
        <w:spacing w:after="0" w:line="216" w:lineRule="atLeast"/>
        <w:jc w:val="right"/>
        <w:rPr>
          <w:rFonts w:ascii="Calibri" w:eastAsia="Aptos" w:hAnsi="Calibri" w:cs="Calibri"/>
        </w:rPr>
      </w:pPr>
      <m:oMath>
        <m:sSub>
          <m:sSubPr>
            <m:ctrlPr>
              <w:rPr>
                <w:rFonts w:ascii="Cambria Math" w:eastAsia="Aptos" w:hAnsi="Cambria Math" w:cs="Calibri"/>
                <w:i/>
              </w:rPr>
            </m:ctrlPr>
          </m:sSubPr>
          <m:e>
            <m:r>
              <w:rPr>
                <w:rFonts w:ascii="Cambria Math" w:eastAsia="Aptos" w:hAnsi="Cambria Math" w:cs="Calibri"/>
              </w:rPr>
              <m:t>P</m:t>
            </m:r>
          </m:e>
          <m:sub>
            <m:r>
              <w:rPr>
                <w:rFonts w:ascii="Cambria Math" w:eastAsia="Aptos" w:hAnsi="Cambria Math" w:cs="Calibri"/>
              </w:rPr>
              <m:t>PD</m:t>
            </m:r>
          </m:sub>
        </m:sSub>
        <m:r>
          <w:rPr>
            <w:rFonts w:ascii="Cambria Math" w:eastAsia="Aptos" w:hAnsi="Cambria Math" w:cs="Calibri"/>
          </w:rPr>
          <m:t>=</m:t>
        </m:r>
        <m:sSup>
          <m:sSupPr>
            <m:ctrlPr>
              <w:rPr>
                <w:rFonts w:ascii="Cambria Math" w:eastAsia="Aptos" w:hAnsi="Cambria Math" w:cs="Calibri"/>
                <w:i/>
              </w:rPr>
            </m:ctrlPr>
          </m:sSupPr>
          <m:e>
            <m:r>
              <w:rPr>
                <w:rFonts w:ascii="Cambria Math" w:eastAsia="Aptos" w:hAnsi="Cambria Math" w:cs="Calibri"/>
              </w:rPr>
              <m:t>10</m:t>
            </m:r>
          </m:e>
          <m:sup>
            <m:d>
              <m:dPr>
                <m:ctrlPr>
                  <w:rPr>
                    <w:rFonts w:ascii="Cambria Math" w:eastAsia="Aptos" w:hAnsi="Cambria Math" w:cs="Calibri"/>
                    <w:i/>
                  </w:rPr>
                </m:ctrlPr>
              </m:dPr>
              <m:e>
                <m:f>
                  <m:fPr>
                    <m:ctrlPr>
                      <w:rPr>
                        <w:rFonts w:ascii="Cambria Math" w:eastAsia="Aptos" w:hAnsi="Cambria Math" w:cs="Calibri"/>
                        <w:i/>
                      </w:rPr>
                    </m:ctrlPr>
                  </m:fPr>
                  <m:num>
                    <m:r>
                      <w:rPr>
                        <w:rFonts w:ascii="Cambria Math" w:eastAsia="Aptos" w:hAnsi="Cambria Math" w:cs="Calibri"/>
                      </w:rPr>
                      <m:t>10</m:t>
                    </m:r>
                    <m:func>
                      <m:funcPr>
                        <m:ctrlPr>
                          <w:rPr>
                            <w:rFonts w:ascii="Cambria Math" w:eastAsia="Aptos" w:hAnsi="Cambria Math" w:cs="Calibri"/>
                            <w:i/>
                          </w:rPr>
                        </m:ctrlPr>
                      </m:funcPr>
                      <m:fName>
                        <m:sSub>
                          <m:sSubPr>
                            <m:ctrlPr>
                              <w:rPr>
                                <w:rFonts w:ascii="Cambria Math" w:eastAsia="Aptos" w:hAnsi="Cambria Math" w:cs="Calibri"/>
                                <w:i/>
                              </w:rPr>
                            </m:ctrlPr>
                          </m:sSubPr>
                          <m:e>
                            <m:r>
                              <m:rPr>
                                <m:sty m:val="p"/>
                              </m:rPr>
                              <w:rPr>
                                <w:rFonts w:ascii="Cambria Math" w:eastAsia="Aptos" w:hAnsi="Cambria Math" w:cs="Calibri"/>
                              </w:rPr>
                              <m:t>log</m:t>
                            </m:r>
                            <m:ctrlPr>
                              <w:rPr>
                                <w:rFonts w:ascii="Cambria Math" w:eastAsia="Aptos" w:hAnsi="Cambria Math" w:cs="Calibri"/>
                              </w:rPr>
                            </m:ctrlPr>
                          </m:e>
                          <m:sub>
                            <m:r>
                              <w:rPr>
                                <w:rFonts w:ascii="Cambria Math" w:eastAsia="Aptos" w:hAnsi="Cambria Math" w:cs="Calibri"/>
                              </w:rPr>
                              <m:t>10</m:t>
                            </m:r>
                            <m:ctrlPr>
                              <w:rPr>
                                <w:rFonts w:ascii="Cambria Math" w:eastAsia="Aptos" w:hAnsi="Cambria Math" w:cs="Calibri"/>
                              </w:rPr>
                            </m:ctrlPr>
                          </m:sub>
                        </m:sSub>
                      </m:fName>
                      <m:e>
                        <m:d>
                          <m:dPr>
                            <m:ctrlPr>
                              <w:rPr>
                                <w:rFonts w:ascii="Cambria Math" w:eastAsia="Aptos" w:hAnsi="Cambria Math" w:cs="Calibri"/>
                                <w:i/>
                              </w:rPr>
                            </m:ctrlPr>
                          </m:dPr>
                          <m:e>
                            <m:sSub>
                              <m:sSubPr>
                                <m:ctrlPr>
                                  <w:rPr>
                                    <w:rFonts w:ascii="Cambria Math" w:eastAsia="Aptos" w:hAnsi="Cambria Math" w:cs="Calibri"/>
                                    <w:i/>
                                  </w:rPr>
                                </m:ctrlPr>
                              </m:sSubPr>
                              <m:e>
                                <m:r>
                                  <w:rPr>
                                    <w:rFonts w:ascii="Cambria Math" w:eastAsia="Aptos" w:hAnsi="Cambria Math" w:cs="Calibri"/>
                                  </w:rPr>
                                  <m:t>P</m:t>
                                </m:r>
                              </m:e>
                              <m:sub>
                                <m:r>
                                  <w:rPr>
                                    <w:rFonts w:ascii="Cambria Math" w:eastAsia="Aptos" w:hAnsi="Cambria Math" w:cs="Calibri"/>
                                  </w:rPr>
                                  <m:t>In</m:t>
                                </m:r>
                              </m:sub>
                            </m:sSub>
                          </m:e>
                        </m:d>
                      </m:e>
                    </m:func>
                    <m:r>
                      <w:rPr>
                        <w:rFonts w:ascii="Cambria Math" w:eastAsia="Aptos" w:hAnsi="Cambria Math" w:cs="Calibri"/>
                      </w:rPr>
                      <m:t>+</m:t>
                    </m:r>
                    <m:sSub>
                      <m:sSubPr>
                        <m:ctrlPr>
                          <w:rPr>
                            <w:rFonts w:ascii="Cambria Math" w:eastAsia="Aptos" w:hAnsi="Cambria Math" w:cs="Calibri"/>
                            <w:i/>
                          </w:rPr>
                        </m:ctrlPr>
                      </m:sSubPr>
                      <m:e>
                        <m:r>
                          <w:rPr>
                            <w:rFonts w:ascii="Cambria Math" w:eastAsia="Aptos" w:hAnsi="Cambria Math" w:cs="Calibri"/>
                          </w:rPr>
                          <m:t>L</m:t>
                        </m:r>
                      </m:e>
                      <m:sub>
                        <m:r>
                          <w:rPr>
                            <w:rFonts w:ascii="Cambria Math" w:eastAsia="Aptos" w:hAnsi="Cambria Math" w:cs="Calibri"/>
                          </w:rPr>
                          <m:t>TesterFWD</m:t>
                        </m:r>
                      </m:sub>
                    </m:sSub>
                    <m:r>
                      <w:rPr>
                        <w:rFonts w:ascii="Cambria Math" w:eastAsia="Aptos" w:hAnsi="Cambria Math" w:cs="Calibri"/>
                      </w:rPr>
                      <m:t>+</m:t>
                    </m:r>
                    <m:f>
                      <m:fPr>
                        <m:ctrlPr>
                          <w:rPr>
                            <w:rFonts w:ascii="Cambria Math" w:eastAsia="Aptos" w:hAnsi="Cambria Math" w:cs="Calibri"/>
                            <w:i/>
                          </w:rPr>
                        </m:ctrlPr>
                      </m:fPr>
                      <m:num>
                        <m:sSub>
                          <m:sSubPr>
                            <m:ctrlPr>
                              <w:rPr>
                                <w:rFonts w:ascii="Cambria Math" w:eastAsia="Aptos" w:hAnsi="Cambria Math" w:cs="Calibri"/>
                                <w:i/>
                              </w:rPr>
                            </m:ctrlPr>
                          </m:sSubPr>
                          <m:e>
                            <m:r>
                              <w:rPr>
                                <w:rFonts w:ascii="Cambria Math" w:eastAsia="Aptos" w:hAnsi="Cambria Math" w:cs="Calibri"/>
                              </w:rPr>
                              <m:t>L</m:t>
                            </m:r>
                          </m:e>
                          <m:sub>
                            <m:r>
                              <w:rPr>
                                <w:rFonts w:ascii="Cambria Math" w:eastAsia="Aptos" w:hAnsi="Cambria Math" w:cs="Calibri"/>
                              </w:rPr>
                              <m:t>RefPath</m:t>
                            </m:r>
                          </m:sub>
                        </m:sSub>
                      </m:num>
                      <m:den>
                        <m:r>
                          <w:rPr>
                            <w:rFonts w:ascii="Cambria Math" w:eastAsia="Aptos" w:hAnsi="Cambria Math" w:cs="Calibri"/>
                          </w:rPr>
                          <m:t>2</m:t>
                        </m:r>
                      </m:den>
                    </m:f>
                  </m:num>
                  <m:den>
                    <m:r>
                      <w:rPr>
                        <w:rFonts w:ascii="Cambria Math" w:eastAsia="Aptos" w:hAnsi="Cambria Math" w:cs="Calibri"/>
                      </w:rPr>
                      <m:t>10</m:t>
                    </m:r>
                  </m:den>
                </m:f>
              </m:e>
            </m:d>
          </m:sup>
        </m:sSup>
      </m:oMath>
      <w:r w:rsidR="00F875D1" w:rsidRPr="00147426">
        <w:rPr>
          <w:rFonts w:ascii="Calibri" w:eastAsia="Aptos" w:hAnsi="Calibri" w:cs="Calibri"/>
        </w:rPr>
        <w:t xml:space="preserve">                                        (3)</w:t>
      </w:r>
    </w:p>
    <w:p w14:paraId="6CC0333C" w14:textId="77777777" w:rsidR="00C97634" w:rsidRPr="00147426" w:rsidRDefault="00C97634" w:rsidP="00F875D1">
      <w:pPr>
        <w:spacing w:after="0" w:line="216" w:lineRule="atLeast"/>
        <w:jc w:val="right"/>
        <w:rPr>
          <w:rFonts w:ascii="Calibri" w:eastAsia="Aptos" w:hAnsi="Calibri" w:cs="Calibri"/>
        </w:rPr>
      </w:pPr>
    </w:p>
    <w:p w14:paraId="7C02439E" w14:textId="77777777" w:rsidR="00F875D1" w:rsidRDefault="00F875D1" w:rsidP="00F875D1">
      <w:pPr>
        <w:spacing w:after="0" w:line="216" w:lineRule="atLeast"/>
        <w:jc w:val="both"/>
        <w:rPr>
          <w:rFonts w:ascii="Calibri" w:eastAsia="Calibri" w:hAnsi="Calibri" w:cs="Calibri"/>
        </w:rPr>
      </w:pPr>
      <w:r w:rsidRPr="00147426">
        <w:rPr>
          <w:rFonts w:ascii="Calibri" w:eastAsia="Calibri" w:hAnsi="Calibri" w:cs="Calibri"/>
        </w:rPr>
        <w:t xml:space="preserve">Equipped with a power estimate, the tester can then bias the photodiode under test, move the input lens to the photodiode path, realign to the new grating by optimizing the measured current, and calculate the photocurrent for the diode as </w:t>
      </w:r>
    </w:p>
    <w:p w14:paraId="7DE90EF0" w14:textId="3DE322A4" w:rsidR="00F875D1" w:rsidRPr="00147426" w:rsidRDefault="00F875D1" w:rsidP="00F875D1">
      <w:pPr>
        <w:spacing w:after="0" w:line="216" w:lineRule="atLeast"/>
        <w:jc w:val="both"/>
        <w:rPr>
          <w:rFonts w:ascii="Calibri" w:eastAsia="Calibri" w:hAnsi="Calibri" w:cs="Calibri"/>
        </w:rPr>
      </w:pPr>
    </w:p>
    <w:p w14:paraId="70EF07D8" w14:textId="5F736B92" w:rsidR="00F875D1" w:rsidRDefault="002F6A59" w:rsidP="00F875D1">
      <w:pPr>
        <w:spacing w:after="0" w:line="216" w:lineRule="atLeast"/>
        <w:jc w:val="right"/>
        <w:rPr>
          <w:rFonts w:ascii="Calibri" w:eastAsia="Aptos" w:hAnsi="Calibri" w:cs="Calibri"/>
        </w:rPr>
      </w:pPr>
      <m:oMath>
        <m:sSub>
          <m:sSubPr>
            <m:ctrlPr>
              <w:rPr>
                <w:rFonts w:ascii="Cambria Math" w:eastAsia="Aptos" w:hAnsi="Cambria Math" w:cs="Calibri"/>
                <w:i/>
              </w:rPr>
            </m:ctrlPr>
          </m:sSubPr>
          <m:e>
            <m:r>
              <w:rPr>
                <w:rFonts w:ascii="Cambria Math" w:eastAsia="Aptos" w:hAnsi="Cambria Math" w:cs="Calibri"/>
              </w:rPr>
              <m:t>I</m:t>
            </m:r>
          </m:e>
          <m:sub>
            <m:r>
              <w:rPr>
                <w:rFonts w:ascii="Cambria Math" w:eastAsia="Aptos" w:hAnsi="Cambria Math" w:cs="Calibri"/>
              </w:rPr>
              <m:t>Photo</m:t>
            </m:r>
          </m:sub>
        </m:sSub>
        <m:r>
          <w:rPr>
            <w:rFonts w:ascii="Cambria Math" w:eastAsia="Aptos" w:hAnsi="Cambria Math" w:cs="Calibri"/>
          </w:rPr>
          <m:t>=</m:t>
        </m:r>
        <m:sSub>
          <m:sSubPr>
            <m:ctrlPr>
              <w:rPr>
                <w:rFonts w:ascii="Cambria Math" w:eastAsia="Aptos" w:hAnsi="Cambria Math" w:cs="Calibri"/>
                <w:i/>
              </w:rPr>
            </m:ctrlPr>
          </m:sSubPr>
          <m:e>
            <m:r>
              <w:rPr>
                <w:rFonts w:ascii="Cambria Math" w:eastAsia="Aptos" w:hAnsi="Cambria Math" w:cs="Calibri"/>
              </w:rPr>
              <m:t>I</m:t>
            </m:r>
          </m:e>
          <m:sub>
            <m:r>
              <w:rPr>
                <w:rFonts w:ascii="Cambria Math" w:eastAsia="Aptos" w:hAnsi="Cambria Math" w:cs="Calibri"/>
              </w:rPr>
              <m:t>Total</m:t>
            </m:r>
          </m:sub>
        </m:sSub>
        <m:r>
          <w:rPr>
            <w:rFonts w:ascii="Cambria Math" w:eastAsia="Aptos" w:hAnsi="Cambria Math" w:cs="Calibri"/>
          </w:rPr>
          <m:t>-</m:t>
        </m:r>
        <m:sSub>
          <m:sSubPr>
            <m:ctrlPr>
              <w:rPr>
                <w:rFonts w:ascii="Cambria Math" w:eastAsia="Aptos" w:hAnsi="Cambria Math" w:cs="Calibri"/>
                <w:i/>
              </w:rPr>
            </m:ctrlPr>
          </m:sSubPr>
          <m:e>
            <m:r>
              <w:rPr>
                <w:rFonts w:ascii="Cambria Math" w:eastAsia="Aptos" w:hAnsi="Cambria Math" w:cs="Calibri"/>
              </w:rPr>
              <m:t>I</m:t>
            </m:r>
          </m:e>
          <m:sub>
            <m:r>
              <w:rPr>
                <w:rFonts w:ascii="Cambria Math" w:eastAsia="Aptos" w:hAnsi="Cambria Math" w:cs="Calibri"/>
              </w:rPr>
              <m:t>Dark</m:t>
            </m:r>
          </m:sub>
        </m:sSub>
      </m:oMath>
      <w:r w:rsidR="00F875D1" w:rsidRPr="00147426">
        <w:rPr>
          <w:rFonts w:ascii="Calibri" w:eastAsia="Aptos" w:hAnsi="Calibri" w:cs="Calibri"/>
        </w:rPr>
        <w:t xml:space="preserve">                                                            (4)</w:t>
      </w:r>
    </w:p>
    <w:p w14:paraId="717F5B6C" w14:textId="77777777" w:rsidR="00C97634" w:rsidRPr="00147426" w:rsidRDefault="00C97634" w:rsidP="00F875D1">
      <w:pPr>
        <w:spacing w:after="0" w:line="216" w:lineRule="atLeast"/>
        <w:jc w:val="right"/>
        <w:rPr>
          <w:rFonts w:ascii="Calibri" w:eastAsia="Aptos" w:hAnsi="Calibri" w:cs="Calibri"/>
        </w:rPr>
      </w:pPr>
    </w:p>
    <w:p w14:paraId="1D0CD0A6" w14:textId="77777777" w:rsidR="00F875D1" w:rsidRDefault="00F875D1" w:rsidP="00F875D1">
      <w:pPr>
        <w:spacing w:after="0" w:line="216" w:lineRule="atLeast"/>
        <w:jc w:val="both"/>
        <w:rPr>
          <w:rFonts w:ascii="Calibri" w:eastAsia="Times New Roman" w:hAnsi="Calibri" w:cs="Calibri"/>
        </w:rPr>
      </w:pPr>
      <w:r w:rsidRPr="00147426">
        <w:rPr>
          <w:rFonts w:ascii="Calibri" w:eastAsia="Calibri" w:hAnsi="Calibri" w:cs="Calibri"/>
        </w:rPr>
        <w:t xml:space="preserve">Where </w:t>
      </w:r>
      <m:oMath>
        <m:sSub>
          <m:sSubPr>
            <m:ctrlPr>
              <w:rPr>
                <w:rFonts w:ascii="Cambria Math" w:eastAsia="Aptos" w:hAnsi="Cambria Math" w:cs="Calibri"/>
                <w:i/>
              </w:rPr>
            </m:ctrlPr>
          </m:sSubPr>
          <m:e>
            <m:r>
              <w:rPr>
                <w:rFonts w:ascii="Cambria Math" w:eastAsia="Aptos" w:hAnsi="Cambria Math" w:cs="Calibri"/>
              </w:rPr>
              <m:t>I</m:t>
            </m:r>
          </m:e>
          <m:sub>
            <m:r>
              <w:rPr>
                <w:rFonts w:ascii="Cambria Math" w:eastAsia="Aptos" w:hAnsi="Cambria Math" w:cs="Calibri"/>
              </w:rPr>
              <m:t>Dark</m:t>
            </m:r>
          </m:sub>
        </m:sSub>
      </m:oMath>
      <w:r w:rsidRPr="00147426">
        <w:rPr>
          <w:rFonts w:ascii="Calibri" w:eastAsia="Calibri" w:hAnsi="Calibri" w:cs="Calibri"/>
        </w:rPr>
        <w:t xml:space="preserve"> is the dark current for the diode, measured previously with the laser source shuttered. With these measurements and calculations, the tester is able to produce a single estimation of responsivity for a single device under test using Extended Data Eq. 1.</w:t>
      </w:r>
      <w:r w:rsidRPr="00147426">
        <w:rPr>
          <w:rFonts w:ascii="Calibri" w:eastAsia="Times New Roman" w:hAnsi="Calibri" w:cs="Calibri"/>
        </w:rPr>
        <w:t xml:space="preserve">  </w:t>
      </w:r>
    </w:p>
    <w:p w14:paraId="0FAD286E" w14:textId="631586E2" w:rsidR="00261A1C" w:rsidRPr="00373088" w:rsidRDefault="00261A1C" w:rsidP="00CF6B03">
      <w:pPr>
        <w:spacing w:after="0" w:line="216" w:lineRule="atLeast"/>
        <w:jc w:val="both"/>
        <w:rPr>
          <w:rFonts w:asciiTheme="majorHAnsi" w:eastAsia="Calibri" w:hAnsiTheme="majorHAnsi" w:cstheme="majorHAnsi"/>
        </w:rPr>
      </w:pPr>
    </w:p>
    <w:p w14:paraId="00F4B950" w14:textId="44E33371" w:rsidR="00261A1C"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b/>
          <w:bCs/>
        </w:rPr>
        <w:t>Design considerations for measurement robustness and relevance for wafer-scale statistics</w:t>
      </w:r>
      <w:r w:rsidRPr="00373088">
        <w:rPr>
          <w:rFonts w:asciiTheme="majorHAnsi" w:eastAsia="Calibri" w:hAnsiTheme="majorHAnsi" w:cstheme="majorHAnsi"/>
        </w:rPr>
        <w:t xml:space="preserve"> </w:t>
      </w:r>
    </w:p>
    <w:p w14:paraId="4775F220" w14:textId="5B39439A" w:rsidR="00261A1C" w:rsidRPr="00373088" w:rsidRDefault="00261A1C" w:rsidP="00CF6B03">
      <w:pPr>
        <w:spacing w:after="0" w:line="216" w:lineRule="atLeast"/>
        <w:jc w:val="both"/>
        <w:rPr>
          <w:rFonts w:asciiTheme="majorHAnsi" w:eastAsia="Calibri" w:hAnsiTheme="majorHAnsi" w:cstheme="majorHAnsi"/>
        </w:rPr>
      </w:pPr>
    </w:p>
    <w:p w14:paraId="4E083152" w14:textId="7BE18FFC" w:rsidR="00261A1C" w:rsidRPr="00373088" w:rsidRDefault="00F802E1" w:rsidP="00CF6B03">
      <w:pPr>
        <w:spacing w:after="0" w:line="216" w:lineRule="atLeast"/>
        <w:jc w:val="both"/>
        <w:rPr>
          <w:rFonts w:asciiTheme="majorHAnsi" w:eastAsia="Calibri" w:hAnsiTheme="majorHAnsi" w:cstheme="majorHAnsi"/>
        </w:rPr>
      </w:pPr>
      <w:r w:rsidRPr="00F802E1">
        <w:rPr>
          <w:rFonts w:ascii="Calibri" w:eastAsia="Calibri" w:hAnsi="Calibri" w:cs="Calibri"/>
          <w:b/>
          <w:bCs/>
        </w:rPr>
        <w:t>Supplementary Fig.2</w:t>
      </w:r>
      <w:r>
        <w:rPr>
          <w:rFonts w:ascii="Calibri" w:eastAsia="Calibri" w:hAnsi="Calibri" w:cs="Calibri"/>
          <w:b/>
          <w:bCs/>
        </w:rPr>
        <w:t>c</w:t>
      </w:r>
      <w:r w:rsidRPr="00373088">
        <w:rPr>
          <w:rFonts w:asciiTheme="majorHAnsi" w:eastAsia="Calibri" w:hAnsiTheme="majorHAnsi" w:cstheme="majorHAnsi"/>
        </w:rPr>
        <w:t xml:space="preserve"> </w:t>
      </w:r>
      <w:r w:rsidR="00261A1C" w:rsidRPr="00373088">
        <w:rPr>
          <w:rFonts w:asciiTheme="majorHAnsi" w:eastAsia="Calibri" w:hAnsiTheme="majorHAnsi" w:cstheme="majorHAnsi"/>
        </w:rPr>
        <w:t xml:space="preserve">is an illustration of a relatively simple experimental design that is commonly used to characterize new photodiode designs. It consists of two pairs of optical paths, each with one photodiode and one loss-matched cutback path. While the solution is elegant and robust to varying path length, it comes with some drawbacks that necessitate further innovation. First, this strategy for designing test structures requires 2N optical alignments, where N is the number of photodiodes under test, which can add up to a large amount of time when scaled to wafer level statistical experiments. Second, each alignment comes with some variability due to slight mismatches in alignment optimality. This variability can dominate the variance of the measurement, leading to a high spread on a well-controlled manufacturing process. </w:t>
      </w:r>
    </w:p>
    <w:p w14:paraId="2B58F593" w14:textId="77777777" w:rsidR="00261A1C" w:rsidRPr="00373088" w:rsidRDefault="00261A1C" w:rsidP="00CF6B03">
      <w:pPr>
        <w:spacing w:after="0" w:line="216" w:lineRule="atLeast"/>
        <w:jc w:val="both"/>
        <w:rPr>
          <w:rFonts w:asciiTheme="majorHAnsi" w:hAnsiTheme="majorHAnsi" w:cstheme="majorHAnsi"/>
        </w:rPr>
      </w:pPr>
    </w:p>
    <w:p w14:paraId="0ED1D9A1" w14:textId="22AC84B9" w:rsidR="00261A1C"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To circumvent these challenges, the strategies shown in </w:t>
      </w:r>
      <w:r w:rsidR="006B44E6" w:rsidRPr="00F802E1">
        <w:rPr>
          <w:rFonts w:ascii="Calibri" w:eastAsia="Calibri" w:hAnsi="Calibri" w:cs="Calibri"/>
          <w:b/>
          <w:bCs/>
        </w:rPr>
        <w:t>Supplementary Fig.2</w:t>
      </w:r>
      <w:r w:rsidR="00C5162B">
        <w:rPr>
          <w:rFonts w:ascii="Calibri" w:eastAsia="Calibri" w:hAnsi="Calibri" w:cs="Calibri"/>
          <w:b/>
          <w:bCs/>
        </w:rPr>
        <w:t>d-e</w:t>
      </w:r>
      <w:r w:rsidR="006B44E6" w:rsidRPr="00373088">
        <w:rPr>
          <w:rFonts w:asciiTheme="majorHAnsi" w:eastAsia="Calibri" w:hAnsiTheme="majorHAnsi" w:cstheme="majorHAnsi"/>
        </w:rPr>
        <w:t xml:space="preserve"> </w:t>
      </w:r>
      <w:r w:rsidRPr="00373088">
        <w:rPr>
          <w:rFonts w:asciiTheme="majorHAnsi" w:eastAsia="Calibri" w:hAnsiTheme="majorHAnsi" w:cstheme="majorHAnsi"/>
        </w:rPr>
        <w:t xml:space="preserve">are </w:t>
      </w:r>
      <w:r w:rsidR="00C5162B">
        <w:rPr>
          <w:rFonts w:asciiTheme="majorHAnsi" w:eastAsia="Calibri" w:hAnsiTheme="majorHAnsi" w:cstheme="majorHAnsi"/>
        </w:rPr>
        <w:t xml:space="preserve">adopted to measure the responsivity of the ultra-fast </w:t>
      </w:r>
      <w:r w:rsidR="00EE1799">
        <w:rPr>
          <w:rFonts w:asciiTheme="majorHAnsi" w:eastAsia="Calibri" w:hAnsiTheme="majorHAnsi" w:cstheme="majorHAnsi"/>
        </w:rPr>
        <w:t>Ge photodetector presented in this work</w:t>
      </w:r>
      <w:r w:rsidRPr="00373088">
        <w:rPr>
          <w:rFonts w:asciiTheme="majorHAnsi" w:eastAsia="Calibri" w:hAnsiTheme="majorHAnsi" w:cstheme="majorHAnsi"/>
        </w:rPr>
        <w:t xml:space="preserve">. </w:t>
      </w:r>
      <w:r w:rsidR="00DB5CC1" w:rsidRPr="00F802E1">
        <w:rPr>
          <w:rFonts w:ascii="Calibri" w:eastAsia="Calibri" w:hAnsi="Calibri" w:cs="Calibri"/>
          <w:b/>
          <w:bCs/>
        </w:rPr>
        <w:t>Supplementary Fig.2</w:t>
      </w:r>
      <w:r w:rsidR="00DB5CC1">
        <w:rPr>
          <w:rFonts w:ascii="Calibri" w:eastAsia="Calibri" w:hAnsi="Calibri" w:cs="Calibri"/>
          <w:b/>
          <w:bCs/>
        </w:rPr>
        <w:t>d</w:t>
      </w:r>
      <w:r w:rsidRPr="00373088">
        <w:rPr>
          <w:rFonts w:asciiTheme="majorHAnsi" w:eastAsia="Calibri" w:hAnsiTheme="majorHAnsi" w:cstheme="majorHAnsi"/>
        </w:rPr>
        <w:t xml:space="preserve"> solves the alignment time drawback, utilizing a single optical-to-optical alignment to ensure optimality for both the reference path and photodiode path; however, this methodology is still vulnerable to alignment variations in the output lens. For a compromise between speed and statistical robustness, this work adopts the strategy shown in </w:t>
      </w:r>
      <w:r w:rsidR="00827E2D" w:rsidRPr="00F802E1">
        <w:rPr>
          <w:rFonts w:ascii="Calibri" w:eastAsia="Calibri" w:hAnsi="Calibri" w:cs="Calibri"/>
          <w:b/>
          <w:bCs/>
        </w:rPr>
        <w:t>Supplementary Fig.2</w:t>
      </w:r>
      <w:r w:rsidR="00827E2D">
        <w:rPr>
          <w:rFonts w:ascii="Calibri" w:eastAsia="Calibri" w:hAnsi="Calibri" w:cs="Calibri"/>
          <w:b/>
          <w:bCs/>
        </w:rPr>
        <w:t>e</w:t>
      </w:r>
      <w:r w:rsidRPr="00373088">
        <w:rPr>
          <w:rFonts w:asciiTheme="majorHAnsi" w:eastAsia="Calibri" w:hAnsiTheme="majorHAnsi" w:cstheme="majorHAnsi"/>
        </w:rPr>
        <w:t xml:space="preserve">. This design consists of a single reference path alongside two photodiodes under test, fed by a 1x2MMI alongside two reference photodiodes of constant geometry and doping profile. Testing this circuit would require N+1 optical alignments compared to the 2N required in </w:t>
      </w:r>
      <w:r w:rsidR="00CB196D" w:rsidRPr="00F802E1">
        <w:rPr>
          <w:rFonts w:ascii="Calibri" w:eastAsia="Calibri" w:hAnsi="Calibri" w:cs="Calibri"/>
          <w:b/>
          <w:bCs/>
        </w:rPr>
        <w:t>Supplementary Fig.2</w:t>
      </w:r>
      <w:r w:rsidR="00AC6A3A">
        <w:rPr>
          <w:rFonts w:ascii="Calibri" w:eastAsia="Calibri" w:hAnsi="Calibri" w:cs="Calibri"/>
          <w:b/>
          <w:bCs/>
        </w:rPr>
        <w:t>c</w:t>
      </w:r>
      <w:r w:rsidRPr="00373088">
        <w:rPr>
          <w:rFonts w:asciiTheme="majorHAnsi" w:eastAsia="Calibri" w:hAnsiTheme="majorHAnsi" w:cstheme="majorHAnsi"/>
        </w:rPr>
        <w:t xml:space="preserve">, saving valuable time for large scale statistical device qualification experiments. The layout discussed in this work, depicted in </w:t>
      </w:r>
      <w:r w:rsidR="00DB530D" w:rsidRPr="00F802E1">
        <w:rPr>
          <w:rFonts w:ascii="Calibri" w:eastAsia="Calibri" w:hAnsi="Calibri" w:cs="Calibri"/>
          <w:b/>
          <w:bCs/>
        </w:rPr>
        <w:t>Supplementary Fig.2</w:t>
      </w:r>
      <w:r w:rsidR="00DB530D">
        <w:rPr>
          <w:rFonts w:ascii="Calibri" w:eastAsia="Calibri" w:hAnsi="Calibri" w:cs="Calibri"/>
          <w:b/>
          <w:bCs/>
        </w:rPr>
        <w:t>e</w:t>
      </w:r>
      <w:r w:rsidRPr="00373088">
        <w:rPr>
          <w:rFonts w:asciiTheme="majorHAnsi" w:eastAsia="Calibri" w:hAnsiTheme="majorHAnsi" w:cstheme="majorHAnsi"/>
        </w:rPr>
        <w:t xml:space="preserve">, consists of 5 photodiode experiments, and thus benefits from a 40% reduction in testing time from this methodology over the methodology used in </w:t>
      </w:r>
      <w:r w:rsidR="00B00AAC" w:rsidRPr="00F802E1">
        <w:rPr>
          <w:rFonts w:ascii="Calibri" w:eastAsia="Calibri" w:hAnsi="Calibri" w:cs="Calibri"/>
          <w:b/>
          <w:bCs/>
        </w:rPr>
        <w:t>Supplementary Fig.2</w:t>
      </w:r>
      <w:r w:rsidR="00B00AAC">
        <w:rPr>
          <w:rFonts w:ascii="Calibri" w:eastAsia="Calibri" w:hAnsi="Calibri" w:cs="Calibri"/>
          <w:b/>
          <w:bCs/>
        </w:rPr>
        <w:t>c</w:t>
      </w:r>
      <w:r w:rsidRPr="00373088">
        <w:rPr>
          <w:rFonts w:asciiTheme="majorHAnsi" w:eastAsia="Calibri" w:hAnsiTheme="majorHAnsi" w:cstheme="majorHAnsi"/>
        </w:rPr>
        <w:t>.</w:t>
      </w:r>
    </w:p>
    <w:p w14:paraId="1EB2141F" w14:textId="77777777" w:rsidR="0035584E" w:rsidRDefault="0035584E" w:rsidP="00CF6B03">
      <w:pPr>
        <w:spacing w:after="0" w:line="216" w:lineRule="atLeast"/>
        <w:jc w:val="both"/>
        <w:rPr>
          <w:rFonts w:asciiTheme="majorHAnsi" w:eastAsia="Calibri" w:hAnsiTheme="majorHAnsi" w:cstheme="majorHAnsi"/>
        </w:rPr>
      </w:pPr>
    </w:p>
    <w:p w14:paraId="2396A512" w14:textId="3A0E4462" w:rsidR="00261A1C"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The reference photodiode selected for this work is manufactured and measured routinely in the GlobalFoundries </w:t>
      </w:r>
      <w:r w:rsidR="001711F0">
        <w:rPr>
          <w:rFonts w:asciiTheme="majorHAnsi" w:eastAsia="Calibri" w:hAnsiTheme="majorHAnsi" w:cstheme="majorHAnsi"/>
        </w:rPr>
        <w:t>45</w:t>
      </w:r>
      <w:r w:rsidR="00FD7A8E">
        <w:rPr>
          <w:rFonts w:asciiTheme="majorHAnsi" w:eastAsia="Calibri" w:hAnsiTheme="majorHAnsi" w:cstheme="majorHAnsi"/>
        </w:rPr>
        <w:t>SP</w:t>
      </w:r>
      <w:r w:rsidRPr="00373088">
        <w:rPr>
          <w:rFonts w:asciiTheme="majorHAnsi" w:eastAsia="Calibri" w:hAnsiTheme="majorHAnsi" w:cstheme="majorHAnsi"/>
        </w:rPr>
        <w:t xml:space="preserve">CLO technology in circuits similar to </w:t>
      </w:r>
      <w:r w:rsidR="00DB2295" w:rsidRPr="00F802E1">
        <w:rPr>
          <w:rFonts w:ascii="Calibri" w:eastAsia="Calibri" w:hAnsi="Calibri" w:cs="Calibri"/>
          <w:b/>
          <w:bCs/>
        </w:rPr>
        <w:t>Supplementary Fig.2</w:t>
      </w:r>
      <w:r w:rsidR="009F58BA">
        <w:rPr>
          <w:rFonts w:ascii="Calibri" w:eastAsia="Calibri" w:hAnsi="Calibri" w:cs="Calibri"/>
          <w:b/>
          <w:bCs/>
        </w:rPr>
        <w:t>c</w:t>
      </w:r>
      <w:r w:rsidRPr="00373088">
        <w:rPr>
          <w:rFonts w:asciiTheme="majorHAnsi" w:eastAsia="Calibri" w:hAnsiTheme="majorHAnsi" w:cstheme="majorHAnsi"/>
        </w:rPr>
        <w:t>, granting access to a large historical dataset of trends across time, manufacturing tool, test tool and doping split. This allows experiments to leverage the robust statistics of the photodiode to normalize out the subtle differences in alignment or path length from DUT-to-DUT using the equation</w:t>
      </w:r>
    </w:p>
    <w:p w14:paraId="3BB6280B" w14:textId="77777777" w:rsidR="00DB2295" w:rsidRPr="00373088" w:rsidRDefault="00DB2295" w:rsidP="00CF6B03">
      <w:pPr>
        <w:spacing w:after="0" w:line="216" w:lineRule="atLeast"/>
        <w:jc w:val="both"/>
        <w:rPr>
          <w:rFonts w:asciiTheme="majorHAnsi" w:eastAsia="Calibri" w:hAnsiTheme="majorHAnsi" w:cstheme="majorHAnsi"/>
        </w:rPr>
      </w:pPr>
    </w:p>
    <w:p w14:paraId="65476420" w14:textId="3615E4AA" w:rsidR="00261A1C" w:rsidRDefault="002F6A59" w:rsidP="00DB2295">
      <w:pPr>
        <w:spacing w:after="0" w:line="216" w:lineRule="atLeast"/>
        <w:jc w:val="right"/>
        <w:rPr>
          <w:rFonts w:asciiTheme="majorHAnsi" w:eastAsia="Aptos" w:hAnsiTheme="majorHAnsi" w:cstheme="majorHAnsi"/>
          <w:sz w:val="24"/>
          <w:szCs w:val="24"/>
        </w:rPr>
      </w:pPr>
      <m:oMath>
        <m:sSub>
          <m:sSubPr>
            <m:ctrlPr>
              <w:rPr>
                <w:rFonts w:ascii="Cambria Math" w:eastAsia="Aptos" w:hAnsi="Cambria Math" w:cstheme="majorHAnsi"/>
                <w:i/>
                <w:sz w:val="24"/>
                <w:szCs w:val="24"/>
              </w:rPr>
            </m:ctrlPr>
          </m:sSubPr>
          <m:e>
            <m:r>
              <w:rPr>
                <w:rFonts w:ascii="Cambria Math" w:eastAsia="Aptos" w:hAnsi="Cambria Math" w:cstheme="majorHAnsi"/>
                <w:sz w:val="24"/>
                <w:szCs w:val="24"/>
              </w:rPr>
              <m:t>R</m:t>
            </m:r>
          </m:e>
          <m:sub>
            <m:r>
              <w:rPr>
                <w:rFonts w:ascii="Cambria Math" w:eastAsia="Aptos" w:hAnsi="Cambria Math" w:cstheme="majorHAnsi"/>
                <w:sz w:val="24"/>
                <w:szCs w:val="24"/>
              </w:rPr>
              <m:t>DUT</m:t>
            </m:r>
          </m:sub>
        </m:sSub>
        <m:r>
          <w:rPr>
            <w:rFonts w:ascii="Cambria Math" w:eastAsia="Aptos" w:hAnsi="Cambria Math" w:cstheme="majorHAnsi"/>
            <w:sz w:val="24"/>
            <w:szCs w:val="24"/>
          </w:rPr>
          <m:t>=</m:t>
        </m:r>
        <m:f>
          <m:fPr>
            <m:ctrlPr>
              <w:rPr>
                <w:rFonts w:ascii="Cambria Math" w:eastAsia="Aptos" w:hAnsi="Cambria Math" w:cstheme="majorHAnsi"/>
                <w:i/>
                <w:sz w:val="24"/>
                <w:szCs w:val="24"/>
              </w:rPr>
            </m:ctrlPr>
          </m:fPr>
          <m:num>
            <m:sSub>
              <m:sSubPr>
                <m:ctrlPr>
                  <w:rPr>
                    <w:rFonts w:ascii="Cambria Math" w:eastAsia="Aptos" w:hAnsi="Cambria Math" w:cstheme="majorHAnsi"/>
                    <w:i/>
                    <w:sz w:val="24"/>
                    <w:szCs w:val="24"/>
                  </w:rPr>
                </m:ctrlPr>
              </m:sSubPr>
              <m:e>
                <m:r>
                  <w:rPr>
                    <w:rFonts w:ascii="Cambria Math" w:eastAsia="Aptos" w:hAnsi="Cambria Math" w:cstheme="majorHAnsi"/>
                    <w:sz w:val="24"/>
                    <w:szCs w:val="24"/>
                  </w:rPr>
                  <m:t>I</m:t>
                </m:r>
              </m:e>
              <m:sub>
                <m:r>
                  <w:rPr>
                    <w:rFonts w:ascii="Cambria Math" w:eastAsia="Aptos" w:hAnsi="Cambria Math" w:cstheme="majorHAnsi"/>
                    <w:sz w:val="24"/>
                    <w:szCs w:val="24"/>
                  </w:rPr>
                  <m:t>DUT_Photo</m:t>
                </m:r>
              </m:sub>
            </m:sSub>
            <m:ctrlPr>
              <w:rPr>
                <w:rFonts w:ascii="Cambria Math" w:hAnsi="Cambria Math" w:cstheme="majorHAnsi"/>
                <w:i/>
                <w:noProof/>
              </w:rPr>
            </m:ctrlPr>
          </m:num>
          <m:den>
            <m:sSub>
              <m:sSubPr>
                <m:ctrlPr>
                  <w:rPr>
                    <w:rFonts w:ascii="Cambria Math" w:hAnsi="Cambria Math" w:cstheme="majorHAnsi"/>
                    <w:i/>
                    <w:noProof/>
                  </w:rPr>
                </m:ctrlPr>
              </m:sSubPr>
              <m:e>
                <m:r>
                  <w:rPr>
                    <w:rFonts w:ascii="Cambria Math" w:hAnsi="Cambria Math" w:cstheme="majorHAnsi"/>
                    <w:noProof/>
                  </w:rPr>
                  <m:t>P</m:t>
                </m:r>
              </m:e>
              <m:sub>
                <m:r>
                  <w:rPr>
                    <w:rFonts w:ascii="Cambria Math" w:hAnsi="Cambria Math" w:cstheme="majorHAnsi"/>
                    <w:noProof/>
                  </w:rPr>
                  <m:t>PD</m:t>
                </m:r>
              </m:sub>
            </m:sSub>
          </m:den>
        </m:f>
        <m:r>
          <w:rPr>
            <w:rFonts w:ascii="Cambria Math" w:eastAsia="Aptos" w:hAnsi="Cambria Math" w:cstheme="majorHAnsi"/>
            <w:sz w:val="24"/>
            <w:szCs w:val="24"/>
          </w:rPr>
          <m:t>×</m:t>
        </m:r>
        <m:f>
          <m:fPr>
            <m:ctrlPr>
              <w:rPr>
                <w:rFonts w:ascii="Cambria Math" w:eastAsia="Aptos" w:hAnsi="Cambria Math" w:cstheme="majorHAnsi"/>
                <w:i/>
                <w:sz w:val="24"/>
                <w:szCs w:val="24"/>
              </w:rPr>
            </m:ctrlPr>
          </m:fPr>
          <m:num>
            <m:sSub>
              <m:sSubPr>
                <m:ctrlPr>
                  <w:rPr>
                    <w:rFonts w:ascii="Cambria Math" w:eastAsia="Aptos" w:hAnsi="Cambria Math" w:cstheme="majorHAnsi"/>
                    <w:i/>
                    <w:sz w:val="24"/>
                    <w:szCs w:val="24"/>
                  </w:rPr>
                </m:ctrlPr>
              </m:sSubPr>
              <m:e>
                <m:r>
                  <w:rPr>
                    <w:rFonts w:ascii="Cambria Math" w:eastAsia="Aptos" w:hAnsi="Cambria Math" w:cstheme="majorHAnsi"/>
                    <w:sz w:val="24"/>
                    <w:szCs w:val="24"/>
                  </w:rPr>
                  <m:t>R</m:t>
                </m:r>
              </m:e>
              <m:sub>
                <m:r>
                  <w:rPr>
                    <w:rFonts w:ascii="Cambria Math" w:eastAsia="Aptos" w:hAnsi="Cambria Math" w:cstheme="majorHAnsi"/>
                    <w:sz w:val="24"/>
                    <w:szCs w:val="24"/>
                  </w:rPr>
                  <m:t>RefPD</m:t>
                </m:r>
              </m:sub>
            </m:sSub>
            <m:sSub>
              <m:sSubPr>
                <m:ctrlPr>
                  <w:rPr>
                    <w:rFonts w:ascii="Cambria Math" w:eastAsia="Aptos" w:hAnsi="Cambria Math" w:cstheme="majorHAnsi"/>
                    <w:i/>
                    <w:sz w:val="24"/>
                    <w:szCs w:val="24"/>
                  </w:rPr>
                </m:ctrlPr>
              </m:sSubPr>
              <m:e>
                <m:r>
                  <w:rPr>
                    <w:rFonts w:ascii="Cambria Math" w:eastAsia="Aptos" w:hAnsi="Cambria Math" w:cstheme="majorHAnsi"/>
                    <w:sz w:val="24"/>
                    <w:szCs w:val="24"/>
                  </w:rPr>
                  <m:t>P</m:t>
                </m:r>
              </m:e>
              <m:sub>
                <m:r>
                  <w:rPr>
                    <w:rFonts w:ascii="Cambria Math" w:eastAsia="Aptos" w:hAnsi="Cambria Math" w:cstheme="majorHAnsi"/>
                    <w:sz w:val="24"/>
                    <w:szCs w:val="24"/>
                  </w:rPr>
                  <m:t>PD</m:t>
                </m:r>
              </m:sub>
            </m:sSub>
            <m:ctrlPr>
              <w:rPr>
                <w:rFonts w:ascii="Cambria Math" w:hAnsi="Cambria Math" w:cstheme="majorHAnsi"/>
                <w:i/>
                <w:noProof/>
              </w:rPr>
            </m:ctrlPr>
          </m:num>
          <m:den>
            <m:sSub>
              <m:sSubPr>
                <m:ctrlPr>
                  <w:rPr>
                    <w:rFonts w:ascii="Cambria Math" w:hAnsi="Cambria Math" w:cstheme="majorHAnsi"/>
                    <w:i/>
                    <w:noProof/>
                  </w:rPr>
                </m:ctrlPr>
              </m:sSubPr>
              <m:e>
                <m:r>
                  <w:rPr>
                    <w:rFonts w:ascii="Cambria Math" w:hAnsi="Cambria Math" w:cstheme="majorHAnsi"/>
                    <w:noProof/>
                  </w:rPr>
                  <m:t>I</m:t>
                </m:r>
              </m:e>
              <m:sub>
                <m:r>
                  <w:rPr>
                    <w:rFonts w:ascii="Cambria Math" w:hAnsi="Cambria Math" w:cstheme="majorHAnsi"/>
                    <w:noProof/>
                  </w:rPr>
                  <m:t>Ref_Photo</m:t>
                </m:r>
              </m:sub>
            </m:sSub>
          </m:den>
        </m:f>
      </m:oMath>
      <w:r w:rsidR="00261A1C" w:rsidRPr="00373088">
        <w:rPr>
          <w:rFonts w:asciiTheme="majorHAnsi" w:eastAsia="Aptos" w:hAnsiTheme="majorHAnsi" w:cstheme="majorHAnsi"/>
          <w:sz w:val="24"/>
          <w:szCs w:val="24"/>
        </w:rPr>
        <w:t xml:space="preserve">  </w:t>
      </w:r>
      <w:r w:rsidR="00DB2295">
        <w:rPr>
          <w:rFonts w:asciiTheme="majorHAnsi" w:eastAsia="Aptos" w:hAnsiTheme="majorHAnsi" w:cstheme="majorHAnsi"/>
          <w:sz w:val="24"/>
          <w:szCs w:val="24"/>
        </w:rPr>
        <w:t xml:space="preserve">                                            </w:t>
      </w:r>
      <w:r w:rsidR="00261A1C" w:rsidRPr="00373088">
        <w:rPr>
          <w:rFonts w:asciiTheme="majorHAnsi" w:eastAsia="Aptos" w:hAnsiTheme="majorHAnsi" w:cstheme="majorHAnsi"/>
          <w:sz w:val="24"/>
          <w:szCs w:val="24"/>
        </w:rPr>
        <w:t>(5)</w:t>
      </w:r>
    </w:p>
    <w:p w14:paraId="45B84655" w14:textId="77777777" w:rsidR="00DB2295" w:rsidRPr="00373088" w:rsidRDefault="00DB2295" w:rsidP="00DB2295">
      <w:pPr>
        <w:spacing w:after="0" w:line="216" w:lineRule="atLeast"/>
        <w:jc w:val="right"/>
        <w:rPr>
          <w:rFonts w:asciiTheme="majorHAnsi" w:eastAsia="Aptos" w:hAnsiTheme="majorHAnsi" w:cstheme="majorHAnsi"/>
          <w:sz w:val="24"/>
          <w:szCs w:val="24"/>
        </w:rPr>
      </w:pPr>
    </w:p>
    <w:p w14:paraId="7ED90F7D" w14:textId="77777777" w:rsidR="00261A1C"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By selecting </w:t>
      </w:r>
      <m:oMath>
        <m:sSub>
          <m:sSubPr>
            <m:ctrlPr>
              <w:rPr>
                <w:rFonts w:ascii="Cambria Math" w:eastAsia="Aptos" w:hAnsi="Cambria Math" w:cstheme="majorHAnsi"/>
                <w:i/>
                <w:sz w:val="24"/>
                <w:szCs w:val="24"/>
              </w:rPr>
            </m:ctrlPr>
          </m:sSubPr>
          <m:e>
            <m:r>
              <w:rPr>
                <w:rFonts w:ascii="Cambria Math" w:eastAsia="Aptos" w:hAnsi="Cambria Math" w:cstheme="majorHAnsi"/>
                <w:sz w:val="24"/>
                <w:szCs w:val="24"/>
              </w:rPr>
              <m:t>R</m:t>
            </m:r>
          </m:e>
          <m:sub>
            <m:r>
              <w:rPr>
                <w:rFonts w:ascii="Cambria Math" w:eastAsia="Aptos" w:hAnsi="Cambria Math" w:cstheme="majorHAnsi"/>
                <w:sz w:val="24"/>
                <w:szCs w:val="24"/>
              </w:rPr>
              <m:t>RefPD</m:t>
            </m:r>
          </m:sub>
        </m:sSub>
      </m:oMath>
      <w:r w:rsidRPr="00373088">
        <w:rPr>
          <w:rFonts w:asciiTheme="majorHAnsi" w:eastAsia="Calibri" w:hAnsiTheme="majorHAnsi" w:cstheme="majorHAnsi"/>
        </w:rPr>
        <w:t xml:space="preserve"> equal to the median across the technology, this approach allows for the fast and robust extraction of relative responsivity between devices that is necessary for high volume manufacturing. Selecting </w:t>
      </w:r>
      <m:oMath>
        <m:sSub>
          <m:sSubPr>
            <m:ctrlPr>
              <w:rPr>
                <w:rFonts w:ascii="Cambria Math" w:eastAsia="Aptos" w:hAnsi="Cambria Math" w:cstheme="majorHAnsi"/>
                <w:i/>
                <w:sz w:val="24"/>
                <w:szCs w:val="24"/>
              </w:rPr>
            </m:ctrlPr>
          </m:sSubPr>
          <m:e>
            <m:r>
              <w:rPr>
                <w:rFonts w:ascii="Cambria Math" w:eastAsia="Aptos" w:hAnsi="Cambria Math" w:cstheme="majorHAnsi"/>
                <w:sz w:val="24"/>
                <w:szCs w:val="24"/>
              </w:rPr>
              <m:t>R</m:t>
            </m:r>
          </m:e>
          <m:sub>
            <m:r>
              <w:rPr>
                <w:rFonts w:ascii="Cambria Math" w:eastAsia="Aptos" w:hAnsi="Cambria Math" w:cstheme="majorHAnsi"/>
                <w:sz w:val="24"/>
                <w:szCs w:val="24"/>
              </w:rPr>
              <m:t>RefPD</m:t>
            </m:r>
          </m:sub>
        </m:sSub>
      </m:oMath>
      <w:r w:rsidRPr="00373088">
        <w:rPr>
          <w:rFonts w:asciiTheme="majorHAnsi" w:eastAsia="Calibri" w:hAnsiTheme="majorHAnsi" w:cstheme="majorHAnsi"/>
        </w:rPr>
        <w:t xml:space="preserve"> equal to the wafer median would also make this extraction fabrication-aware, as the independent extraction of </w:t>
      </w:r>
      <m:oMath>
        <m:sSub>
          <m:sSubPr>
            <m:ctrlPr>
              <w:rPr>
                <w:rFonts w:ascii="Cambria Math" w:eastAsia="Aptos" w:hAnsi="Cambria Math" w:cstheme="majorHAnsi"/>
                <w:i/>
                <w:sz w:val="24"/>
                <w:szCs w:val="24"/>
              </w:rPr>
            </m:ctrlPr>
          </m:sSubPr>
          <m:e>
            <m:r>
              <w:rPr>
                <w:rFonts w:ascii="Cambria Math" w:eastAsia="Aptos" w:hAnsi="Cambria Math" w:cstheme="majorHAnsi"/>
                <w:sz w:val="24"/>
                <w:szCs w:val="24"/>
              </w:rPr>
              <m:t>R</m:t>
            </m:r>
          </m:e>
          <m:sub>
            <m:r>
              <w:rPr>
                <w:rFonts w:ascii="Cambria Math" w:eastAsia="Aptos" w:hAnsi="Cambria Math" w:cstheme="majorHAnsi"/>
                <w:sz w:val="24"/>
                <w:szCs w:val="24"/>
              </w:rPr>
              <m:t>RefPD</m:t>
            </m:r>
          </m:sub>
        </m:sSub>
      </m:oMath>
      <w:r w:rsidRPr="00373088">
        <w:rPr>
          <w:rFonts w:asciiTheme="majorHAnsi" w:eastAsia="Calibri" w:hAnsiTheme="majorHAnsi" w:cstheme="majorHAnsi"/>
        </w:rPr>
        <w:t xml:space="preserve"> using Extended Data Eq. 1 provides a reference for the absolute responsivity as it responds to manufactured geometries and implant conditions.</w:t>
      </w:r>
    </w:p>
    <w:p w14:paraId="683435E1" w14:textId="77777777" w:rsidR="00261A1C"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  </w:t>
      </w:r>
    </w:p>
    <w:p w14:paraId="3603E22A" w14:textId="6F810D2C" w:rsidR="00261A1C" w:rsidRPr="00D17E78" w:rsidRDefault="00261A1C" w:rsidP="00CF6B03">
      <w:pPr>
        <w:spacing w:after="0" w:line="216" w:lineRule="atLeast"/>
        <w:jc w:val="both"/>
        <w:rPr>
          <w:rFonts w:asciiTheme="majorHAnsi" w:eastAsia="Calibri" w:hAnsiTheme="majorHAnsi" w:cstheme="majorHAnsi"/>
          <w:b/>
          <w:bCs/>
        </w:rPr>
      </w:pPr>
      <w:r w:rsidRPr="00373088">
        <w:rPr>
          <w:rFonts w:asciiTheme="majorHAnsi" w:eastAsia="Calibri" w:hAnsiTheme="majorHAnsi" w:cstheme="majorHAnsi"/>
          <w:b/>
          <w:bCs/>
        </w:rPr>
        <w:t>High-power measurement and role of silicon nitride routing</w:t>
      </w:r>
      <w:r w:rsidRPr="00D17E78">
        <w:rPr>
          <w:rFonts w:asciiTheme="majorHAnsi" w:eastAsia="Calibri" w:hAnsiTheme="majorHAnsi" w:cstheme="majorHAnsi"/>
          <w:b/>
          <w:bCs/>
        </w:rPr>
        <w:t xml:space="preserve"> </w:t>
      </w:r>
    </w:p>
    <w:p w14:paraId="5BEC80D1" w14:textId="6290109E" w:rsidR="004C258A" w:rsidRPr="00373088"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 xml:space="preserve">For measurements involving elevated input optical power, silicon nitride (SiN) waveguides are used in the optical routing path prior to the photodetector. SiN exhibits low nonlinear absorption and </w:t>
      </w:r>
      <w:r w:rsidR="00DB2295" w:rsidRPr="00373088">
        <w:rPr>
          <w:rFonts w:asciiTheme="majorHAnsi" w:eastAsia="Calibri" w:hAnsiTheme="majorHAnsi" w:cstheme="majorHAnsi"/>
        </w:rPr>
        <w:t>high-power</w:t>
      </w:r>
      <w:r w:rsidRPr="00373088">
        <w:rPr>
          <w:rFonts w:asciiTheme="majorHAnsi" w:eastAsia="Calibri" w:hAnsiTheme="majorHAnsi" w:cstheme="majorHAnsi"/>
        </w:rPr>
        <w:t xml:space="preserve"> handling capability, ensuring that optical loss, thermal effects, or nonlinearities in the routing waveguides do not distort the delivered power or affect the extracted responsivity. </w:t>
      </w:r>
      <w:r w:rsidR="00F23E29">
        <w:rPr>
          <w:rFonts w:asciiTheme="majorHAnsi" w:eastAsia="Calibri" w:hAnsiTheme="majorHAnsi" w:cstheme="majorHAnsi"/>
        </w:rPr>
        <w:t>Compared to Si</w:t>
      </w:r>
      <w:r w:rsidR="0000237E">
        <w:rPr>
          <w:rFonts w:asciiTheme="majorHAnsi" w:eastAsia="Calibri" w:hAnsiTheme="majorHAnsi" w:cstheme="majorHAnsi"/>
        </w:rPr>
        <w:t xml:space="preserve"> waveguide-based testing macros, t</w:t>
      </w:r>
      <w:r w:rsidRPr="00373088">
        <w:rPr>
          <w:rFonts w:asciiTheme="majorHAnsi" w:eastAsia="Calibri" w:hAnsiTheme="majorHAnsi" w:cstheme="majorHAnsi"/>
        </w:rPr>
        <w:t>his</w:t>
      </w:r>
      <w:r w:rsidR="0000237E">
        <w:rPr>
          <w:rFonts w:asciiTheme="majorHAnsi" w:eastAsia="Calibri" w:hAnsiTheme="majorHAnsi" w:cstheme="majorHAnsi"/>
        </w:rPr>
        <w:t xml:space="preserve"> approach</w:t>
      </w:r>
      <w:r w:rsidRPr="00373088">
        <w:rPr>
          <w:rFonts w:asciiTheme="majorHAnsi" w:eastAsia="Calibri" w:hAnsiTheme="majorHAnsi" w:cstheme="majorHAnsi"/>
        </w:rPr>
        <w:t xml:space="preserve"> allows the intrinsic linearity and power handling limits of the photodetector itself to be evaluated, rather than those of the surrounding photonic circuitry.</w:t>
      </w:r>
    </w:p>
    <w:p w14:paraId="2AEE3056" w14:textId="77777777" w:rsidR="00261A1C" w:rsidRPr="00373088" w:rsidRDefault="00261A1C" w:rsidP="00CF6B03">
      <w:pPr>
        <w:pBdr>
          <w:top w:val="nil"/>
          <w:left w:val="nil"/>
          <w:bottom w:val="nil"/>
          <w:right w:val="nil"/>
          <w:between w:val="nil"/>
        </w:pBdr>
        <w:spacing w:after="0" w:line="216" w:lineRule="atLeast"/>
        <w:jc w:val="both"/>
        <w:rPr>
          <w:rFonts w:asciiTheme="majorHAnsi" w:eastAsia="Calibri" w:hAnsiTheme="majorHAnsi" w:cstheme="majorHAnsi"/>
          <w:b/>
          <w:bCs/>
          <w:sz w:val="24"/>
          <w:szCs w:val="24"/>
        </w:rPr>
      </w:pPr>
    </w:p>
    <w:p w14:paraId="0EC122AB" w14:textId="723D4593" w:rsidR="00261A1C" w:rsidRPr="00D17E78" w:rsidRDefault="00D17E78" w:rsidP="00CF6B03">
      <w:pPr>
        <w:spacing w:after="0" w:line="216" w:lineRule="atLeast"/>
        <w:jc w:val="both"/>
        <w:rPr>
          <w:rFonts w:asciiTheme="majorHAnsi" w:eastAsia="Calibri" w:hAnsiTheme="majorHAnsi" w:cstheme="majorHAnsi"/>
          <w:b/>
          <w:bCs/>
        </w:rPr>
      </w:pPr>
      <w:r>
        <w:rPr>
          <w:rFonts w:asciiTheme="majorHAnsi" w:eastAsia="Calibri" w:hAnsiTheme="majorHAnsi" w:cstheme="majorHAnsi"/>
          <w:b/>
          <w:bCs/>
        </w:rPr>
        <w:t>S2.</w:t>
      </w:r>
      <w:r w:rsidR="00976467">
        <w:rPr>
          <w:rFonts w:asciiTheme="majorHAnsi" w:eastAsia="Calibri" w:hAnsiTheme="majorHAnsi" w:cstheme="majorHAnsi"/>
          <w:b/>
          <w:bCs/>
        </w:rPr>
        <w:t>2</w:t>
      </w:r>
      <w:r>
        <w:rPr>
          <w:rFonts w:asciiTheme="majorHAnsi" w:eastAsia="Calibri" w:hAnsiTheme="majorHAnsi" w:cstheme="majorHAnsi"/>
          <w:b/>
          <w:bCs/>
        </w:rPr>
        <w:t xml:space="preserve"> </w:t>
      </w:r>
      <w:r w:rsidR="00261A1C" w:rsidRPr="00D17E78">
        <w:rPr>
          <w:rFonts w:asciiTheme="majorHAnsi" w:eastAsia="Calibri" w:hAnsiTheme="majorHAnsi" w:cstheme="majorHAnsi"/>
          <w:b/>
          <w:bCs/>
        </w:rPr>
        <w:t xml:space="preserve">Bandwidth and Eye Diagram measurement methodology </w:t>
      </w:r>
    </w:p>
    <w:p w14:paraId="225BC247" w14:textId="77777777" w:rsidR="00261A1C" w:rsidRDefault="00261A1C" w:rsidP="00CF6B03">
      <w:pPr>
        <w:spacing w:after="0" w:line="216" w:lineRule="atLeast"/>
        <w:jc w:val="both"/>
        <w:rPr>
          <w:rFonts w:asciiTheme="majorHAnsi" w:eastAsia="Calibri" w:hAnsiTheme="majorHAnsi" w:cstheme="majorHAnsi"/>
        </w:rPr>
      </w:pPr>
      <w:r w:rsidRPr="00373088">
        <w:rPr>
          <w:rFonts w:asciiTheme="majorHAnsi" w:eastAsia="Calibri" w:hAnsiTheme="majorHAnsi" w:cstheme="majorHAnsi"/>
        </w:rPr>
        <w:t>Measuring the high frequency behavior of a photodiode requires careful consideration of the impedances of test equipment, which can vary heavily with tester configuration. To compensate for this variability, a strict procedure for electrical calibration must be followed to allow for accurate characterization of impedance mismatch. This approach allows for the de-embedding of environmental non-idealities, and enables clean extraction of device performance independent of surrounding circuitry.</w:t>
      </w:r>
    </w:p>
    <w:p w14:paraId="3EBF5A62" w14:textId="77777777" w:rsidR="00CF6B03" w:rsidRPr="00373088" w:rsidRDefault="00CF6B03" w:rsidP="00CF6B03">
      <w:pPr>
        <w:spacing w:after="0" w:line="216" w:lineRule="atLeast"/>
        <w:jc w:val="both"/>
        <w:rPr>
          <w:rFonts w:asciiTheme="majorHAnsi" w:eastAsia="Calibri" w:hAnsiTheme="majorHAnsi" w:cstheme="majorHAnsi"/>
        </w:rPr>
      </w:pPr>
    </w:p>
    <w:p w14:paraId="3538F490" w14:textId="4304B3BE" w:rsidR="00261A1C" w:rsidRPr="00D17E78" w:rsidRDefault="00261A1C" w:rsidP="00CF6B03">
      <w:pPr>
        <w:spacing w:after="0" w:line="216" w:lineRule="atLeast"/>
        <w:jc w:val="both"/>
        <w:rPr>
          <w:rFonts w:asciiTheme="majorHAnsi" w:eastAsia="Calibri" w:hAnsiTheme="majorHAnsi" w:cstheme="majorHAnsi"/>
          <w:b/>
          <w:bCs/>
        </w:rPr>
      </w:pPr>
      <w:r w:rsidRPr="00D17E78">
        <w:rPr>
          <w:rFonts w:asciiTheme="majorHAnsi" w:eastAsia="Calibri" w:hAnsiTheme="majorHAnsi" w:cstheme="majorHAnsi"/>
          <w:b/>
          <w:bCs/>
        </w:rPr>
        <w:t>Calibration of LCA/PNA for Bandwidth measurement</w:t>
      </w:r>
    </w:p>
    <w:p w14:paraId="650AF8D3" w14:textId="37C72061" w:rsidR="00261A1C" w:rsidRDefault="00261A1C" w:rsidP="00CF6B0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 xml:space="preserve">The setup for bandwidth measurement is shown in </w:t>
      </w:r>
      <w:r w:rsidR="00B00AAC" w:rsidRPr="00F802E1">
        <w:rPr>
          <w:rFonts w:ascii="Calibri" w:eastAsia="Calibri" w:hAnsi="Calibri" w:cs="Calibri"/>
          <w:b/>
          <w:bCs/>
        </w:rPr>
        <w:t>Supplementary Fig.</w:t>
      </w:r>
      <w:r w:rsidR="00393D64">
        <w:rPr>
          <w:rFonts w:ascii="Calibri" w:eastAsia="Calibri" w:hAnsi="Calibri" w:cs="Calibri"/>
          <w:b/>
          <w:bCs/>
        </w:rPr>
        <w:t>3</w:t>
      </w:r>
      <w:r w:rsidRPr="001275BE">
        <w:rPr>
          <w:rFonts w:asciiTheme="majorHAnsi" w:eastAsia="Calibri" w:hAnsiTheme="majorHAnsi" w:cstheme="majorHAnsi"/>
        </w:rPr>
        <w:t>. To ensure proper de-embedding of all of the system impedances, the calibration procedure for bandwidth measurement is broken into three steps. Each step will produce an S2P calibration file, which can be cascaded with the next to produce the full system calibration constants.</w:t>
      </w:r>
    </w:p>
    <w:p w14:paraId="37109329" w14:textId="77777777" w:rsidR="00CF6B03" w:rsidRPr="001275BE" w:rsidRDefault="00CF6B03" w:rsidP="00CF6B03">
      <w:pPr>
        <w:spacing w:after="0" w:line="216" w:lineRule="atLeast"/>
        <w:jc w:val="both"/>
        <w:rPr>
          <w:rFonts w:asciiTheme="majorHAnsi" w:eastAsia="Calibri" w:hAnsiTheme="majorHAnsi" w:cstheme="majorHAnsi"/>
        </w:rPr>
      </w:pPr>
    </w:p>
    <w:p w14:paraId="70F89F8D" w14:textId="77777777" w:rsidR="00261A1C" w:rsidRDefault="00261A1C" w:rsidP="00CF6B0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 xml:space="preserve">First, the impedances of the cabling and LCA connections are measured using a 2 arm open-short-load calibration with a N4694-60003 electrical calibration module. During this process, it is critical to position the cables with long bend radii, and place the bends in positions along the length that will losely represent the assembled tester, as bending radius and location can significantly impact the cable impedance when measuring in the range of &gt;50GHz. </w:t>
      </w:r>
    </w:p>
    <w:p w14:paraId="74DCCAC9" w14:textId="77777777" w:rsidR="00147426" w:rsidRPr="001275BE" w:rsidRDefault="00147426" w:rsidP="00CF6B03">
      <w:pPr>
        <w:spacing w:after="0" w:line="216" w:lineRule="atLeast"/>
        <w:jc w:val="both"/>
        <w:rPr>
          <w:rFonts w:asciiTheme="majorHAnsi" w:eastAsia="Calibri" w:hAnsiTheme="majorHAnsi" w:cstheme="majorHAnsi"/>
        </w:rPr>
      </w:pPr>
    </w:p>
    <w:p w14:paraId="0D0DC974" w14:textId="77777777" w:rsidR="00261A1C" w:rsidRDefault="00261A1C" w:rsidP="00CF6B0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 xml:space="preserve">Once the LCA and cable calibrations are complete, the cabling can be connected to the probe card for de-embedding of the probes and connector. This is done using a 101-190C ICC precision calibration structure with shorted, open and loaded padsets to model the effects of the RF probes in contact with a  wafer. To select the proper over-travel, first contact is made with the calibration structure visually, and then over travel is increased gradually until the impedance begins to stabilize. This ensures a repeatable connection between the probe card and the wafer, which is necessary for wafer level testing where connections must be broken and remade frequently while gathering statistics. </w:t>
      </w:r>
    </w:p>
    <w:p w14:paraId="64FAD53F" w14:textId="77777777" w:rsidR="00CF6B03" w:rsidRPr="001275BE" w:rsidRDefault="00CF6B03" w:rsidP="00CF6B03">
      <w:pPr>
        <w:spacing w:after="0" w:line="216" w:lineRule="atLeast"/>
        <w:jc w:val="both"/>
        <w:rPr>
          <w:rFonts w:asciiTheme="majorHAnsi" w:eastAsia="Calibri" w:hAnsiTheme="majorHAnsi" w:cstheme="majorHAnsi"/>
        </w:rPr>
      </w:pPr>
    </w:p>
    <w:p w14:paraId="64F629E6" w14:textId="77777777" w:rsidR="00261A1C" w:rsidRDefault="00261A1C" w:rsidP="00CF6B0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 xml:space="preserve">Finally, to ensure highly accurate extraction of device characteristics, a third calibration can be done with open and shorted padsets matching the geometry of the high-speed wiring for the device under test. This allows for de-embedding of the metal stackup and dielectric constants of the technology, along with any mismatches in the wiring, leaving only the bandwidth characteristics of the device under test. </w:t>
      </w:r>
    </w:p>
    <w:p w14:paraId="28F35C41" w14:textId="77777777" w:rsidR="00CF6B03" w:rsidRPr="001275BE" w:rsidRDefault="00CF6B03" w:rsidP="00CF6B03">
      <w:pPr>
        <w:spacing w:after="0" w:line="216" w:lineRule="atLeast"/>
        <w:jc w:val="both"/>
        <w:rPr>
          <w:rFonts w:asciiTheme="majorHAnsi" w:eastAsia="Calibri" w:hAnsiTheme="majorHAnsi" w:cstheme="majorHAnsi"/>
        </w:rPr>
      </w:pPr>
    </w:p>
    <w:p w14:paraId="52B256B0" w14:textId="77777777" w:rsidR="00261A1C" w:rsidRDefault="00261A1C" w:rsidP="00CF6B0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 xml:space="preserve">For small signal analysis, it is important to measure for a variety of optical powers to examine the thermal response and carrier screening effects on photodiode bandwidth. For accurate and efficient power setting during high-speed test, the device under test will first undergo responsivity measurement on a dedicated higher pinout DC tester. This will allow the high-speed test system to assume a responsivity value for the diode and tune optical power for a desired photocurrent, removing the need for precise optical calibration and loopback measurement. Once power is properly set, the LCA internal reference modulator can be enabled and the measurement can proceed. </w:t>
      </w:r>
    </w:p>
    <w:p w14:paraId="56CDF0F0" w14:textId="77777777" w:rsidR="00147426" w:rsidRPr="001275BE" w:rsidRDefault="00147426" w:rsidP="00CF6B03">
      <w:pPr>
        <w:spacing w:after="0" w:line="216" w:lineRule="atLeast"/>
        <w:jc w:val="both"/>
        <w:rPr>
          <w:rFonts w:asciiTheme="majorHAnsi" w:eastAsia="Calibri" w:hAnsiTheme="majorHAnsi" w:cstheme="majorHAnsi"/>
        </w:rPr>
      </w:pPr>
    </w:p>
    <w:p w14:paraId="1EB47AA0" w14:textId="18C66287" w:rsidR="00261A1C" w:rsidRPr="00D17E78" w:rsidRDefault="00261A1C" w:rsidP="00CF6B03">
      <w:pPr>
        <w:spacing w:after="0" w:line="216" w:lineRule="atLeast"/>
        <w:jc w:val="both"/>
        <w:rPr>
          <w:rFonts w:asciiTheme="majorHAnsi" w:eastAsia="Calibri" w:hAnsiTheme="majorHAnsi" w:cstheme="majorHAnsi"/>
          <w:b/>
          <w:bCs/>
        </w:rPr>
      </w:pPr>
      <w:r w:rsidRPr="00D17E78">
        <w:rPr>
          <w:rFonts w:asciiTheme="majorHAnsi" w:eastAsia="Calibri" w:hAnsiTheme="majorHAnsi" w:cstheme="majorHAnsi"/>
          <w:b/>
          <w:bCs/>
        </w:rPr>
        <w:t>Calibration of AWG and Oscilloscope for Bandwidth measurement</w:t>
      </w:r>
    </w:p>
    <w:p w14:paraId="40029718" w14:textId="77777777" w:rsidR="005E4543" w:rsidRDefault="005E4543" w:rsidP="00CF6B03">
      <w:pPr>
        <w:spacing w:after="0" w:line="216" w:lineRule="atLeast"/>
        <w:jc w:val="both"/>
        <w:rPr>
          <w:rFonts w:asciiTheme="majorHAnsi" w:eastAsia="Calibri" w:hAnsiTheme="majorHAnsi" w:cstheme="majorHAnsi"/>
        </w:rPr>
      </w:pPr>
    </w:p>
    <w:p w14:paraId="419CD7BF" w14:textId="4D5B729E" w:rsidR="00CF6B03" w:rsidRPr="001275BE" w:rsidRDefault="005E4543" w:rsidP="19BBB4C0">
      <w:pPr>
        <w:spacing w:after="0" w:line="216" w:lineRule="atLeast"/>
        <w:jc w:val="both"/>
        <w:rPr>
          <w:rFonts w:asciiTheme="majorHAnsi" w:eastAsia="Calibri" w:hAnsiTheme="majorHAnsi" w:cstheme="majorBidi"/>
        </w:rPr>
      </w:pPr>
      <w:r w:rsidRPr="19BBB4C0">
        <w:rPr>
          <w:rFonts w:asciiTheme="majorHAnsi" w:eastAsia="Calibri" w:hAnsiTheme="majorHAnsi" w:cstheme="majorBidi"/>
        </w:rPr>
        <w:t>In the eyediagram measurement circuit (Fig.</w:t>
      </w:r>
      <w:r w:rsidRPr="19BBB4C0">
        <w:rPr>
          <w:rFonts w:ascii="Calibri" w:eastAsia="Calibri" w:hAnsi="Calibri" w:cs="Calibri"/>
        </w:rPr>
        <w:t> </w:t>
      </w:r>
      <w:r w:rsidR="5EC33133" w:rsidRPr="19BBB4C0">
        <w:rPr>
          <w:rFonts w:ascii="Calibri" w:eastAsia="Calibri" w:hAnsi="Calibri" w:cs="Calibri"/>
        </w:rPr>
        <w:t>3</w:t>
      </w:r>
      <w:r w:rsidRPr="19BBB4C0">
        <w:rPr>
          <w:rFonts w:asciiTheme="majorHAnsi" w:eastAsia="Calibri" w:hAnsiTheme="majorHAnsi" w:cstheme="majorBidi"/>
        </w:rPr>
        <w:t>a), the oscilloscope clock reference is delivered through a controlled</w:t>
      </w:r>
      <w:r w:rsidR="00042075">
        <w:rPr>
          <w:rFonts w:ascii="Cambria Math" w:eastAsia="Calibri" w:hAnsi="Cambria Math" w:cs="Cambria Math"/>
        </w:rPr>
        <w:t xml:space="preserve"> </w:t>
      </w:r>
      <w:r w:rsidRPr="19BBB4C0">
        <w:rPr>
          <w:rFonts w:asciiTheme="majorHAnsi" w:eastAsia="Calibri" w:hAnsiTheme="majorHAnsi" w:cstheme="majorBidi"/>
        </w:rPr>
        <w:t>impedance path matched to the instrument termination, ensuring a stable timing reference for calibration and de</w:t>
      </w:r>
      <w:r w:rsidR="00042075">
        <w:rPr>
          <w:rFonts w:ascii="Cambria Math" w:eastAsia="Calibri" w:hAnsi="Cambria Math" w:cs="Cambria Math"/>
        </w:rPr>
        <w:t>-</w:t>
      </w:r>
      <w:r w:rsidRPr="19BBB4C0">
        <w:rPr>
          <w:rFonts w:asciiTheme="majorHAnsi" w:eastAsia="Calibri" w:hAnsiTheme="majorHAnsi" w:cstheme="majorBidi"/>
        </w:rPr>
        <w:t>emphasis optimization across the electrical signal chain.</w:t>
      </w:r>
    </w:p>
    <w:p w14:paraId="4CE13AF7" w14:textId="4848F2BD" w:rsidR="00261A1C" w:rsidRDefault="00261A1C" w:rsidP="00CF6B0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 xml:space="preserve">To optimize the connection between the AWG and the reference modulator, the modulator is driven with an external laser, and the optical output is connected to the optical input of the sampling oscilloscope. Once the driver settings are optimized out to the input of the reference modulator, the input cable can be connected to the cabling that connects the probe card to the oscilloscope to remove the added effects of the return circuitry from the measurement. Unlike with bandwidth measurement, this methodology cannot account for the effects of the probes and metal stackup without corrupting the measurement with </w:t>
      </w:r>
      <w:r w:rsidR="00A93A36">
        <w:rPr>
          <w:rFonts w:asciiTheme="majorHAnsi" w:eastAsia="Calibri" w:hAnsiTheme="majorHAnsi" w:cstheme="majorHAnsi"/>
        </w:rPr>
        <w:t>a</w:t>
      </w:r>
      <w:r w:rsidRPr="001275BE">
        <w:rPr>
          <w:rFonts w:asciiTheme="majorHAnsi" w:eastAsia="Calibri" w:hAnsiTheme="majorHAnsi" w:cstheme="majorHAnsi"/>
        </w:rPr>
        <w:t xml:space="preserve">A </w:t>
      </w:r>
      <w:r w:rsidR="00A93A36">
        <w:rPr>
          <w:rFonts w:asciiTheme="majorHAnsi" w:eastAsia="Calibri" w:hAnsiTheme="majorHAnsi" w:cstheme="majorHAnsi"/>
        </w:rPr>
        <w:t>p</w:t>
      </w:r>
      <w:r w:rsidRPr="001275BE">
        <w:rPr>
          <w:rFonts w:asciiTheme="majorHAnsi" w:eastAsia="Calibri" w:hAnsiTheme="majorHAnsi" w:cstheme="majorHAnsi"/>
        </w:rPr>
        <w:t xml:space="preserve">osteriori knowledge of the device, so those effects are left uncompensated for in the resulting measurement. </w:t>
      </w:r>
    </w:p>
    <w:p w14:paraId="576F9897" w14:textId="77777777" w:rsidR="00CF6B03" w:rsidRPr="001275BE" w:rsidRDefault="00CF6B03" w:rsidP="00CF6B03">
      <w:pPr>
        <w:spacing w:after="0" w:line="216" w:lineRule="atLeast"/>
        <w:jc w:val="both"/>
        <w:rPr>
          <w:rFonts w:asciiTheme="majorHAnsi" w:eastAsia="Calibri" w:hAnsiTheme="majorHAnsi" w:cstheme="majorHAnsi"/>
        </w:rPr>
      </w:pPr>
    </w:p>
    <w:p w14:paraId="703E9937" w14:textId="5BB84422" w:rsidR="00261A1C" w:rsidRPr="007B3323" w:rsidRDefault="00261A1C" w:rsidP="007B3323">
      <w:pPr>
        <w:spacing w:after="0" w:line="216" w:lineRule="atLeast"/>
        <w:jc w:val="both"/>
        <w:rPr>
          <w:rFonts w:asciiTheme="majorHAnsi" w:eastAsia="Calibri" w:hAnsiTheme="majorHAnsi" w:cstheme="majorHAnsi"/>
        </w:rPr>
      </w:pPr>
      <w:r w:rsidRPr="001275BE">
        <w:rPr>
          <w:rFonts w:asciiTheme="majorHAnsi" w:eastAsia="Calibri" w:hAnsiTheme="majorHAnsi" w:cstheme="majorHAnsi"/>
        </w:rPr>
        <w:t>Once the de-emphasis settings have been optimized, they are frozen for measurement and the setup is reassembled as shown in</w:t>
      </w:r>
      <w:r w:rsidR="00BC09AC">
        <w:rPr>
          <w:rFonts w:asciiTheme="majorHAnsi" w:eastAsia="Calibri" w:hAnsiTheme="majorHAnsi" w:cstheme="majorHAnsi"/>
        </w:rPr>
        <w:t xml:space="preserve"> the </w:t>
      </w:r>
      <w:r w:rsidR="00B653FB">
        <w:rPr>
          <w:rFonts w:asciiTheme="majorHAnsi" w:eastAsia="Calibri" w:hAnsiTheme="majorHAnsi" w:cstheme="majorHAnsi"/>
        </w:rPr>
        <w:t>schematic</w:t>
      </w:r>
      <w:r w:rsidRPr="001275BE">
        <w:rPr>
          <w:rFonts w:asciiTheme="majorHAnsi" w:eastAsia="Calibri" w:hAnsiTheme="majorHAnsi" w:cstheme="majorHAnsi"/>
        </w:rPr>
        <w:t xml:space="preserve">. After contacting the device under test, the optical power is set in the same photocurrent-driven manner as in the bandwidth methodology detailed in </w:t>
      </w:r>
      <w:r w:rsidR="00C32BB8" w:rsidRPr="00C32BB8">
        <w:rPr>
          <w:rFonts w:asciiTheme="majorHAnsi" w:eastAsia="Calibri" w:hAnsiTheme="majorHAnsi" w:cstheme="majorHAnsi"/>
          <w:b/>
          <w:bCs/>
        </w:rPr>
        <w:t>Supplementary</w:t>
      </w:r>
      <w:r w:rsidRPr="00C32BB8">
        <w:rPr>
          <w:rFonts w:asciiTheme="majorHAnsi" w:eastAsia="Calibri" w:hAnsiTheme="majorHAnsi" w:cstheme="majorHAnsi"/>
          <w:b/>
          <w:bCs/>
        </w:rPr>
        <w:t xml:space="preserve"> </w:t>
      </w:r>
      <w:r w:rsidR="00B26497">
        <w:rPr>
          <w:rFonts w:asciiTheme="majorHAnsi" w:eastAsia="Calibri" w:hAnsiTheme="majorHAnsi" w:cstheme="majorHAnsi"/>
          <w:b/>
          <w:bCs/>
        </w:rPr>
        <w:t>S3</w:t>
      </w:r>
      <w:r w:rsidRPr="001275BE">
        <w:rPr>
          <w:rFonts w:asciiTheme="majorHAnsi" w:eastAsia="Calibri" w:hAnsiTheme="majorHAnsi" w:cstheme="majorHAnsi"/>
        </w:rPr>
        <w:t>. For large signal analysis of photodiodes, the ideal optical power should be set well above the dark current level while remaining below the carrier screening limitation of the device for the targeted Nyquist frequency of operation. Once the power is set correctly for the desired data rate, the AWG can begin driving the reference modulator, and the sampling oscilloscope can begin periodically sampling the higher frequency signal until the waveform is representatively sampled, averaging 32 periods of the pseudo-random binary sequence to produce the final eye histogram and relevant statistics on symbol error rate, outer modulation amplitude, rise/fall time, and TDECQ if applicable.</w:t>
      </w:r>
    </w:p>
    <w:p w14:paraId="7D8FED93" w14:textId="77777777" w:rsidR="001D4111" w:rsidRPr="00373088" w:rsidRDefault="001D4111" w:rsidP="001D4111">
      <w:pPr>
        <w:pBdr>
          <w:top w:val="nil"/>
          <w:left w:val="nil"/>
          <w:bottom w:val="nil"/>
          <w:right w:val="nil"/>
          <w:between w:val="nil"/>
        </w:pBdr>
        <w:spacing w:after="0" w:line="240" w:lineRule="auto"/>
        <w:jc w:val="both"/>
        <w:rPr>
          <w:rFonts w:asciiTheme="majorHAnsi" w:hAnsiTheme="majorHAnsi" w:cstheme="majorHAnsi"/>
        </w:rPr>
      </w:pPr>
    </w:p>
    <w:p w14:paraId="159A1644" w14:textId="77777777" w:rsidR="001D4111" w:rsidRPr="00373088" w:rsidRDefault="001D4111" w:rsidP="001D4111">
      <w:pPr>
        <w:spacing w:before="240" w:after="240"/>
        <w:jc w:val="both"/>
        <w:rPr>
          <w:rFonts w:asciiTheme="majorHAnsi" w:hAnsiTheme="majorHAnsi" w:cstheme="majorHAnsi"/>
        </w:rPr>
      </w:pPr>
      <w:r w:rsidRPr="00373088">
        <w:rPr>
          <w:rFonts w:asciiTheme="majorHAnsi" w:eastAsia="Calibri" w:hAnsiTheme="majorHAnsi" w:cstheme="majorHAnsi"/>
          <w:b/>
          <w:noProof/>
          <w:sz w:val="26"/>
          <w:szCs w:val="26"/>
        </w:rPr>
        <w:drawing>
          <wp:inline distT="0" distB="0" distL="0" distR="0" wp14:anchorId="10DB9EBB" wp14:editId="54651EBC">
            <wp:extent cx="5486400" cy="2628227"/>
            <wp:effectExtent l="0" t="0" r="0" b="1270"/>
            <wp:docPr id="443595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28227"/>
                    </a:xfrm>
                    <a:prstGeom prst="rect">
                      <a:avLst/>
                    </a:prstGeom>
                    <a:noFill/>
                  </pic:spPr>
                </pic:pic>
              </a:graphicData>
            </a:graphic>
          </wp:inline>
        </w:drawing>
      </w:r>
    </w:p>
    <w:p w14:paraId="5354FDE7" w14:textId="77777777" w:rsidR="001D4111" w:rsidRPr="00D63882" w:rsidRDefault="001D4111" w:rsidP="001D4111">
      <w:pPr>
        <w:spacing w:after="0" w:line="276" w:lineRule="auto"/>
        <w:jc w:val="both"/>
        <w:rPr>
          <w:rFonts w:asciiTheme="majorHAnsi" w:eastAsia="Calibri" w:hAnsiTheme="majorHAnsi" w:cstheme="majorHAnsi"/>
          <w:sz w:val="20"/>
          <w:szCs w:val="20"/>
        </w:rPr>
      </w:pPr>
      <w:r w:rsidRPr="00D63882">
        <w:rPr>
          <w:rFonts w:asciiTheme="majorHAnsi" w:eastAsia="Calibri" w:hAnsiTheme="majorHAnsi" w:cstheme="majorHAnsi"/>
          <w:b/>
          <w:bCs/>
          <w:sz w:val="20"/>
          <w:szCs w:val="20"/>
        </w:rPr>
        <w:t>Supplementary Fig. 3 | Measurement setup for small</w:t>
      </w:r>
      <w:r w:rsidRPr="00D63882">
        <w:rPr>
          <w:rFonts w:ascii="Cambria Math" w:eastAsia="Calibri" w:hAnsi="Cambria Math" w:cs="Cambria Math"/>
          <w:b/>
          <w:bCs/>
          <w:sz w:val="20"/>
          <w:szCs w:val="20"/>
        </w:rPr>
        <w:t>‑</w:t>
      </w:r>
      <w:r w:rsidRPr="00D63882">
        <w:rPr>
          <w:rFonts w:asciiTheme="majorHAnsi" w:eastAsia="Calibri" w:hAnsiTheme="majorHAnsi" w:cstheme="majorHAnsi"/>
          <w:b/>
          <w:bCs/>
          <w:sz w:val="20"/>
          <w:szCs w:val="20"/>
        </w:rPr>
        <w:t>signal optoelectronic bandwidth extraction up to 110 GHz.</w:t>
      </w:r>
    </w:p>
    <w:p w14:paraId="7E9D6087" w14:textId="77777777" w:rsidR="001D4111" w:rsidRPr="00D63882" w:rsidRDefault="001D4111" w:rsidP="00CF6B03">
      <w:pPr>
        <w:pBdr>
          <w:top w:val="nil"/>
          <w:left w:val="nil"/>
          <w:bottom w:val="nil"/>
          <w:right w:val="nil"/>
          <w:between w:val="nil"/>
        </w:pBdr>
        <w:spacing w:after="0" w:line="240" w:lineRule="auto"/>
        <w:jc w:val="both"/>
        <w:rPr>
          <w:rFonts w:asciiTheme="majorHAnsi" w:eastAsia="Calibri" w:hAnsiTheme="majorHAnsi" w:cstheme="majorHAnsi"/>
          <w:sz w:val="20"/>
          <w:szCs w:val="20"/>
        </w:rPr>
      </w:pPr>
      <w:r w:rsidRPr="00D63882">
        <w:rPr>
          <w:rFonts w:asciiTheme="majorHAnsi" w:eastAsia="Calibri" w:hAnsiTheme="majorHAnsi" w:cstheme="majorHAnsi"/>
          <w:sz w:val="20"/>
          <w:szCs w:val="20"/>
        </w:rPr>
        <w:t xml:space="preserve"> Schematic of the calibrated on</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wafer measurement configuration used for small</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signal optoelectronic S</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parameter characterization. The setup comprises a lightwave component analyser (LCA) integrated with a vector network analyser, optical source path with polarization control and variable attenuation, and a calibrated reference power path. The device under test (DUT) is probed using ground–signal–ground (GSG) RF probes and biased via a source measurement unit under reverse</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bias conditions. Optical and electrical measurement paths are independently calibrated, and the measured S</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parameters are de</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embedded to remove cable, probe, pad and interconnect parasitics. The 3</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dB optoelectronic bandwidth is extracted from the S21 response, with direct measurement limited by the ~110 GHz bandwidth of the test system.</w:t>
      </w:r>
    </w:p>
    <w:p w14:paraId="0BA1058D" w14:textId="77777777" w:rsidR="00257FDB" w:rsidRDefault="00257FDB">
      <w:pPr>
        <w:spacing w:after="0" w:line="276" w:lineRule="auto"/>
        <w:jc w:val="both"/>
        <w:rPr>
          <w:rFonts w:asciiTheme="majorHAnsi" w:eastAsia="Calibri" w:hAnsiTheme="majorHAnsi" w:cstheme="majorHAnsi"/>
        </w:rPr>
      </w:pPr>
    </w:p>
    <w:p w14:paraId="5BA26426" w14:textId="6E8F5A68" w:rsidR="004A11E9" w:rsidRPr="0004383D" w:rsidRDefault="00373088" w:rsidP="0004383D">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Pr>
          <w:rFonts w:asciiTheme="majorHAnsi" w:eastAsia="Calibri" w:hAnsiTheme="majorHAnsi" w:cstheme="majorHAnsi"/>
          <w:b/>
          <w:sz w:val="24"/>
          <w:szCs w:val="24"/>
        </w:rPr>
        <w:t xml:space="preserve">S3. </w:t>
      </w:r>
      <w:r w:rsidR="004A11E9" w:rsidRPr="00373088">
        <w:rPr>
          <w:rFonts w:asciiTheme="majorHAnsi" w:eastAsia="Calibri" w:hAnsiTheme="majorHAnsi" w:cstheme="majorHAnsi"/>
          <w:b/>
          <w:sz w:val="24"/>
          <w:szCs w:val="24"/>
        </w:rPr>
        <w:t>Additional wafer</w:t>
      </w:r>
      <w:r w:rsidR="004A11E9" w:rsidRPr="0004383D">
        <w:rPr>
          <w:rFonts w:ascii="Cambria Math" w:eastAsia="Calibri" w:hAnsi="Cambria Math" w:cs="Cambria Math"/>
          <w:b/>
          <w:sz w:val="24"/>
          <w:szCs w:val="24"/>
        </w:rPr>
        <w:t>‑</w:t>
      </w:r>
      <w:r w:rsidR="004A11E9" w:rsidRPr="00373088">
        <w:rPr>
          <w:rFonts w:asciiTheme="majorHAnsi" w:eastAsia="Calibri" w:hAnsiTheme="majorHAnsi" w:cstheme="majorHAnsi"/>
          <w:b/>
          <w:sz w:val="24"/>
          <w:szCs w:val="24"/>
        </w:rPr>
        <w:t>scale electrical and RF characteristics of Ge</w:t>
      </w:r>
      <w:r w:rsidR="004A11E9" w:rsidRPr="0004383D">
        <w:rPr>
          <w:rFonts w:ascii="Cambria Math" w:eastAsia="Calibri" w:hAnsi="Cambria Math" w:cs="Cambria Math"/>
          <w:b/>
          <w:sz w:val="24"/>
          <w:szCs w:val="24"/>
        </w:rPr>
        <w:t>‑</w:t>
      </w:r>
      <w:r w:rsidR="004A11E9" w:rsidRPr="00373088">
        <w:rPr>
          <w:rFonts w:asciiTheme="majorHAnsi" w:eastAsia="Calibri" w:hAnsiTheme="majorHAnsi" w:cstheme="majorHAnsi"/>
          <w:b/>
          <w:sz w:val="24"/>
          <w:szCs w:val="24"/>
        </w:rPr>
        <w:t>on</w:t>
      </w:r>
      <w:r w:rsidR="004A11E9" w:rsidRPr="0004383D">
        <w:rPr>
          <w:rFonts w:ascii="Cambria Math" w:eastAsia="Calibri" w:hAnsi="Cambria Math" w:cs="Cambria Math"/>
          <w:b/>
          <w:sz w:val="24"/>
          <w:szCs w:val="24"/>
        </w:rPr>
        <w:t>‑</w:t>
      </w:r>
      <w:r w:rsidR="004A11E9" w:rsidRPr="00373088">
        <w:rPr>
          <w:rFonts w:asciiTheme="majorHAnsi" w:eastAsia="Calibri" w:hAnsiTheme="majorHAnsi" w:cstheme="majorHAnsi"/>
          <w:b/>
          <w:sz w:val="24"/>
          <w:szCs w:val="24"/>
        </w:rPr>
        <w:t>Si photodetectors</w:t>
      </w:r>
    </w:p>
    <w:p w14:paraId="0697E71C" w14:textId="7FE8FB10" w:rsidR="00373088" w:rsidRPr="00373088" w:rsidRDefault="00373088" w:rsidP="00373088">
      <w:pPr>
        <w:pBdr>
          <w:top w:val="nil"/>
          <w:left w:val="nil"/>
          <w:bottom w:val="nil"/>
          <w:right w:val="nil"/>
          <w:between w:val="nil"/>
        </w:pBdr>
        <w:spacing w:after="0" w:line="240" w:lineRule="auto"/>
        <w:jc w:val="both"/>
        <w:rPr>
          <w:rFonts w:asciiTheme="majorHAnsi" w:eastAsia="Calibri" w:hAnsiTheme="majorHAnsi" w:cstheme="majorHAnsi"/>
          <w:b/>
          <w:sz w:val="24"/>
          <w:szCs w:val="24"/>
        </w:rPr>
      </w:pPr>
    </w:p>
    <w:p w14:paraId="30CEBF91" w14:textId="77777777" w:rsidR="00373088" w:rsidRPr="00373088" w:rsidRDefault="00373088">
      <w:pPr>
        <w:spacing w:after="0" w:line="276" w:lineRule="auto"/>
        <w:jc w:val="both"/>
        <w:rPr>
          <w:rFonts w:asciiTheme="majorHAnsi" w:eastAsia="Calibri" w:hAnsiTheme="majorHAnsi" w:cstheme="majorHAnsi"/>
        </w:rPr>
      </w:pPr>
    </w:p>
    <w:p w14:paraId="3D229917" w14:textId="4597539C" w:rsidR="00B714B3" w:rsidRPr="00373088" w:rsidRDefault="007014F7" w:rsidP="00B714B3">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Pr>
          <w:rFonts w:asciiTheme="majorHAnsi" w:eastAsia="Calibri" w:hAnsiTheme="majorHAnsi" w:cstheme="majorHAnsi"/>
          <w:b/>
          <w:noProof/>
          <w:sz w:val="24"/>
          <w:szCs w:val="24"/>
        </w:rPr>
        <w:drawing>
          <wp:inline distT="0" distB="0" distL="0" distR="0" wp14:anchorId="63ABD39B" wp14:editId="48E1FD1F">
            <wp:extent cx="5577840" cy="2469241"/>
            <wp:effectExtent l="0" t="0" r="3810" b="7620"/>
            <wp:docPr id="1315187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2469241"/>
                    </a:xfrm>
                    <a:prstGeom prst="rect">
                      <a:avLst/>
                    </a:prstGeom>
                    <a:noFill/>
                  </pic:spPr>
                </pic:pic>
              </a:graphicData>
            </a:graphic>
          </wp:inline>
        </w:drawing>
      </w:r>
    </w:p>
    <w:p w14:paraId="7357E6D0" w14:textId="77777777" w:rsidR="00B714B3" w:rsidRPr="00373088" w:rsidRDefault="00B714B3" w:rsidP="00B714B3">
      <w:pPr>
        <w:pBdr>
          <w:top w:val="nil"/>
          <w:left w:val="nil"/>
          <w:bottom w:val="nil"/>
          <w:right w:val="nil"/>
          <w:between w:val="nil"/>
        </w:pBdr>
        <w:spacing w:after="0" w:line="240" w:lineRule="auto"/>
        <w:jc w:val="both"/>
        <w:rPr>
          <w:rFonts w:asciiTheme="majorHAnsi" w:eastAsia="Calibri" w:hAnsiTheme="majorHAnsi" w:cstheme="majorHAnsi"/>
          <w:b/>
          <w:bCs/>
        </w:rPr>
      </w:pPr>
    </w:p>
    <w:p w14:paraId="0E3EBA25" w14:textId="1DB7471A" w:rsidR="00B714B3" w:rsidRPr="00D63882" w:rsidRDefault="00B714B3" w:rsidP="00B714B3">
      <w:pPr>
        <w:pBdr>
          <w:top w:val="nil"/>
          <w:left w:val="nil"/>
          <w:bottom w:val="nil"/>
          <w:right w:val="nil"/>
          <w:between w:val="nil"/>
        </w:pBdr>
        <w:spacing w:after="0" w:line="240" w:lineRule="auto"/>
        <w:jc w:val="both"/>
        <w:rPr>
          <w:rFonts w:asciiTheme="majorHAnsi" w:eastAsia="Calibri" w:hAnsiTheme="majorHAnsi" w:cstheme="majorHAnsi"/>
          <w:b/>
          <w:bCs/>
          <w:sz w:val="20"/>
          <w:szCs w:val="20"/>
        </w:rPr>
      </w:pPr>
      <w:r w:rsidRPr="00D63882">
        <w:rPr>
          <w:rFonts w:asciiTheme="majorHAnsi" w:eastAsia="Calibri" w:hAnsiTheme="majorHAnsi" w:cstheme="majorHAnsi"/>
          <w:b/>
          <w:bCs/>
          <w:sz w:val="20"/>
          <w:szCs w:val="20"/>
        </w:rPr>
        <w:t>Supplementary Fig. 4 | Wafer</w:t>
      </w:r>
      <w:r w:rsidRPr="00D63882">
        <w:rPr>
          <w:rFonts w:asciiTheme="majorHAnsi" w:eastAsia="Calibri" w:hAnsiTheme="majorHAnsi" w:cstheme="majorHAnsi"/>
          <w:b/>
          <w:bCs/>
          <w:sz w:val="20"/>
          <w:szCs w:val="20"/>
        </w:rPr>
        <w:noBreakHyphen/>
        <w:t xml:space="preserve">scale electrical and RF characterization of ultra-high-speed Ge PD at −1 V bias. </w:t>
      </w:r>
    </w:p>
    <w:p w14:paraId="1777C53B" w14:textId="297A169E" w:rsidR="00B714B3" w:rsidRPr="00D63882" w:rsidRDefault="00B714B3" w:rsidP="00B714B3">
      <w:pPr>
        <w:pBdr>
          <w:top w:val="nil"/>
          <w:left w:val="nil"/>
          <w:bottom w:val="nil"/>
          <w:right w:val="nil"/>
          <w:between w:val="nil"/>
        </w:pBdr>
        <w:spacing w:after="0" w:line="240" w:lineRule="auto"/>
        <w:jc w:val="both"/>
        <w:rPr>
          <w:rFonts w:asciiTheme="majorHAnsi" w:eastAsia="Calibri" w:hAnsiTheme="majorHAnsi" w:cstheme="majorHAnsi"/>
          <w:sz w:val="20"/>
          <w:szCs w:val="20"/>
        </w:rPr>
      </w:pPr>
      <w:r w:rsidRPr="00D63882">
        <w:rPr>
          <w:rFonts w:asciiTheme="majorHAnsi" w:eastAsia="Calibri" w:hAnsiTheme="majorHAnsi" w:cstheme="majorHAnsi"/>
          <w:sz w:val="20"/>
          <w:szCs w:val="20"/>
        </w:rPr>
        <w:t>a, Dark</w:t>
      </w:r>
      <w:r w:rsidRPr="00D63882">
        <w:rPr>
          <w:rFonts w:asciiTheme="majorHAnsi" w:eastAsia="Calibri" w:hAnsiTheme="majorHAnsi" w:cstheme="majorHAnsi"/>
          <w:sz w:val="20"/>
          <w:szCs w:val="20"/>
        </w:rPr>
        <w:noBreakHyphen/>
        <w:t xml:space="preserve">current wafer map measured at </w:t>
      </w:r>
      <w:r w:rsidR="00EE4380">
        <w:rPr>
          <w:rFonts w:asciiTheme="majorHAnsi" w:eastAsia="Calibri" w:hAnsiTheme="majorHAnsi" w:cstheme="majorHAnsi"/>
          <w:sz w:val="20"/>
          <w:szCs w:val="20"/>
        </w:rPr>
        <w:t>-</w:t>
      </w:r>
      <w:r w:rsidRPr="00D63882">
        <w:rPr>
          <w:rFonts w:asciiTheme="majorHAnsi" w:eastAsia="Calibri" w:hAnsiTheme="majorHAnsi" w:cstheme="majorHAnsi"/>
          <w:sz w:val="20"/>
          <w:szCs w:val="20"/>
        </w:rPr>
        <w:t>1 V, showing wafer</w:t>
      </w:r>
      <w:r w:rsidRPr="00D63882">
        <w:rPr>
          <w:rFonts w:asciiTheme="majorHAnsi" w:eastAsia="Calibri" w:hAnsiTheme="majorHAnsi" w:cstheme="majorHAnsi"/>
          <w:sz w:val="20"/>
          <w:szCs w:val="20"/>
        </w:rPr>
        <w:noBreakHyphen/>
        <w:t>scale leakage distribution (colour scale in nA). b, Small</w:t>
      </w:r>
      <w:r w:rsidRPr="00D63882">
        <w:rPr>
          <w:rFonts w:asciiTheme="majorHAnsi" w:eastAsia="Calibri" w:hAnsiTheme="majorHAnsi" w:cstheme="majorHAnsi"/>
          <w:sz w:val="20"/>
          <w:szCs w:val="20"/>
        </w:rPr>
        <w:noBreakHyphen/>
        <w:t>signal optoelectronic frequency response (S21) at −1 V, plotted to the measurement limit; the −3 dB reference is indicated, and additional traces/data points are overlaid for completeness. c, Wafer map of extracted 3</w:t>
      </w:r>
      <w:r w:rsidRPr="00D63882">
        <w:rPr>
          <w:rFonts w:asciiTheme="majorHAnsi" w:eastAsia="Calibri" w:hAnsiTheme="majorHAnsi" w:cstheme="majorHAnsi"/>
          <w:sz w:val="20"/>
          <w:szCs w:val="20"/>
        </w:rPr>
        <w:noBreakHyphen/>
        <w:t xml:space="preserve">dB optoelectronic bandwidth at </w:t>
      </w:r>
      <w:r w:rsidR="00EE4380">
        <w:rPr>
          <w:rFonts w:asciiTheme="majorHAnsi" w:eastAsia="Calibri" w:hAnsiTheme="majorHAnsi" w:cstheme="majorHAnsi"/>
          <w:sz w:val="20"/>
          <w:szCs w:val="20"/>
        </w:rPr>
        <w:t>-</w:t>
      </w:r>
      <w:r w:rsidRPr="00D63882">
        <w:rPr>
          <w:rFonts w:asciiTheme="majorHAnsi" w:eastAsia="Calibri" w:hAnsiTheme="majorHAnsi" w:cstheme="majorHAnsi"/>
          <w:sz w:val="20"/>
          <w:szCs w:val="20"/>
        </w:rPr>
        <w:t xml:space="preserve">1 V (colour scale in GHz). d, Junction capacitance versus frequency at </w:t>
      </w:r>
      <w:r w:rsidR="00EE4380">
        <w:rPr>
          <w:rFonts w:asciiTheme="majorHAnsi" w:eastAsia="Calibri" w:hAnsiTheme="majorHAnsi" w:cstheme="majorHAnsi"/>
          <w:sz w:val="20"/>
          <w:szCs w:val="20"/>
        </w:rPr>
        <w:t>-</w:t>
      </w:r>
      <w:r w:rsidRPr="00D63882">
        <w:rPr>
          <w:rFonts w:asciiTheme="majorHAnsi" w:eastAsia="Calibri" w:hAnsiTheme="majorHAnsi" w:cstheme="majorHAnsi"/>
          <w:sz w:val="20"/>
          <w:szCs w:val="20"/>
        </w:rPr>
        <w:t xml:space="preserve">1 V, showing stable capacitance across the measurement band (shaded region indicates variation across additional data points). f, Capacitance wafer map at </w:t>
      </w:r>
      <w:r w:rsidR="00EE4380">
        <w:rPr>
          <w:rFonts w:asciiTheme="majorHAnsi" w:eastAsia="Calibri" w:hAnsiTheme="majorHAnsi" w:cstheme="majorHAnsi"/>
          <w:sz w:val="20"/>
          <w:szCs w:val="20"/>
        </w:rPr>
        <w:t>-</w:t>
      </w:r>
      <w:r w:rsidRPr="00D63882">
        <w:rPr>
          <w:rFonts w:asciiTheme="majorHAnsi" w:eastAsia="Calibri" w:hAnsiTheme="majorHAnsi" w:cstheme="majorHAnsi"/>
          <w:sz w:val="20"/>
          <w:szCs w:val="20"/>
        </w:rPr>
        <w:t>1 V (colour scale in fF), illustrating wafer</w:t>
      </w:r>
      <w:r w:rsidRPr="00D63882">
        <w:rPr>
          <w:rFonts w:asciiTheme="majorHAnsi" w:eastAsia="Calibri" w:hAnsiTheme="majorHAnsi" w:cstheme="majorHAnsi"/>
          <w:sz w:val="20"/>
          <w:szCs w:val="20"/>
        </w:rPr>
        <w:noBreakHyphen/>
        <w:t>scale uniformity of the extracted capacitance.</w:t>
      </w:r>
    </w:p>
    <w:p w14:paraId="72D1CD83" w14:textId="77777777" w:rsidR="003F1D7D" w:rsidRPr="00373088" w:rsidRDefault="003F1D7D">
      <w:pPr>
        <w:spacing w:after="0" w:line="276" w:lineRule="auto"/>
        <w:jc w:val="both"/>
        <w:rPr>
          <w:rFonts w:asciiTheme="majorHAnsi" w:eastAsia="Calibri" w:hAnsiTheme="majorHAnsi" w:cstheme="majorHAnsi"/>
        </w:rPr>
      </w:pPr>
    </w:p>
    <w:p w14:paraId="0D027F43" w14:textId="6080CDF6" w:rsidR="000E137B" w:rsidRPr="0004383D" w:rsidRDefault="00373088" w:rsidP="00373088">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sidRPr="0004383D">
        <w:rPr>
          <w:rFonts w:asciiTheme="majorHAnsi" w:eastAsia="Calibri" w:hAnsiTheme="majorHAnsi" w:cstheme="majorHAnsi"/>
          <w:b/>
          <w:sz w:val="24"/>
          <w:szCs w:val="24"/>
        </w:rPr>
        <w:t xml:space="preserve">S4. </w:t>
      </w:r>
      <w:r w:rsidR="00FF43D3" w:rsidRPr="0004383D">
        <w:rPr>
          <w:rFonts w:asciiTheme="majorHAnsi" w:eastAsia="Calibri" w:hAnsiTheme="majorHAnsi" w:cstheme="majorHAnsi"/>
          <w:b/>
          <w:sz w:val="24"/>
          <w:szCs w:val="24"/>
        </w:rPr>
        <w:t>High</w:t>
      </w:r>
      <w:r w:rsidR="00FF43D3" w:rsidRPr="0004383D">
        <w:rPr>
          <w:rFonts w:ascii="Cambria Math" w:eastAsia="Calibri" w:hAnsi="Cambria Math" w:cs="Cambria Math"/>
          <w:b/>
          <w:sz w:val="24"/>
          <w:szCs w:val="24"/>
        </w:rPr>
        <w:t>‑</w:t>
      </w:r>
      <w:r w:rsidR="00FF43D3" w:rsidRPr="0004383D">
        <w:rPr>
          <w:rFonts w:asciiTheme="majorHAnsi" w:eastAsia="Calibri" w:hAnsiTheme="majorHAnsi" w:cstheme="majorHAnsi"/>
          <w:b/>
          <w:sz w:val="24"/>
          <w:szCs w:val="24"/>
        </w:rPr>
        <w:t>frequency electrical modelling and RF characterization of the Ge PD</w:t>
      </w:r>
    </w:p>
    <w:p w14:paraId="0D4D91E8" w14:textId="64A94FD9" w:rsidR="007C7114" w:rsidRPr="00373088" w:rsidRDefault="007C7114">
      <w:pPr>
        <w:spacing w:after="0" w:line="276" w:lineRule="auto"/>
        <w:jc w:val="both"/>
        <w:rPr>
          <w:rFonts w:asciiTheme="majorHAnsi" w:eastAsia="Calibri" w:hAnsiTheme="majorHAnsi" w:cstheme="majorHAnsi"/>
          <w:b/>
          <w:sz w:val="26"/>
          <w:szCs w:val="26"/>
        </w:rPr>
      </w:pPr>
      <w:r w:rsidRPr="00373088">
        <w:rPr>
          <w:rFonts w:asciiTheme="majorHAnsi" w:eastAsia="Calibri" w:hAnsiTheme="majorHAnsi" w:cstheme="majorHAnsi"/>
          <w:b/>
          <w:noProof/>
          <w:sz w:val="26"/>
          <w:szCs w:val="26"/>
        </w:rPr>
        <w:drawing>
          <wp:inline distT="0" distB="0" distL="0" distR="0" wp14:anchorId="1F1CD1D5" wp14:editId="54C61829">
            <wp:extent cx="5486400" cy="1831090"/>
            <wp:effectExtent l="0" t="0" r="0" b="0"/>
            <wp:docPr id="1574617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31090"/>
                    </a:xfrm>
                    <a:prstGeom prst="rect">
                      <a:avLst/>
                    </a:prstGeom>
                    <a:noFill/>
                  </pic:spPr>
                </pic:pic>
              </a:graphicData>
            </a:graphic>
          </wp:inline>
        </w:drawing>
      </w:r>
    </w:p>
    <w:p w14:paraId="7A1BF69E" w14:textId="2B768D78" w:rsidR="008124A5" w:rsidRPr="00D63882" w:rsidRDefault="008124A5">
      <w:pPr>
        <w:spacing w:after="0" w:line="276" w:lineRule="auto"/>
        <w:jc w:val="both"/>
        <w:rPr>
          <w:rFonts w:asciiTheme="majorHAnsi" w:eastAsia="Calibri" w:hAnsiTheme="majorHAnsi" w:cstheme="majorHAnsi"/>
          <w:b/>
          <w:sz w:val="20"/>
          <w:szCs w:val="20"/>
        </w:rPr>
      </w:pPr>
      <w:r w:rsidRPr="00D63882">
        <w:rPr>
          <w:rFonts w:asciiTheme="majorHAnsi" w:eastAsia="Calibri" w:hAnsiTheme="majorHAnsi" w:cstheme="majorHAnsi"/>
          <w:b/>
          <w:bCs/>
          <w:sz w:val="20"/>
          <w:szCs w:val="20"/>
        </w:rPr>
        <w:t>Supplementary Fig. </w:t>
      </w:r>
      <w:r w:rsidR="00D02D7C" w:rsidRPr="00D63882">
        <w:rPr>
          <w:rFonts w:asciiTheme="majorHAnsi" w:eastAsia="Calibri" w:hAnsiTheme="majorHAnsi" w:cstheme="majorHAnsi"/>
          <w:b/>
          <w:bCs/>
          <w:sz w:val="20"/>
          <w:szCs w:val="20"/>
        </w:rPr>
        <w:t>5</w:t>
      </w:r>
      <w:r w:rsidRPr="00D63882">
        <w:rPr>
          <w:rFonts w:asciiTheme="majorHAnsi" w:eastAsia="Calibri" w:hAnsiTheme="majorHAnsi" w:cstheme="majorHAnsi"/>
          <w:b/>
          <w:bCs/>
          <w:sz w:val="20"/>
          <w:szCs w:val="20"/>
        </w:rPr>
        <w:t>| Equivalent circuit model and RF characterization of the Ge photodetector.</w:t>
      </w:r>
      <w:r w:rsidRPr="00D63882">
        <w:rPr>
          <w:rFonts w:asciiTheme="majorHAnsi" w:eastAsia="Calibri" w:hAnsiTheme="majorHAnsi" w:cstheme="majorHAnsi"/>
          <w:b/>
          <w:sz w:val="20"/>
          <w:szCs w:val="20"/>
        </w:rPr>
        <w:t xml:space="preserve"> </w:t>
      </w:r>
    </w:p>
    <w:p w14:paraId="6CEBEDCD" w14:textId="7BEF6BFA" w:rsidR="007C7114" w:rsidRPr="00D63882" w:rsidRDefault="008124A5">
      <w:pPr>
        <w:spacing w:after="0" w:line="276" w:lineRule="auto"/>
        <w:jc w:val="both"/>
        <w:rPr>
          <w:rFonts w:asciiTheme="majorHAnsi" w:eastAsia="Calibri" w:hAnsiTheme="majorHAnsi" w:cstheme="majorHAnsi"/>
          <w:sz w:val="20"/>
          <w:szCs w:val="20"/>
        </w:rPr>
      </w:pPr>
      <w:r w:rsidRPr="00D63882">
        <w:rPr>
          <w:rFonts w:asciiTheme="majorHAnsi" w:eastAsia="Calibri" w:hAnsiTheme="majorHAnsi" w:cstheme="majorHAnsi"/>
          <w:sz w:val="20"/>
          <w:szCs w:val="20"/>
        </w:rPr>
        <w:t>a, Extracted small</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 xml:space="preserve">signal equivalent circuit under </w:t>
      </w:r>
      <w:r w:rsidR="00DB69B9">
        <w:rPr>
          <w:rFonts w:asciiTheme="majorHAnsi" w:eastAsia="Calibri" w:hAnsiTheme="majorHAnsi" w:cstheme="majorHAnsi"/>
          <w:sz w:val="20"/>
          <w:szCs w:val="20"/>
        </w:rPr>
        <w:t>-</w:t>
      </w:r>
      <w:r w:rsidRPr="00D63882">
        <w:rPr>
          <w:rFonts w:asciiTheme="majorHAnsi" w:eastAsia="Calibri" w:hAnsiTheme="majorHAnsi" w:cstheme="majorHAnsi"/>
          <w:sz w:val="20"/>
          <w:szCs w:val="20"/>
        </w:rPr>
        <w:t>2 V reverse bias, including the intrinsic junction capacitance of the Ge absorption region, series resistances of the p</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 xml:space="preserve"> and n</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type regions, parasitic electrode</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to</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substrate capacitances, and an anode–cathode parasitic capacitance. Extracted parameter values are indicated. b, Schematic of the ground–signal–ground (GSG) two</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port test structure used for calibrated on</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wafer S</w:t>
      </w:r>
      <w:r w:rsidRPr="00D63882">
        <w:rPr>
          <w:rFonts w:ascii="Cambria Math" w:eastAsia="Calibri" w:hAnsi="Cambria Math" w:cs="Cambria Math"/>
          <w:sz w:val="20"/>
          <w:szCs w:val="20"/>
        </w:rPr>
        <w:t>‑</w:t>
      </w:r>
      <w:r w:rsidRPr="00D63882">
        <w:rPr>
          <w:rFonts w:asciiTheme="majorHAnsi" w:eastAsia="Calibri" w:hAnsiTheme="majorHAnsi" w:cstheme="majorHAnsi"/>
          <w:sz w:val="20"/>
          <w:szCs w:val="20"/>
        </w:rPr>
        <w:t>parameter measurements, with the Ge photodetector integrated between coplanar transmission lines.</w:t>
      </w:r>
    </w:p>
    <w:p w14:paraId="48536791" w14:textId="77777777" w:rsidR="007C7114" w:rsidRPr="00373088" w:rsidRDefault="007C7114">
      <w:pPr>
        <w:spacing w:after="0" w:line="276" w:lineRule="auto"/>
        <w:jc w:val="both"/>
        <w:rPr>
          <w:rFonts w:asciiTheme="majorHAnsi" w:eastAsia="Calibri" w:hAnsiTheme="majorHAnsi" w:cstheme="majorHAnsi"/>
          <w:b/>
          <w:sz w:val="26"/>
          <w:szCs w:val="26"/>
        </w:rPr>
      </w:pPr>
    </w:p>
    <w:p w14:paraId="03B11C5F" w14:textId="47F93611" w:rsidR="0056052C" w:rsidRPr="00F272CB" w:rsidRDefault="002A0329" w:rsidP="00CF6B03">
      <w:pPr>
        <w:spacing w:after="0"/>
        <w:jc w:val="both"/>
        <w:rPr>
          <w:rFonts w:asciiTheme="majorHAnsi" w:eastAsia="Calibri" w:hAnsiTheme="majorHAnsi" w:cstheme="majorHAnsi"/>
        </w:rPr>
      </w:pPr>
      <w:r w:rsidRPr="00F272CB">
        <w:rPr>
          <w:rFonts w:asciiTheme="majorHAnsi" w:eastAsia="Calibri" w:hAnsiTheme="majorHAnsi" w:cstheme="majorHAnsi"/>
        </w:rPr>
        <w:t>The high</w:t>
      </w:r>
      <w:r w:rsidRPr="00F272CB">
        <w:rPr>
          <w:rFonts w:ascii="Cambria Math" w:eastAsia="Calibri" w:hAnsi="Cambria Math" w:cs="Cambria Math"/>
        </w:rPr>
        <w:t>‑</w:t>
      </w:r>
      <w:r w:rsidRPr="00F272CB">
        <w:rPr>
          <w:rFonts w:asciiTheme="majorHAnsi" w:eastAsia="Calibri" w:hAnsiTheme="majorHAnsi" w:cstheme="majorHAnsi"/>
        </w:rPr>
        <w:t>frequency electrical response of the Ge photodetector was characterized using calibrated on</w:t>
      </w:r>
      <w:r w:rsidRPr="00F272CB">
        <w:rPr>
          <w:rFonts w:ascii="Cambria Math" w:eastAsia="Calibri" w:hAnsi="Cambria Math" w:cs="Cambria Math"/>
        </w:rPr>
        <w:t>‑</w:t>
      </w:r>
      <w:r w:rsidRPr="00F272CB">
        <w:rPr>
          <w:rFonts w:asciiTheme="majorHAnsi" w:eastAsia="Calibri" w:hAnsiTheme="majorHAnsi" w:cstheme="majorHAnsi"/>
        </w:rPr>
        <w:t>wafer two</w:t>
      </w:r>
      <w:r w:rsidRPr="00F272CB">
        <w:rPr>
          <w:rFonts w:ascii="Cambria Math" w:eastAsia="Calibri" w:hAnsi="Cambria Math" w:cs="Cambria Math"/>
        </w:rPr>
        <w:t>‑</w:t>
      </w:r>
      <w:r w:rsidRPr="00F272CB">
        <w:rPr>
          <w:rFonts w:asciiTheme="majorHAnsi" w:eastAsia="Calibri" w:hAnsiTheme="majorHAnsi" w:cstheme="majorHAnsi"/>
        </w:rPr>
        <w:t>port S</w:t>
      </w:r>
      <w:r w:rsidRPr="00F272CB">
        <w:rPr>
          <w:rFonts w:ascii="Cambria Math" w:eastAsia="Calibri" w:hAnsi="Cambria Math" w:cs="Cambria Math"/>
        </w:rPr>
        <w:t>‑</w:t>
      </w:r>
      <w:r w:rsidRPr="00F272CB">
        <w:rPr>
          <w:rFonts w:asciiTheme="majorHAnsi" w:eastAsia="Calibri" w:hAnsiTheme="majorHAnsi" w:cstheme="majorHAnsi"/>
        </w:rPr>
        <w:t xml:space="preserve">parameter measurements under a </w:t>
      </w:r>
      <w:r w:rsidR="007E2586">
        <w:rPr>
          <w:rFonts w:asciiTheme="majorHAnsi" w:eastAsia="Calibri" w:hAnsiTheme="majorHAnsi" w:cstheme="majorHAnsi"/>
        </w:rPr>
        <w:t>-</w:t>
      </w:r>
      <w:r w:rsidRPr="00F272CB">
        <w:rPr>
          <w:rFonts w:asciiTheme="majorHAnsi" w:eastAsia="Calibri" w:hAnsiTheme="majorHAnsi" w:cstheme="majorHAnsi"/>
        </w:rPr>
        <w:t xml:space="preserve">2 V reverse bias. As shown in </w:t>
      </w:r>
      <w:r w:rsidR="00B65345">
        <w:rPr>
          <w:rFonts w:asciiTheme="majorHAnsi" w:eastAsia="Calibri" w:hAnsiTheme="majorHAnsi" w:cstheme="majorHAnsi"/>
          <w:b/>
          <w:bCs/>
        </w:rPr>
        <w:t xml:space="preserve">Supplementary </w:t>
      </w:r>
      <w:r w:rsidR="00B65345" w:rsidRPr="007E2586">
        <w:rPr>
          <w:rFonts w:asciiTheme="majorHAnsi" w:eastAsia="Calibri" w:hAnsiTheme="majorHAnsi" w:cstheme="majorHAnsi"/>
          <w:b/>
          <w:bCs/>
        </w:rPr>
        <w:t>Fig. </w:t>
      </w:r>
      <w:r w:rsidR="00B65345">
        <w:rPr>
          <w:rFonts w:asciiTheme="majorHAnsi" w:eastAsia="Calibri" w:hAnsiTheme="majorHAnsi" w:cstheme="majorHAnsi"/>
          <w:b/>
          <w:bCs/>
        </w:rPr>
        <w:t>5b</w:t>
      </w:r>
      <w:r w:rsidRPr="00F272CB">
        <w:rPr>
          <w:rFonts w:asciiTheme="majorHAnsi" w:eastAsia="Calibri" w:hAnsiTheme="majorHAnsi" w:cstheme="majorHAnsi"/>
        </w:rPr>
        <w:t>, the device was measured in a coplanar ground–signal–ground (GSG) configuration to ensure broadband impedance matching and well</w:t>
      </w:r>
      <w:r w:rsidRPr="00F272CB">
        <w:rPr>
          <w:rFonts w:ascii="Cambria Math" w:eastAsia="Calibri" w:hAnsi="Cambria Math" w:cs="Cambria Math"/>
        </w:rPr>
        <w:t>‑</w:t>
      </w:r>
      <w:r w:rsidRPr="00F272CB">
        <w:rPr>
          <w:rFonts w:asciiTheme="majorHAnsi" w:eastAsia="Calibri" w:hAnsiTheme="majorHAnsi" w:cstheme="majorHAnsi"/>
        </w:rPr>
        <w:t>defined RF return paths. The RF probes were calibrated at the probe tips, and the measured data were subsequently de</w:t>
      </w:r>
      <w:r w:rsidRPr="00F272CB">
        <w:rPr>
          <w:rFonts w:ascii="Cambria Math" w:eastAsia="Calibri" w:hAnsi="Cambria Math" w:cs="Cambria Math"/>
        </w:rPr>
        <w:t>‑</w:t>
      </w:r>
      <w:r w:rsidRPr="00F272CB">
        <w:rPr>
          <w:rFonts w:asciiTheme="majorHAnsi" w:eastAsia="Calibri" w:hAnsiTheme="majorHAnsi" w:cstheme="majorHAnsi"/>
        </w:rPr>
        <w:t>embedded using dedicated open and short test structures to remove pad and interconnect parasitics. The de</w:t>
      </w:r>
      <w:r w:rsidRPr="00F272CB">
        <w:rPr>
          <w:rFonts w:ascii="Cambria Math" w:eastAsia="Calibri" w:hAnsi="Cambria Math" w:cs="Cambria Math"/>
        </w:rPr>
        <w:t>‑</w:t>
      </w:r>
      <w:r w:rsidRPr="00F272CB">
        <w:rPr>
          <w:rFonts w:asciiTheme="majorHAnsi" w:eastAsia="Calibri" w:hAnsiTheme="majorHAnsi" w:cstheme="majorHAnsi"/>
        </w:rPr>
        <w:t>embedded S</w:t>
      </w:r>
      <w:r w:rsidRPr="00F272CB">
        <w:rPr>
          <w:rFonts w:ascii="Cambria Math" w:eastAsia="Calibri" w:hAnsi="Cambria Math" w:cs="Cambria Math"/>
        </w:rPr>
        <w:t>‑</w:t>
      </w:r>
      <w:r w:rsidRPr="00F272CB">
        <w:rPr>
          <w:rFonts w:asciiTheme="majorHAnsi" w:eastAsia="Calibri" w:hAnsiTheme="majorHAnsi" w:cstheme="majorHAnsi"/>
        </w:rPr>
        <w:t xml:space="preserve">parameters were fitted using the equivalent circuit model shown in </w:t>
      </w:r>
      <w:r w:rsidR="00A11A53">
        <w:rPr>
          <w:rFonts w:asciiTheme="majorHAnsi" w:eastAsia="Calibri" w:hAnsiTheme="majorHAnsi" w:cstheme="majorHAnsi"/>
          <w:b/>
          <w:bCs/>
        </w:rPr>
        <w:t xml:space="preserve">Supplementary </w:t>
      </w:r>
      <w:r w:rsidRPr="007E2586">
        <w:rPr>
          <w:rFonts w:asciiTheme="majorHAnsi" w:eastAsia="Calibri" w:hAnsiTheme="majorHAnsi" w:cstheme="majorHAnsi"/>
          <w:b/>
          <w:bCs/>
        </w:rPr>
        <w:t>Fig. </w:t>
      </w:r>
      <w:r w:rsidR="008A27F0">
        <w:rPr>
          <w:rFonts w:asciiTheme="majorHAnsi" w:eastAsia="Calibri" w:hAnsiTheme="majorHAnsi" w:cstheme="majorHAnsi"/>
          <w:b/>
          <w:bCs/>
        </w:rPr>
        <w:t>5</w:t>
      </w:r>
      <w:r w:rsidRPr="007E2586">
        <w:rPr>
          <w:rFonts w:asciiTheme="majorHAnsi" w:eastAsia="Calibri" w:hAnsiTheme="majorHAnsi" w:cstheme="majorHAnsi"/>
          <w:b/>
          <w:bCs/>
        </w:rPr>
        <w:t>a</w:t>
      </w:r>
      <w:r w:rsidRPr="00F272CB">
        <w:rPr>
          <w:rFonts w:asciiTheme="majorHAnsi" w:eastAsia="Calibri" w:hAnsiTheme="majorHAnsi" w:cstheme="majorHAnsi"/>
        </w:rPr>
        <w:t>. The extracted parameters capture the dominant electrical contributions governing high</w:t>
      </w:r>
      <w:r w:rsidRPr="00F272CB">
        <w:rPr>
          <w:rFonts w:ascii="Cambria Math" w:eastAsia="Calibri" w:hAnsi="Cambria Math" w:cs="Cambria Math"/>
        </w:rPr>
        <w:t>‑</w:t>
      </w:r>
      <w:r w:rsidRPr="00F272CB">
        <w:rPr>
          <w:rFonts w:asciiTheme="majorHAnsi" w:eastAsia="Calibri" w:hAnsiTheme="majorHAnsi" w:cstheme="majorHAnsi"/>
        </w:rPr>
        <w:t>frequency behavior, including the intrinsic Ge junction capacitance, series resistances of the p</w:t>
      </w:r>
      <w:r w:rsidRPr="00F272CB">
        <w:rPr>
          <w:rFonts w:ascii="Cambria Math" w:eastAsia="Calibri" w:hAnsi="Cambria Math" w:cs="Cambria Math"/>
        </w:rPr>
        <w:t>‑</w:t>
      </w:r>
      <w:r w:rsidRPr="00F272CB">
        <w:rPr>
          <w:rFonts w:asciiTheme="majorHAnsi" w:eastAsia="Calibri" w:hAnsiTheme="majorHAnsi" w:cstheme="majorHAnsi"/>
        </w:rPr>
        <w:t xml:space="preserve"> and n</w:t>
      </w:r>
      <w:r w:rsidRPr="00F272CB">
        <w:rPr>
          <w:rFonts w:ascii="Cambria Math" w:eastAsia="Calibri" w:hAnsi="Cambria Math" w:cs="Cambria Math"/>
        </w:rPr>
        <w:t>‑</w:t>
      </w:r>
      <w:r w:rsidRPr="00F272CB">
        <w:rPr>
          <w:rFonts w:asciiTheme="majorHAnsi" w:eastAsia="Calibri" w:hAnsiTheme="majorHAnsi" w:cstheme="majorHAnsi"/>
        </w:rPr>
        <w:t>type regions, and parasitic capacitances to the substrate and between electrodes. This framework enables quantitative assessment of resistance</w:t>
      </w:r>
      <w:r w:rsidR="00CB5FFF">
        <w:rPr>
          <w:rFonts w:asciiTheme="majorHAnsi" w:eastAsia="Calibri" w:hAnsiTheme="majorHAnsi" w:cstheme="majorHAnsi"/>
        </w:rPr>
        <w:t>-</w:t>
      </w:r>
      <w:r w:rsidRPr="00F272CB">
        <w:rPr>
          <w:rFonts w:asciiTheme="majorHAnsi" w:eastAsia="Calibri" w:hAnsiTheme="majorHAnsi" w:cstheme="majorHAnsi"/>
        </w:rPr>
        <w:t>capacitance limitations and supports predictive evaluation of device performance in integrated photonic circuits.</w:t>
      </w:r>
    </w:p>
    <w:p w14:paraId="5FC2D170" w14:textId="77777777" w:rsidR="004A11E9" w:rsidRDefault="004A11E9">
      <w:pPr>
        <w:spacing w:after="0" w:line="276" w:lineRule="auto"/>
        <w:jc w:val="both"/>
        <w:rPr>
          <w:rFonts w:asciiTheme="majorHAnsi" w:eastAsia="Calibri" w:hAnsiTheme="majorHAnsi" w:cstheme="majorHAnsi"/>
          <w:sz w:val="24"/>
          <w:szCs w:val="24"/>
        </w:rPr>
      </w:pPr>
    </w:p>
    <w:p w14:paraId="2C608413" w14:textId="4E19F036" w:rsidR="0018599B" w:rsidRDefault="004A11E9" w:rsidP="004B46EF">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Pr>
          <w:rFonts w:asciiTheme="majorHAnsi" w:eastAsia="Calibri" w:hAnsiTheme="majorHAnsi" w:cstheme="majorHAnsi"/>
          <w:b/>
          <w:sz w:val="24"/>
          <w:szCs w:val="24"/>
        </w:rPr>
        <w:t xml:space="preserve">S5. </w:t>
      </w:r>
      <w:r w:rsidR="004B46EF" w:rsidRPr="004B46EF">
        <w:rPr>
          <w:rFonts w:asciiTheme="majorHAnsi" w:eastAsia="Calibri" w:hAnsiTheme="majorHAnsi" w:cstheme="majorHAnsi"/>
          <w:b/>
          <w:sz w:val="24"/>
          <w:szCs w:val="24"/>
        </w:rPr>
        <w:t>RC</w:t>
      </w:r>
      <w:r w:rsidR="00EA6061">
        <w:rPr>
          <w:rFonts w:asciiTheme="majorHAnsi" w:eastAsia="Calibri" w:hAnsiTheme="majorHAnsi" w:cstheme="majorHAnsi"/>
          <w:b/>
          <w:sz w:val="24"/>
          <w:szCs w:val="24"/>
        </w:rPr>
        <w:t>-</w:t>
      </w:r>
      <w:r w:rsidR="004B46EF" w:rsidRPr="004B46EF">
        <w:rPr>
          <w:rFonts w:asciiTheme="majorHAnsi" w:eastAsia="Calibri" w:hAnsiTheme="majorHAnsi" w:cstheme="majorHAnsi"/>
          <w:b/>
          <w:sz w:val="24"/>
          <w:szCs w:val="24"/>
        </w:rPr>
        <w:t>transit</w:t>
      </w:r>
      <w:r w:rsidR="004B46EF" w:rsidRPr="004B46EF">
        <w:rPr>
          <w:rFonts w:ascii="Cambria Math" w:eastAsia="Calibri" w:hAnsi="Cambria Math" w:cs="Cambria Math"/>
          <w:b/>
          <w:sz w:val="24"/>
          <w:szCs w:val="24"/>
        </w:rPr>
        <w:t>‑</w:t>
      </w:r>
      <w:r w:rsidR="004B46EF" w:rsidRPr="004B46EF">
        <w:rPr>
          <w:rFonts w:asciiTheme="majorHAnsi" w:eastAsia="Calibri" w:hAnsiTheme="majorHAnsi" w:cstheme="majorHAnsi"/>
          <w:b/>
          <w:sz w:val="24"/>
          <w:szCs w:val="24"/>
        </w:rPr>
        <w:t xml:space="preserve">time analysis and </w:t>
      </w:r>
      <w:r w:rsidR="004B46EF">
        <w:rPr>
          <w:rFonts w:asciiTheme="majorHAnsi" w:eastAsia="Calibri" w:hAnsiTheme="majorHAnsi" w:cstheme="majorHAnsi"/>
          <w:b/>
          <w:sz w:val="24"/>
          <w:szCs w:val="24"/>
        </w:rPr>
        <w:t>o</w:t>
      </w:r>
      <w:r w:rsidR="004B46EF" w:rsidRPr="004B46EF">
        <w:rPr>
          <w:rFonts w:asciiTheme="majorHAnsi" w:eastAsia="Calibri" w:hAnsiTheme="majorHAnsi" w:cstheme="majorHAnsi"/>
          <w:b/>
          <w:sz w:val="24"/>
          <w:szCs w:val="24"/>
        </w:rPr>
        <w:t>ptoelectronic bandwidth estimation</w:t>
      </w:r>
    </w:p>
    <w:p w14:paraId="44F7240B" w14:textId="77777777" w:rsidR="004B46EF" w:rsidRPr="00373088" w:rsidRDefault="004B46EF" w:rsidP="004B46EF">
      <w:pPr>
        <w:pBdr>
          <w:top w:val="nil"/>
          <w:left w:val="nil"/>
          <w:bottom w:val="nil"/>
          <w:right w:val="nil"/>
          <w:between w:val="nil"/>
        </w:pBdr>
        <w:spacing w:after="0" w:line="240" w:lineRule="auto"/>
        <w:jc w:val="both"/>
        <w:rPr>
          <w:rFonts w:asciiTheme="majorHAnsi" w:eastAsia="Calibri" w:hAnsiTheme="majorHAnsi" w:cstheme="majorHAnsi"/>
          <w:b/>
          <w:sz w:val="24"/>
          <w:szCs w:val="24"/>
        </w:rPr>
      </w:pPr>
    </w:p>
    <w:p w14:paraId="4A0324C4" w14:textId="437D5A6E" w:rsidR="0054145F" w:rsidRDefault="002146D9" w:rsidP="0054145F">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sidRPr="00373088">
        <w:rPr>
          <w:rFonts w:asciiTheme="majorHAnsi" w:eastAsia="Calibri" w:hAnsiTheme="majorHAnsi" w:cstheme="majorHAnsi"/>
          <w:b/>
          <w:bCs/>
        </w:rPr>
        <w:t xml:space="preserve">Supplementary Table 1 </w:t>
      </w:r>
      <w:r w:rsidRPr="00373088">
        <w:rPr>
          <w:rFonts w:asciiTheme="majorHAnsi" w:eastAsia="Calibri" w:hAnsiTheme="majorHAnsi" w:cstheme="majorHAnsi"/>
          <w:b/>
          <w:sz w:val="24"/>
          <w:szCs w:val="24"/>
        </w:rPr>
        <w:t xml:space="preserve">| Estimation of the </w:t>
      </w:r>
      <w:r w:rsidR="00301C50">
        <w:rPr>
          <w:rFonts w:asciiTheme="majorHAnsi" w:eastAsia="Calibri" w:hAnsiTheme="majorHAnsi" w:cstheme="majorHAnsi"/>
          <w:b/>
          <w:sz w:val="24"/>
          <w:szCs w:val="24"/>
        </w:rPr>
        <w:t>-</w:t>
      </w:r>
      <w:r w:rsidRPr="00373088">
        <w:rPr>
          <w:rFonts w:asciiTheme="majorHAnsi" w:eastAsia="Calibri" w:hAnsiTheme="majorHAnsi" w:cstheme="majorHAnsi"/>
          <w:b/>
          <w:sz w:val="24"/>
          <w:szCs w:val="24"/>
        </w:rPr>
        <w:t>3 dB bandwidth for Ge photodetectors considering carrier transit time and RC effects</w:t>
      </w:r>
    </w:p>
    <w:p w14:paraId="1B5C0DF1" w14:textId="77777777" w:rsidR="0004383D" w:rsidRPr="00373088" w:rsidRDefault="0004383D" w:rsidP="0054145F">
      <w:pPr>
        <w:pBdr>
          <w:top w:val="nil"/>
          <w:left w:val="nil"/>
          <w:bottom w:val="nil"/>
          <w:right w:val="nil"/>
          <w:between w:val="nil"/>
        </w:pBdr>
        <w:spacing w:after="0" w:line="240" w:lineRule="auto"/>
        <w:jc w:val="both"/>
        <w:rPr>
          <w:rFonts w:asciiTheme="majorHAnsi" w:eastAsia="Calibri" w:hAnsiTheme="majorHAnsi" w:cstheme="majorHAnsi"/>
          <w:b/>
          <w:sz w:val="24"/>
          <w:szCs w:val="24"/>
        </w:rPr>
      </w:pPr>
    </w:p>
    <w:tbl>
      <w:tblPr>
        <w:tblW w:w="8160" w:type="dxa"/>
        <w:tblCellMar>
          <w:left w:w="0" w:type="dxa"/>
          <w:right w:w="0" w:type="dxa"/>
        </w:tblCellMar>
        <w:tblLook w:val="0420" w:firstRow="1" w:lastRow="0" w:firstColumn="0" w:lastColumn="0" w:noHBand="0" w:noVBand="1"/>
      </w:tblPr>
      <w:tblGrid>
        <w:gridCol w:w="4900"/>
        <w:gridCol w:w="1540"/>
        <w:gridCol w:w="1720"/>
      </w:tblGrid>
      <w:tr w:rsidR="008A45CA" w:rsidRPr="00373088" w14:paraId="659010D3" w14:textId="77777777" w:rsidTr="006D6565">
        <w:trPr>
          <w:trHeight w:val="720"/>
        </w:trPr>
        <w:tc>
          <w:tcPr>
            <w:tcW w:w="4900" w:type="dxa"/>
            <w:tcBorders>
              <w:top w:val="single" w:sz="8" w:space="0" w:color="FFFFFF"/>
              <w:left w:val="single" w:sz="8" w:space="0" w:color="FFFFFF"/>
              <w:bottom w:val="single" w:sz="24" w:space="0" w:color="FFFFFF"/>
              <w:right w:val="single" w:sz="8" w:space="0" w:color="FFFFFF"/>
            </w:tcBorders>
            <w:shd w:val="clear" w:color="auto" w:fill="0F9ED5"/>
            <w:tcMar>
              <w:top w:w="72" w:type="dxa"/>
              <w:left w:w="144" w:type="dxa"/>
              <w:bottom w:w="72" w:type="dxa"/>
              <w:right w:w="144" w:type="dxa"/>
            </w:tcMar>
            <w:vAlign w:val="center"/>
            <w:hideMark/>
          </w:tcPr>
          <w:p w14:paraId="10F98154"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bCs/>
              </w:rPr>
              <w:t>Values at -2V</w:t>
            </w:r>
          </w:p>
        </w:tc>
        <w:tc>
          <w:tcPr>
            <w:tcW w:w="1540" w:type="dxa"/>
            <w:tcBorders>
              <w:top w:val="single" w:sz="8" w:space="0" w:color="FFFFFF"/>
              <w:left w:val="single" w:sz="8" w:space="0" w:color="FFFFFF"/>
              <w:bottom w:val="single" w:sz="24" w:space="0" w:color="FFFFFF"/>
              <w:right w:val="single" w:sz="8" w:space="0" w:color="FFFFFF"/>
            </w:tcBorders>
            <w:shd w:val="clear" w:color="auto" w:fill="0F9ED5"/>
            <w:tcMar>
              <w:top w:w="72" w:type="dxa"/>
              <w:left w:w="144" w:type="dxa"/>
              <w:bottom w:w="72" w:type="dxa"/>
              <w:right w:w="144" w:type="dxa"/>
            </w:tcMar>
            <w:vAlign w:val="center"/>
            <w:hideMark/>
          </w:tcPr>
          <w:p w14:paraId="4EE33873" w14:textId="543A081B"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bCs/>
              </w:rPr>
              <w:t>Ref [</w:t>
            </w:r>
            <w:r w:rsidR="00012D1A">
              <w:rPr>
                <w:rFonts w:asciiTheme="majorHAnsi" w:eastAsia="Calibri" w:hAnsiTheme="majorHAnsi" w:cstheme="majorHAnsi"/>
                <w:b/>
                <w:bCs/>
              </w:rPr>
              <w:t>2</w:t>
            </w:r>
            <w:r w:rsidRPr="0004383D">
              <w:rPr>
                <w:rFonts w:asciiTheme="majorHAnsi" w:eastAsia="Calibri" w:hAnsiTheme="majorHAnsi" w:cstheme="majorHAnsi"/>
                <w:b/>
                <w:bCs/>
              </w:rPr>
              <w:t>]</w:t>
            </w:r>
          </w:p>
        </w:tc>
        <w:tc>
          <w:tcPr>
            <w:tcW w:w="1720" w:type="dxa"/>
            <w:tcBorders>
              <w:top w:val="single" w:sz="8" w:space="0" w:color="FFFFFF"/>
              <w:left w:val="single" w:sz="8" w:space="0" w:color="FFFFFF"/>
              <w:bottom w:val="single" w:sz="24" w:space="0" w:color="FFFFFF"/>
              <w:right w:val="single" w:sz="8" w:space="0" w:color="FFFFFF"/>
            </w:tcBorders>
            <w:shd w:val="clear" w:color="auto" w:fill="0F9ED5"/>
            <w:tcMar>
              <w:top w:w="72" w:type="dxa"/>
              <w:left w:w="144" w:type="dxa"/>
              <w:bottom w:w="72" w:type="dxa"/>
              <w:right w:w="144" w:type="dxa"/>
            </w:tcMar>
            <w:vAlign w:val="center"/>
            <w:hideMark/>
          </w:tcPr>
          <w:p w14:paraId="7DF971CF"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bCs/>
              </w:rPr>
              <w:t>This work</w:t>
            </w:r>
          </w:p>
        </w:tc>
      </w:tr>
      <w:tr w:rsidR="008A45CA" w:rsidRPr="00373088" w14:paraId="2621BB72" w14:textId="77777777" w:rsidTr="006D6565">
        <w:trPr>
          <w:trHeight w:val="720"/>
        </w:trPr>
        <w:tc>
          <w:tcPr>
            <w:tcW w:w="4900" w:type="dxa"/>
            <w:tcBorders>
              <w:top w:val="single" w:sz="24" w:space="0" w:color="FFFFFF"/>
              <w:left w:val="single" w:sz="8" w:space="0" w:color="FFFFFF"/>
              <w:bottom w:val="single" w:sz="8" w:space="0" w:color="FFFFFF"/>
              <w:right w:val="single" w:sz="8" w:space="0" w:color="FFFFFF"/>
            </w:tcBorders>
            <w:shd w:val="clear" w:color="auto" w:fill="CCDFEF"/>
            <w:tcMar>
              <w:top w:w="72" w:type="dxa"/>
              <w:left w:w="144" w:type="dxa"/>
              <w:bottom w:w="72" w:type="dxa"/>
              <w:right w:w="144" w:type="dxa"/>
            </w:tcMar>
            <w:vAlign w:val="center"/>
            <w:hideMark/>
          </w:tcPr>
          <w:p w14:paraId="62E26DF4"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Nominal width (nm)</w:t>
            </w:r>
          </w:p>
        </w:tc>
        <w:tc>
          <w:tcPr>
            <w:tcW w:w="1540" w:type="dxa"/>
            <w:tcBorders>
              <w:top w:val="single" w:sz="24"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23A11AC9"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100</w:t>
            </w:r>
          </w:p>
        </w:tc>
        <w:tc>
          <w:tcPr>
            <w:tcW w:w="1720" w:type="dxa"/>
            <w:tcBorders>
              <w:top w:val="single" w:sz="24"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768D4F22"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350</w:t>
            </w:r>
          </w:p>
        </w:tc>
      </w:tr>
      <w:tr w:rsidR="008A45CA" w:rsidRPr="00373088" w14:paraId="52827F09"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7720D40F"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Effective width (nm)</w:t>
            </w:r>
          </w:p>
        </w:tc>
        <w:tc>
          <w:tcPr>
            <w:tcW w:w="154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417446E0"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~80</w:t>
            </w:r>
          </w:p>
        </w:tc>
        <w:tc>
          <w:tcPr>
            <w:tcW w:w="172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24CFC9EE"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350</w:t>
            </w:r>
          </w:p>
        </w:tc>
      </w:tr>
      <w:tr w:rsidR="008A45CA" w:rsidRPr="00373088" w14:paraId="7E312015"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CCDFEF"/>
            <w:tcMar>
              <w:top w:w="72" w:type="dxa"/>
              <w:left w:w="144" w:type="dxa"/>
              <w:bottom w:w="72" w:type="dxa"/>
              <w:right w:w="144" w:type="dxa"/>
            </w:tcMar>
            <w:vAlign w:val="center"/>
            <w:hideMark/>
          </w:tcPr>
          <w:p w14:paraId="7350525C"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Depletion width (nm)</w:t>
            </w:r>
          </w:p>
        </w:tc>
        <w:tc>
          <w:tcPr>
            <w:tcW w:w="154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6B74884F"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~90–100</w:t>
            </w:r>
          </w:p>
        </w:tc>
        <w:tc>
          <w:tcPr>
            <w:tcW w:w="172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709E2653"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~200</w:t>
            </w:r>
          </w:p>
        </w:tc>
      </w:tr>
      <w:tr w:rsidR="008A45CA" w:rsidRPr="00373088" w14:paraId="733DAD02"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3DA8AF0E" w14:textId="31951740"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Resistance R (</w:t>
            </w:r>
            <w:r w:rsidRPr="0004383D">
              <w:rPr>
                <w:rFonts w:asciiTheme="majorHAnsi" w:eastAsia="Calibri" w:hAnsiTheme="majorHAnsi" w:cstheme="majorHAnsi"/>
                <w:b/>
                <w:lang w:val="el-GR"/>
              </w:rPr>
              <w:t>Ω)</w:t>
            </w:r>
          </w:p>
        </w:tc>
        <w:tc>
          <w:tcPr>
            <w:tcW w:w="154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0B507572"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59</w:t>
            </w:r>
          </w:p>
        </w:tc>
        <w:tc>
          <w:tcPr>
            <w:tcW w:w="172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28B64339" w14:textId="3FA9BCE1"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4</w:t>
            </w:r>
            <w:r w:rsidR="00FC7806">
              <w:rPr>
                <w:rFonts w:asciiTheme="majorHAnsi" w:eastAsia="Calibri" w:hAnsiTheme="majorHAnsi" w:cstheme="majorHAnsi"/>
                <w:b/>
              </w:rPr>
              <w:t>8</w:t>
            </w:r>
          </w:p>
        </w:tc>
      </w:tr>
      <w:tr w:rsidR="008A45CA" w:rsidRPr="00373088" w14:paraId="5DCC8A8F"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CCDFEF"/>
            <w:tcMar>
              <w:top w:w="72" w:type="dxa"/>
              <w:left w:w="144" w:type="dxa"/>
              <w:bottom w:w="72" w:type="dxa"/>
              <w:right w:w="144" w:type="dxa"/>
            </w:tcMar>
            <w:vAlign w:val="center"/>
            <w:hideMark/>
          </w:tcPr>
          <w:p w14:paraId="2023149F" w14:textId="6DBFDA4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Capacitance C (fF)</w:t>
            </w:r>
          </w:p>
        </w:tc>
        <w:tc>
          <w:tcPr>
            <w:tcW w:w="154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7CDAEB01"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6.5</w:t>
            </w:r>
          </w:p>
        </w:tc>
        <w:tc>
          <w:tcPr>
            <w:tcW w:w="172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75767DFF"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5.7</w:t>
            </w:r>
          </w:p>
        </w:tc>
      </w:tr>
      <w:tr w:rsidR="008A45CA" w:rsidRPr="00373088" w14:paraId="3FEFB1A2"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0AEC7196"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 xml:space="preserve">Calculated </w:t>
            </w:r>
            <m:oMath>
              <m:sSub>
                <m:sSubPr>
                  <m:ctrlPr>
                    <w:rPr>
                      <w:rFonts w:ascii="Cambria Math" w:eastAsia="Calibri" w:hAnsi="Cambria Math" w:cstheme="majorHAnsi"/>
                      <w:b/>
                      <w:i/>
                      <w:iCs/>
                    </w:rPr>
                  </m:ctrlPr>
                </m:sSubPr>
                <m:e>
                  <m:r>
                    <m:rPr>
                      <m:sty m:val="bi"/>
                    </m:rPr>
                    <w:rPr>
                      <w:rFonts w:ascii="Cambria Math" w:eastAsia="Calibri" w:hAnsi="Cambria Math" w:cstheme="majorHAnsi"/>
                    </w:rPr>
                    <m:t>f</m:t>
                  </m:r>
                </m:e>
                <m:sub>
                  <m:r>
                    <m:rPr>
                      <m:sty m:val="bi"/>
                    </m:rPr>
                    <w:rPr>
                      <w:rFonts w:ascii="Cambria Math" w:eastAsia="Calibri" w:hAnsi="Cambria Math" w:cstheme="majorHAnsi"/>
                    </w:rPr>
                    <m:t>RC</m:t>
                  </m:r>
                </m:sub>
              </m:sSub>
            </m:oMath>
            <w:r w:rsidRPr="0004383D">
              <w:rPr>
                <w:rFonts w:asciiTheme="majorHAnsi" w:eastAsia="Calibri" w:hAnsiTheme="majorHAnsi" w:cstheme="majorHAnsi"/>
                <w:b/>
              </w:rPr>
              <w:t xml:space="preserve"> (GHz)</w:t>
            </w:r>
          </w:p>
        </w:tc>
        <w:tc>
          <w:tcPr>
            <w:tcW w:w="154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2BCE2E9B"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415</w:t>
            </w:r>
          </w:p>
        </w:tc>
        <w:tc>
          <w:tcPr>
            <w:tcW w:w="172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1FDEC31B" w14:textId="7425CE20"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5</w:t>
            </w:r>
            <w:r w:rsidR="00607987">
              <w:rPr>
                <w:rFonts w:asciiTheme="majorHAnsi" w:eastAsia="Calibri" w:hAnsiTheme="majorHAnsi" w:cstheme="majorHAnsi"/>
                <w:b/>
              </w:rPr>
              <w:t>82</w:t>
            </w:r>
          </w:p>
        </w:tc>
      </w:tr>
      <w:tr w:rsidR="008A45CA" w:rsidRPr="00373088" w14:paraId="715870FA"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CCDFEF"/>
            <w:tcMar>
              <w:top w:w="72" w:type="dxa"/>
              <w:left w:w="144" w:type="dxa"/>
              <w:bottom w:w="72" w:type="dxa"/>
              <w:right w:w="144" w:type="dxa"/>
            </w:tcMar>
            <w:vAlign w:val="center"/>
            <w:hideMark/>
          </w:tcPr>
          <w:p w14:paraId="697E70FC"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 xml:space="preserve">Calculated </w:t>
            </w:r>
            <m:oMath>
              <m:sSub>
                <m:sSubPr>
                  <m:ctrlPr>
                    <w:rPr>
                      <w:rFonts w:ascii="Cambria Math" w:eastAsia="Calibri" w:hAnsi="Cambria Math" w:cstheme="majorHAnsi"/>
                      <w:b/>
                      <w:i/>
                      <w:iCs/>
                    </w:rPr>
                  </m:ctrlPr>
                </m:sSubPr>
                <m:e>
                  <m:r>
                    <m:rPr>
                      <m:sty m:val="bi"/>
                    </m:rPr>
                    <w:rPr>
                      <w:rFonts w:ascii="Cambria Math" w:eastAsia="Calibri" w:hAnsi="Cambria Math" w:cstheme="majorHAnsi"/>
                    </w:rPr>
                    <m:t>f</m:t>
                  </m:r>
                </m:e>
                <m:sub>
                  <m:r>
                    <m:rPr>
                      <m:sty m:val="bi"/>
                    </m:rPr>
                    <w:rPr>
                      <w:rFonts w:ascii="Cambria Math" w:eastAsia="Calibri" w:hAnsi="Cambria Math" w:cstheme="majorHAnsi"/>
                    </w:rPr>
                    <m:t>TT</m:t>
                  </m:r>
                </m:sub>
              </m:sSub>
            </m:oMath>
            <w:r w:rsidRPr="0004383D">
              <w:rPr>
                <w:rFonts w:asciiTheme="majorHAnsi" w:eastAsia="Calibri" w:hAnsiTheme="majorHAnsi" w:cstheme="majorHAnsi"/>
                <w:b/>
              </w:rPr>
              <w:t xml:space="preserve"> (GHz)</w:t>
            </w:r>
          </w:p>
        </w:tc>
        <w:tc>
          <w:tcPr>
            <w:tcW w:w="154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32C16B49"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358</w:t>
            </w:r>
          </w:p>
        </w:tc>
        <w:tc>
          <w:tcPr>
            <w:tcW w:w="172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413D8D09"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222</w:t>
            </w:r>
          </w:p>
        </w:tc>
      </w:tr>
      <w:tr w:rsidR="008A45CA" w:rsidRPr="00373088" w14:paraId="0BA0EE70"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8F3176F"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 xml:space="preserve">Calculated </w:t>
            </w:r>
            <m:oMath>
              <m:sSub>
                <m:sSubPr>
                  <m:ctrlPr>
                    <w:rPr>
                      <w:rFonts w:ascii="Cambria Math" w:eastAsia="Calibri" w:hAnsi="Cambria Math" w:cstheme="majorHAnsi"/>
                      <w:b/>
                      <w:i/>
                      <w:iCs/>
                    </w:rPr>
                  </m:ctrlPr>
                </m:sSubPr>
                <m:e>
                  <m:r>
                    <m:rPr>
                      <m:sty m:val="bi"/>
                    </m:rPr>
                    <w:rPr>
                      <w:rFonts w:ascii="Cambria Math" w:eastAsia="Calibri" w:hAnsi="Cambria Math" w:cstheme="majorHAnsi"/>
                    </w:rPr>
                    <m:t>f</m:t>
                  </m:r>
                </m:e>
                <m:sub>
                  <m:r>
                    <m:rPr>
                      <m:sty m:val="bi"/>
                    </m:rPr>
                    <w:rPr>
                      <w:rFonts w:ascii="Cambria Math" w:eastAsia="Calibri" w:hAnsi="Cambria Math" w:cstheme="majorHAnsi"/>
                    </w:rPr>
                    <m:t>3-dB</m:t>
                  </m:r>
                </m:sub>
              </m:sSub>
            </m:oMath>
            <w:r w:rsidRPr="0004383D">
              <w:rPr>
                <w:rFonts w:asciiTheme="majorHAnsi" w:eastAsia="Calibri" w:hAnsiTheme="majorHAnsi" w:cstheme="majorHAnsi"/>
                <w:b/>
              </w:rPr>
              <w:t xml:space="preserve"> (GHz)</w:t>
            </w:r>
          </w:p>
        </w:tc>
        <w:tc>
          <w:tcPr>
            <w:tcW w:w="154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50D6FDD3"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271</w:t>
            </w:r>
          </w:p>
        </w:tc>
        <w:tc>
          <w:tcPr>
            <w:tcW w:w="172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62D47532" w14:textId="69619709"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20</w:t>
            </w:r>
            <w:r w:rsidR="007731B5">
              <w:rPr>
                <w:rFonts w:asciiTheme="majorHAnsi" w:eastAsia="Calibri" w:hAnsiTheme="majorHAnsi" w:cstheme="majorHAnsi"/>
                <w:b/>
              </w:rPr>
              <w:t>7</w:t>
            </w:r>
          </w:p>
        </w:tc>
      </w:tr>
      <w:tr w:rsidR="008A45CA" w:rsidRPr="00373088" w14:paraId="76457B0B"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CCDFEF"/>
            <w:tcMar>
              <w:top w:w="72" w:type="dxa"/>
              <w:left w:w="144" w:type="dxa"/>
              <w:bottom w:w="72" w:type="dxa"/>
              <w:right w:w="144" w:type="dxa"/>
            </w:tcMar>
            <w:vAlign w:val="center"/>
            <w:hideMark/>
          </w:tcPr>
          <w:p w14:paraId="37E7E80C"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 xml:space="preserve">Measured </w:t>
            </w:r>
            <m:oMath>
              <m:sSub>
                <m:sSubPr>
                  <m:ctrlPr>
                    <w:rPr>
                      <w:rFonts w:ascii="Cambria Math" w:eastAsia="Calibri" w:hAnsi="Cambria Math" w:cstheme="majorHAnsi"/>
                      <w:b/>
                      <w:i/>
                      <w:iCs/>
                    </w:rPr>
                  </m:ctrlPr>
                </m:sSubPr>
                <m:e>
                  <m:r>
                    <m:rPr>
                      <m:sty m:val="bi"/>
                    </m:rPr>
                    <w:rPr>
                      <w:rFonts w:ascii="Cambria Math" w:eastAsia="Calibri" w:hAnsi="Cambria Math" w:cstheme="majorHAnsi"/>
                    </w:rPr>
                    <m:t>f</m:t>
                  </m:r>
                </m:e>
                <m:sub>
                  <m:r>
                    <m:rPr>
                      <m:sty m:val="bi"/>
                    </m:rPr>
                    <w:rPr>
                      <w:rFonts w:ascii="Cambria Math" w:eastAsia="Calibri" w:hAnsi="Cambria Math" w:cstheme="majorHAnsi"/>
                    </w:rPr>
                    <m:t>3-dB</m:t>
                  </m:r>
                </m:sub>
              </m:sSub>
            </m:oMath>
            <w:r w:rsidRPr="0004383D">
              <w:rPr>
                <w:rFonts w:asciiTheme="majorHAnsi" w:eastAsia="Calibri" w:hAnsiTheme="majorHAnsi" w:cstheme="majorHAnsi"/>
                <w:b/>
              </w:rPr>
              <w:t xml:space="preserve"> (GHz)</w:t>
            </w:r>
          </w:p>
        </w:tc>
        <w:tc>
          <w:tcPr>
            <w:tcW w:w="154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56BDF863"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265</w:t>
            </w:r>
          </w:p>
        </w:tc>
        <w:tc>
          <w:tcPr>
            <w:tcW w:w="172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50EEDA9C" w14:textId="77777777"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215</w:t>
            </w:r>
          </w:p>
        </w:tc>
      </w:tr>
      <w:tr w:rsidR="008A45CA" w:rsidRPr="00373088" w14:paraId="3D6DD03C"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E7F0F7"/>
            <w:tcMar>
              <w:top w:w="72" w:type="dxa"/>
              <w:left w:w="144" w:type="dxa"/>
              <w:bottom w:w="72" w:type="dxa"/>
              <w:right w:w="144" w:type="dxa"/>
            </w:tcMar>
            <w:vAlign w:val="center"/>
            <w:hideMark/>
          </w:tcPr>
          <w:p w14:paraId="628E562C"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Responsivity [A/W]</w:t>
            </w:r>
          </w:p>
        </w:tc>
        <w:tc>
          <w:tcPr>
            <w:tcW w:w="154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098CB586" w14:textId="25BB0FFD"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0.</w:t>
            </w:r>
            <w:r w:rsidR="006521E3">
              <w:rPr>
                <w:rFonts w:asciiTheme="majorHAnsi" w:eastAsia="Calibri" w:hAnsiTheme="majorHAnsi" w:cstheme="majorHAnsi"/>
                <w:b/>
              </w:rPr>
              <w:t>3</w:t>
            </w:r>
          </w:p>
        </w:tc>
        <w:tc>
          <w:tcPr>
            <w:tcW w:w="1720" w:type="dxa"/>
            <w:tcBorders>
              <w:top w:val="single" w:sz="8" w:space="0" w:color="FFFFFF"/>
              <w:left w:val="single" w:sz="8" w:space="0" w:color="FFFFFF"/>
              <w:bottom w:val="single" w:sz="8" w:space="0" w:color="FFFFFF"/>
              <w:right w:val="single" w:sz="8" w:space="0" w:color="FFFFFF"/>
            </w:tcBorders>
            <w:shd w:val="clear" w:color="auto" w:fill="E7F0F7"/>
            <w:tcMar>
              <w:top w:w="12" w:type="dxa"/>
              <w:left w:w="12" w:type="dxa"/>
              <w:bottom w:w="0" w:type="dxa"/>
              <w:right w:w="12" w:type="dxa"/>
            </w:tcMar>
            <w:vAlign w:val="center"/>
            <w:hideMark/>
          </w:tcPr>
          <w:p w14:paraId="761C797E" w14:textId="7BB80000" w:rsidR="002146D9" w:rsidRPr="0004383D" w:rsidRDefault="002146D9" w:rsidP="00B05714">
            <w:pPr>
              <w:pBdr>
                <w:top w:val="nil"/>
                <w:left w:val="nil"/>
                <w:bottom w:val="nil"/>
                <w:right w:val="nil"/>
                <w:between w:val="nil"/>
              </w:pBdr>
              <w:spacing w:after="0" w:line="240" w:lineRule="auto"/>
              <w:jc w:val="center"/>
              <w:rPr>
                <w:rFonts w:asciiTheme="majorHAnsi" w:eastAsia="Calibri" w:hAnsiTheme="majorHAnsi" w:cstheme="majorHAnsi"/>
                <w:b/>
              </w:rPr>
            </w:pPr>
            <w:r w:rsidRPr="0004383D">
              <w:rPr>
                <w:rFonts w:asciiTheme="majorHAnsi" w:eastAsia="Calibri" w:hAnsiTheme="majorHAnsi" w:cstheme="majorHAnsi"/>
                <w:b/>
              </w:rPr>
              <w:t>1.0</w:t>
            </w:r>
            <w:r w:rsidR="00E07011">
              <w:rPr>
                <w:rFonts w:asciiTheme="majorHAnsi" w:eastAsia="Calibri" w:hAnsiTheme="majorHAnsi" w:cstheme="majorHAnsi"/>
                <w:b/>
              </w:rPr>
              <w:t>1</w:t>
            </w:r>
          </w:p>
        </w:tc>
      </w:tr>
      <w:tr w:rsidR="008A45CA" w:rsidRPr="00373088" w14:paraId="737FFFCA" w14:textId="77777777" w:rsidTr="006D6565">
        <w:trPr>
          <w:trHeight w:val="720"/>
        </w:trPr>
        <w:tc>
          <w:tcPr>
            <w:tcW w:w="4900" w:type="dxa"/>
            <w:tcBorders>
              <w:top w:val="single" w:sz="8" w:space="0" w:color="FFFFFF"/>
              <w:left w:val="single" w:sz="8" w:space="0" w:color="FFFFFF"/>
              <w:bottom w:val="single" w:sz="8" w:space="0" w:color="FFFFFF"/>
              <w:right w:val="single" w:sz="8" w:space="0" w:color="FFFFFF"/>
            </w:tcBorders>
            <w:shd w:val="clear" w:color="auto" w:fill="CCDFEF"/>
            <w:tcMar>
              <w:top w:w="72" w:type="dxa"/>
              <w:left w:w="144" w:type="dxa"/>
              <w:bottom w:w="72" w:type="dxa"/>
              <w:right w:w="144" w:type="dxa"/>
            </w:tcMar>
            <w:vAlign w:val="center"/>
            <w:hideMark/>
          </w:tcPr>
          <w:p w14:paraId="38DA5235" w14:textId="77777777" w:rsidR="002146D9" w:rsidRPr="0004383D" w:rsidRDefault="002146D9" w:rsidP="006D6565">
            <w:pPr>
              <w:pBdr>
                <w:top w:val="nil"/>
                <w:left w:val="nil"/>
                <w:bottom w:val="nil"/>
                <w:right w:val="nil"/>
                <w:between w:val="nil"/>
              </w:pBdr>
              <w:spacing w:after="0" w:line="240" w:lineRule="auto"/>
              <w:jc w:val="both"/>
              <w:rPr>
                <w:rFonts w:asciiTheme="majorHAnsi" w:eastAsia="Calibri" w:hAnsiTheme="majorHAnsi" w:cstheme="majorHAnsi"/>
                <w:b/>
              </w:rPr>
            </w:pPr>
            <w:r w:rsidRPr="0004383D">
              <w:rPr>
                <w:rFonts w:asciiTheme="majorHAnsi" w:eastAsia="Calibri" w:hAnsiTheme="majorHAnsi" w:cstheme="majorHAnsi"/>
                <w:b/>
              </w:rPr>
              <w:t>BW-Responsivity product [GHZ A/W]</w:t>
            </w:r>
          </w:p>
        </w:tc>
        <w:tc>
          <w:tcPr>
            <w:tcW w:w="154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2A908EE0" w14:textId="5FEC2662" w:rsidR="002146D9" w:rsidRPr="0004383D" w:rsidRDefault="006F72C4" w:rsidP="00B05714">
            <w:pPr>
              <w:pBdr>
                <w:top w:val="nil"/>
                <w:left w:val="nil"/>
                <w:bottom w:val="nil"/>
                <w:right w:val="nil"/>
                <w:between w:val="nil"/>
              </w:pBdr>
              <w:spacing w:after="0" w:line="240" w:lineRule="auto"/>
              <w:jc w:val="center"/>
              <w:rPr>
                <w:rFonts w:asciiTheme="majorHAnsi" w:eastAsia="Calibri" w:hAnsiTheme="majorHAnsi" w:cstheme="majorHAnsi"/>
                <w:b/>
              </w:rPr>
            </w:pPr>
            <w:r>
              <w:rPr>
                <w:rFonts w:asciiTheme="majorHAnsi" w:eastAsia="Calibri" w:hAnsiTheme="majorHAnsi" w:cstheme="majorHAnsi"/>
                <w:b/>
              </w:rPr>
              <w:t>80</w:t>
            </w:r>
          </w:p>
        </w:tc>
        <w:tc>
          <w:tcPr>
            <w:tcW w:w="1720" w:type="dxa"/>
            <w:tcBorders>
              <w:top w:val="single" w:sz="8" w:space="0" w:color="FFFFFF"/>
              <w:left w:val="single" w:sz="8" w:space="0" w:color="FFFFFF"/>
              <w:bottom w:val="single" w:sz="8" w:space="0" w:color="FFFFFF"/>
              <w:right w:val="single" w:sz="8" w:space="0" w:color="FFFFFF"/>
            </w:tcBorders>
            <w:shd w:val="clear" w:color="auto" w:fill="CCDFEF"/>
            <w:tcMar>
              <w:top w:w="12" w:type="dxa"/>
              <w:left w:w="12" w:type="dxa"/>
              <w:bottom w:w="0" w:type="dxa"/>
              <w:right w:w="12" w:type="dxa"/>
            </w:tcMar>
            <w:vAlign w:val="center"/>
            <w:hideMark/>
          </w:tcPr>
          <w:p w14:paraId="06C5F621" w14:textId="4599CDF5" w:rsidR="002146D9" w:rsidRPr="0004383D" w:rsidRDefault="00E07011" w:rsidP="00B05714">
            <w:pPr>
              <w:pBdr>
                <w:top w:val="nil"/>
                <w:left w:val="nil"/>
                <w:bottom w:val="nil"/>
                <w:right w:val="nil"/>
                <w:between w:val="nil"/>
              </w:pBdr>
              <w:spacing w:after="0" w:line="240" w:lineRule="auto"/>
              <w:jc w:val="center"/>
              <w:rPr>
                <w:rFonts w:asciiTheme="majorHAnsi" w:eastAsia="Calibri" w:hAnsiTheme="majorHAnsi" w:cstheme="majorHAnsi"/>
                <w:b/>
              </w:rPr>
            </w:pPr>
            <w:r>
              <w:rPr>
                <w:rFonts w:asciiTheme="majorHAnsi" w:eastAsia="Calibri" w:hAnsiTheme="majorHAnsi" w:cstheme="majorHAnsi"/>
                <w:b/>
              </w:rPr>
              <w:t>217</w:t>
            </w:r>
          </w:p>
        </w:tc>
      </w:tr>
    </w:tbl>
    <w:p w14:paraId="5BFB1C5D" w14:textId="77777777" w:rsidR="001D4111" w:rsidRPr="00373088" w:rsidRDefault="001D4111" w:rsidP="001D4111">
      <w:pPr>
        <w:pBdr>
          <w:top w:val="nil"/>
          <w:left w:val="nil"/>
          <w:bottom w:val="nil"/>
          <w:right w:val="nil"/>
          <w:between w:val="nil"/>
        </w:pBdr>
        <w:spacing w:after="0" w:line="240" w:lineRule="auto"/>
        <w:jc w:val="both"/>
        <w:rPr>
          <w:rFonts w:asciiTheme="majorHAnsi" w:eastAsia="Calibri" w:hAnsiTheme="majorHAnsi" w:cstheme="majorHAnsi"/>
          <w:b/>
          <w:sz w:val="24"/>
          <w:szCs w:val="24"/>
        </w:rPr>
      </w:pPr>
    </w:p>
    <w:p w14:paraId="1CED9563" w14:textId="77777777" w:rsidR="001D4111" w:rsidRPr="00373088" w:rsidRDefault="001D4111" w:rsidP="00310F1E">
      <w:pPr>
        <w:spacing w:after="0" w:line="276" w:lineRule="auto"/>
        <w:jc w:val="both"/>
        <w:rPr>
          <w:rFonts w:asciiTheme="majorHAnsi" w:eastAsia="Calibri" w:hAnsiTheme="majorHAnsi" w:cstheme="majorHAnsi"/>
          <w:b/>
          <w:sz w:val="24"/>
          <w:szCs w:val="24"/>
        </w:rPr>
      </w:pPr>
    </w:p>
    <w:p w14:paraId="624BE1F8" w14:textId="669AA63A" w:rsidR="005F222B" w:rsidRPr="005F222B" w:rsidRDefault="004A11E9" w:rsidP="005F222B">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Pr>
          <w:rFonts w:asciiTheme="majorHAnsi" w:eastAsia="Calibri" w:hAnsiTheme="majorHAnsi" w:cstheme="majorHAnsi"/>
          <w:b/>
          <w:sz w:val="24"/>
          <w:szCs w:val="24"/>
        </w:rPr>
        <w:t xml:space="preserve">S6. </w:t>
      </w:r>
      <w:r w:rsidR="005F222B" w:rsidRPr="005F222B">
        <w:rPr>
          <w:rFonts w:asciiTheme="majorHAnsi" w:eastAsia="Calibri" w:hAnsiTheme="majorHAnsi" w:cstheme="majorHAnsi"/>
          <w:b/>
          <w:sz w:val="24"/>
          <w:szCs w:val="24"/>
        </w:rPr>
        <w:t>Polarization</w:t>
      </w:r>
      <w:r w:rsidR="005F222B" w:rsidRPr="005F222B">
        <w:rPr>
          <w:rFonts w:asciiTheme="majorHAnsi" w:eastAsia="Calibri" w:hAnsiTheme="majorHAnsi" w:cstheme="majorHAnsi"/>
          <w:b/>
          <w:sz w:val="24"/>
          <w:szCs w:val="24"/>
        </w:rPr>
        <w:noBreakHyphen/>
        <w:t xml:space="preserve">independent ORL reduction </w:t>
      </w:r>
      <w:r w:rsidR="005F222B">
        <w:rPr>
          <w:rFonts w:asciiTheme="majorHAnsi" w:eastAsia="Calibri" w:hAnsiTheme="majorHAnsi" w:cstheme="majorHAnsi"/>
          <w:b/>
          <w:sz w:val="24"/>
          <w:szCs w:val="24"/>
        </w:rPr>
        <w:t xml:space="preserve">for Ge PD </w:t>
      </w:r>
      <w:r w:rsidR="005F222B" w:rsidRPr="005F222B">
        <w:rPr>
          <w:rFonts w:asciiTheme="majorHAnsi" w:eastAsia="Calibri" w:hAnsiTheme="majorHAnsi" w:cstheme="majorHAnsi"/>
          <w:b/>
          <w:sz w:val="24"/>
          <w:szCs w:val="24"/>
        </w:rPr>
        <w:t>using reflection</w:t>
      </w:r>
      <w:r w:rsidR="005F222B" w:rsidRPr="005F222B">
        <w:rPr>
          <w:rFonts w:asciiTheme="majorHAnsi" w:eastAsia="Calibri" w:hAnsiTheme="majorHAnsi" w:cstheme="majorHAnsi"/>
          <w:b/>
          <w:sz w:val="24"/>
          <w:szCs w:val="24"/>
        </w:rPr>
        <w:noBreakHyphen/>
        <w:t>cancellation</w:t>
      </w:r>
    </w:p>
    <w:p w14:paraId="44827650" w14:textId="7739B973" w:rsidR="00D53340" w:rsidRPr="00CF6B03" w:rsidRDefault="00D53340" w:rsidP="00CF6B03">
      <w:pPr>
        <w:pBdr>
          <w:top w:val="nil"/>
          <w:left w:val="nil"/>
          <w:bottom w:val="nil"/>
          <w:right w:val="nil"/>
          <w:between w:val="nil"/>
        </w:pBdr>
        <w:spacing w:after="0" w:line="240" w:lineRule="auto"/>
        <w:jc w:val="both"/>
        <w:rPr>
          <w:rFonts w:asciiTheme="majorHAnsi" w:eastAsia="Calibri" w:hAnsiTheme="majorHAnsi" w:cstheme="majorHAnsi"/>
          <w:b/>
          <w:bCs/>
        </w:rPr>
      </w:pPr>
    </w:p>
    <w:p w14:paraId="5C01ACF5" w14:textId="07431FDB" w:rsidR="00D53340" w:rsidRDefault="00D53340" w:rsidP="00F272CB">
      <w:pPr>
        <w:spacing w:after="0"/>
        <w:jc w:val="both"/>
        <w:rPr>
          <w:rFonts w:asciiTheme="majorHAnsi" w:eastAsia="Calibri" w:hAnsiTheme="majorHAnsi" w:cstheme="majorHAnsi"/>
        </w:rPr>
      </w:pPr>
      <w:r w:rsidRPr="00F272CB">
        <w:rPr>
          <w:rFonts w:asciiTheme="majorHAnsi" w:eastAsia="Calibri" w:hAnsiTheme="majorHAnsi" w:cstheme="majorHAnsi"/>
        </w:rPr>
        <w:t>Beyond raw speed and BW, additional innovations are introduced to enhance key FoMs without degrading DC or AC performance. In addition to optical confinement features, side</w:t>
      </w:r>
      <w:r w:rsidRPr="00F272CB">
        <w:rPr>
          <w:rFonts w:asciiTheme="majorHAnsi" w:eastAsia="Calibri" w:hAnsiTheme="majorHAnsi" w:cstheme="majorHAnsi"/>
        </w:rPr>
        <w:noBreakHyphen/>
        <w:t>coupled architectures, and integrated reflectors, we demonstrate a polarization</w:t>
      </w:r>
      <w:r w:rsidRPr="00F272CB">
        <w:rPr>
          <w:rFonts w:asciiTheme="majorHAnsi" w:eastAsia="Calibri" w:hAnsiTheme="majorHAnsi" w:cstheme="majorHAnsi"/>
        </w:rPr>
        <w:noBreakHyphen/>
        <w:t>independent reflection</w:t>
      </w:r>
      <w:r w:rsidRPr="00F272CB">
        <w:rPr>
          <w:rFonts w:asciiTheme="majorHAnsi" w:eastAsia="Calibri" w:hAnsiTheme="majorHAnsi" w:cstheme="majorHAnsi"/>
        </w:rPr>
        <w:noBreakHyphen/>
        <w:t xml:space="preserve">cancellation circuit that significantly reduces optical return loss (ORL). As illustrated in </w:t>
      </w:r>
      <w:r w:rsidR="00611793" w:rsidRPr="0093113E">
        <w:rPr>
          <w:rFonts w:asciiTheme="majorHAnsi" w:eastAsia="Calibri" w:hAnsiTheme="majorHAnsi" w:cstheme="majorHAnsi"/>
          <w:b/>
          <w:bCs/>
        </w:rPr>
        <w:t>Supplementary</w:t>
      </w:r>
      <w:r w:rsidRPr="0093113E">
        <w:rPr>
          <w:rFonts w:asciiTheme="majorHAnsi" w:eastAsia="Calibri" w:hAnsiTheme="majorHAnsi" w:cstheme="majorHAnsi"/>
          <w:b/>
          <w:bCs/>
        </w:rPr>
        <w:t xml:space="preserve"> Fig.</w:t>
      </w:r>
      <w:r w:rsidR="00611793" w:rsidRPr="0093113E">
        <w:rPr>
          <w:rFonts w:asciiTheme="majorHAnsi" w:eastAsia="Calibri" w:hAnsiTheme="majorHAnsi" w:cstheme="majorHAnsi"/>
          <w:b/>
          <w:bCs/>
        </w:rPr>
        <w:t>6</w:t>
      </w:r>
      <w:r w:rsidR="00E31513" w:rsidRPr="0093113E">
        <w:rPr>
          <w:rFonts w:asciiTheme="majorHAnsi" w:eastAsia="Calibri" w:hAnsiTheme="majorHAnsi" w:cstheme="majorHAnsi"/>
          <w:b/>
          <w:bCs/>
        </w:rPr>
        <w:t>a</w:t>
      </w:r>
      <w:r w:rsidRPr="00F272CB">
        <w:rPr>
          <w:rFonts w:asciiTheme="majorHAnsi" w:eastAsia="Calibri" w:hAnsiTheme="majorHAnsi" w:cstheme="majorHAnsi"/>
        </w:rPr>
        <w:t>, this compact circuit employs a polarization-independent coupler and a dual</w:t>
      </w:r>
      <w:r w:rsidRPr="00F272CB">
        <w:rPr>
          <w:rFonts w:asciiTheme="majorHAnsi" w:eastAsia="Calibri" w:hAnsiTheme="majorHAnsi" w:cstheme="majorHAnsi"/>
        </w:rPr>
        <w:noBreakHyphen/>
        <w:t xml:space="preserve">input PD architecture with a short, engineered delay path in one arm to destructively interfere reflected signals, without introducing excess loss or BW penalties. Measurement results in </w:t>
      </w:r>
      <w:r w:rsidR="00E31513" w:rsidRPr="0093113E">
        <w:rPr>
          <w:rFonts w:asciiTheme="majorHAnsi" w:eastAsia="Calibri" w:hAnsiTheme="majorHAnsi" w:cstheme="majorHAnsi"/>
          <w:b/>
          <w:bCs/>
        </w:rPr>
        <w:t xml:space="preserve">Supplementary </w:t>
      </w:r>
      <w:r w:rsidRPr="0093113E">
        <w:rPr>
          <w:rFonts w:asciiTheme="majorHAnsi" w:eastAsia="Calibri" w:hAnsiTheme="majorHAnsi" w:cstheme="majorHAnsi"/>
          <w:b/>
          <w:bCs/>
        </w:rPr>
        <w:t>Fig.</w:t>
      </w:r>
      <w:r w:rsidR="00E31513" w:rsidRPr="0093113E">
        <w:rPr>
          <w:rFonts w:asciiTheme="majorHAnsi" w:eastAsia="Calibri" w:hAnsiTheme="majorHAnsi" w:cstheme="majorHAnsi"/>
          <w:b/>
          <w:bCs/>
        </w:rPr>
        <w:t>6b</w:t>
      </w:r>
      <w:r w:rsidR="00E31513" w:rsidRPr="00F272CB">
        <w:rPr>
          <w:rFonts w:asciiTheme="majorHAnsi" w:eastAsia="Calibri" w:hAnsiTheme="majorHAnsi" w:cstheme="majorHAnsi"/>
        </w:rPr>
        <w:t>,</w:t>
      </w:r>
      <w:r w:rsidRPr="00F272CB">
        <w:rPr>
          <w:rFonts w:asciiTheme="majorHAnsi" w:eastAsia="Calibri" w:hAnsiTheme="majorHAnsi" w:cstheme="majorHAnsi"/>
        </w:rPr>
        <w:t xml:space="preserve"> confirm a simultaneous &gt;10 dB ORL reduction for both TE and TM polarizations. This universal approach is applicable to a wide range of Ge</w:t>
      </w:r>
      <w:r w:rsidRPr="00F272CB">
        <w:rPr>
          <w:rFonts w:asciiTheme="majorHAnsi" w:eastAsia="Calibri" w:hAnsiTheme="majorHAnsi" w:cstheme="majorHAnsi"/>
        </w:rPr>
        <w:noBreakHyphen/>
        <w:t>PD designs and can be combined with chamfered PD geometries [</w:t>
      </w:r>
      <w:r w:rsidR="006C6253">
        <w:rPr>
          <w:rFonts w:asciiTheme="majorHAnsi" w:eastAsia="Calibri" w:hAnsiTheme="majorHAnsi" w:cstheme="majorHAnsi"/>
        </w:rPr>
        <w:t>3</w:t>
      </w:r>
      <w:r w:rsidRPr="00F272CB">
        <w:rPr>
          <w:rFonts w:asciiTheme="majorHAnsi" w:eastAsia="Calibri" w:hAnsiTheme="majorHAnsi" w:cstheme="majorHAnsi"/>
        </w:rPr>
        <w:t>] to suppress reflections well beyond IEEE requirements [</w:t>
      </w:r>
      <w:r w:rsidR="006C6253">
        <w:rPr>
          <w:rFonts w:asciiTheme="majorHAnsi" w:eastAsia="Calibri" w:hAnsiTheme="majorHAnsi" w:cstheme="majorHAnsi"/>
        </w:rPr>
        <w:t>4</w:t>
      </w:r>
      <w:r w:rsidRPr="00F272CB">
        <w:rPr>
          <w:rFonts w:asciiTheme="majorHAnsi" w:eastAsia="Calibri" w:hAnsiTheme="majorHAnsi" w:cstheme="majorHAnsi"/>
        </w:rPr>
        <w:t>].</w:t>
      </w:r>
    </w:p>
    <w:p w14:paraId="4FBC34FE" w14:textId="77777777" w:rsidR="007014F7" w:rsidRPr="00F272CB" w:rsidRDefault="007014F7" w:rsidP="00F272CB">
      <w:pPr>
        <w:spacing w:after="0"/>
        <w:jc w:val="both"/>
        <w:rPr>
          <w:rFonts w:asciiTheme="majorHAnsi" w:eastAsia="Calibri" w:hAnsiTheme="majorHAnsi" w:cstheme="majorHAnsi"/>
        </w:rPr>
      </w:pPr>
    </w:p>
    <w:p w14:paraId="13D4A992" w14:textId="7E8BA0D9" w:rsidR="00D53340" w:rsidRDefault="00EC10BC" w:rsidP="009445E4">
      <w:pPr>
        <w:pBdr>
          <w:top w:val="nil"/>
          <w:left w:val="nil"/>
          <w:bottom w:val="nil"/>
          <w:right w:val="nil"/>
          <w:between w:val="nil"/>
        </w:pBdr>
        <w:spacing w:after="0" w:line="240" w:lineRule="auto"/>
        <w:jc w:val="both"/>
        <w:rPr>
          <w:rFonts w:asciiTheme="majorHAnsi" w:eastAsia="Calibri" w:hAnsiTheme="majorHAnsi" w:cstheme="majorHAnsi"/>
          <w:b/>
          <w:bCs/>
        </w:rPr>
      </w:pPr>
      <w:r>
        <w:rPr>
          <w:rFonts w:asciiTheme="majorHAnsi" w:eastAsia="Calibri" w:hAnsiTheme="majorHAnsi" w:cstheme="majorHAnsi"/>
          <w:b/>
          <w:bCs/>
          <w:noProof/>
        </w:rPr>
        <w:drawing>
          <wp:inline distT="0" distB="0" distL="0" distR="0" wp14:anchorId="6E1ABEEB" wp14:editId="40BB31FE">
            <wp:extent cx="5486400" cy="1692503"/>
            <wp:effectExtent l="0" t="0" r="0" b="3175"/>
            <wp:docPr id="2130793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845"/>
                    <a:stretch>
                      <a:fillRect/>
                    </a:stretch>
                  </pic:blipFill>
                  <pic:spPr bwMode="auto">
                    <a:xfrm>
                      <a:off x="0" y="0"/>
                      <a:ext cx="5486400" cy="1692503"/>
                    </a:xfrm>
                    <a:prstGeom prst="rect">
                      <a:avLst/>
                    </a:prstGeom>
                    <a:noFill/>
                    <a:ln>
                      <a:noFill/>
                    </a:ln>
                    <a:extLst>
                      <a:ext uri="{53640926-AAD7-44D8-BBD7-CCE9431645EC}">
                        <a14:shadowObscured xmlns:a14="http://schemas.microsoft.com/office/drawing/2010/main"/>
                      </a:ext>
                    </a:extLst>
                  </pic:spPr>
                </pic:pic>
              </a:graphicData>
            </a:graphic>
          </wp:inline>
        </w:drawing>
      </w:r>
    </w:p>
    <w:p w14:paraId="30143C47" w14:textId="7B5C0264" w:rsidR="009445E4" w:rsidRPr="00F272CB" w:rsidRDefault="009445E4" w:rsidP="009445E4">
      <w:pPr>
        <w:pBdr>
          <w:top w:val="nil"/>
          <w:left w:val="nil"/>
          <w:bottom w:val="nil"/>
          <w:right w:val="nil"/>
          <w:between w:val="nil"/>
        </w:pBdr>
        <w:spacing w:after="0" w:line="240" w:lineRule="auto"/>
        <w:jc w:val="both"/>
        <w:rPr>
          <w:rFonts w:asciiTheme="majorHAnsi" w:eastAsia="Calibri" w:hAnsiTheme="majorHAnsi" w:cstheme="majorHAnsi"/>
          <w:sz w:val="20"/>
          <w:szCs w:val="20"/>
        </w:rPr>
      </w:pPr>
      <w:r w:rsidRPr="00F272CB">
        <w:rPr>
          <w:rFonts w:asciiTheme="majorHAnsi" w:eastAsia="Calibri" w:hAnsiTheme="majorHAnsi" w:cstheme="majorHAnsi"/>
          <w:b/>
          <w:bCs/>
          <w:sz w:val="20"/>
          <w:szCs w:val="20"/>
        </w:rPr>
        <w:t xml:space="preserve">Supplementary Fig. </w:t>
      </w:r>
      <w:r w:rsidR="001D4111" w:rsidRPr="00F272CB">
        <w:rPr>
          <w:rFonts w:asciiTheme="majorHAnsi" w:eastAsia="Calibri" w:hAnsiTheme="majorHAnsi" w:cstheme="majorHAnsi"/>
          <w:b/>
          <w:bCs/>
          <w:sz w:val="20"/>
          <w:szCs w:val="20"/>
        </w:rPr>
        <w:t>6</w:t>
      </w:r>
      <w:r w:rsidRPr="00F272CB">
        <w:rPr>
          <w:rFonts w:asciiTheme="majorHAnsi" w:eastAsia="Calibri" w:hAnsiTheme="majorHAnsi" w:cstheme="majorHAnsi"/>
          <w:b/>
          <w:bCs/>
          <w:sz w:val="20"/>
          <w:szCs w:val="20"/>
        </w:rPr>
        <w:t xml:space="preserve"> | Polarization</w:t>
      </w:r>
      <w:r w:rsidRPr="00F272CB">
        <w:rPr>
          <w:rFonts w:ascii="Cambria Math" w:eastAsia="Calibri" w:hAnsi="Cambria Math" w:cs="Cambria Math"/>
          <w:b/>
          <w:bCs/>
          <w:sz w:val="20"/>
          <w:szCs w:val="20"/>
        </w:rPr>
        <w:t>‑</w:t>
      </w:r>
      <w:r w:rsidRPr="00F272CB">
        <w:rPr>
          <w:rFonts w:asciiTheme="majorHAnsi" w:eastAsia="Calibri" w:hAnsiTheme="majorHAnsi" w:cstheme="majorHAnsi"/>
          <w:b/>
          <w:bCs/>
          <w:sz w:val="20"/>
          <w:szCs w:val="20"/>
        </w:rPr>
        <w:t>independent reflection</w:t>
      </w:r>
      <w:r w:rsidRPr="00F272CB">
        <w:rPr>
          <w:rFonts w:ascii="Cambria Math" w:eastAsia="Calibri" w:hAnsi="Cambria Math" w:cs="Cambria Math"/>
          <w:b/>
          <w:bCs/>
          <w:sz w:val="20"/>
          <w:szCs w:val="20"/>
        </w:rPr>
        <w:t>‑</w:t>
      </w:r>
      <w:r w:rsidRPr="00F272CB">
        <w:rPr>
          <w:rFonts w:asciiTheme="majorHAnsi" w:eastAsia="Calibri" w:hAnsiTheme="majorHAnsi" w:cstheme="majorHAnsi"/>
          <w:b/>
          <w:bCs/>
          <w:sz w:val="20"/>
          <w:szCs w:val="20"/>
        </w:rPr>
        <w:t>cancellation circuit for optical return loss (ORL) suppression.</w:t>
      </w:r>
      <w:r w:rsidRPr="00F272CB">
        <w:rPr>
          <w:rFonts w:asciiTheme="majorHAnsi" w:eastAsia="Calibri" w:hAnsiTheme="majorHAnsi" w:cstheme="majorHAnsi"/>
          <w:sz w:val="20"/>
          <w:szCs w:val="20"/>
        </w:rPr>
        <w:t xml:space="preserve"> </w:t>
      </w:r>
    </w:p>
    <w:p w14:paraId="627A6779" w14:textId="44D81115" w:rsidR="009445E4" w:rsidRPr="00F272CB" w:rsidRDefault="009445E4" w:rsidP="009445E4">
      <w:pPr>
        <w:pBdr>
          <w:top w:val="nil"/>
          <w:left w:val="nil"/>
          <w:bottom w:val="nil"/>
          <w:right w:val="nil"/>
          <w:between w:val="nil"/>
        </w:pBdr>
        <w:spacing w:after="0" w:line="240" w:lineRule="auto"/>
        <w:jc w:val="both"/>
        <w:rPr>
          <w:rFonts w:asciiTheme="majorHAnsi" w:eastAsia="Calibri" w:hAnsiTheme="majorHAnsi" w:cstheme="majorHAnsi"/>
          <w:sz w:val="20"/>
          <w:szCs w:val="20"/>
        </w:rPr>
      </w:pPr>
      <w:r w:rsidRPr="00F272CB">
        <w:rPr>
          <w:rFonts w:asciiTheme="majorHAnsi" w:eastAsia="Calibri" w:hAnsiTheme="majorHAnsi" w:cstheme="majorHAnsi"/>
          <w:sz w:val="20"/>
          <w:szCs w:val="20"/>
        </w:rPr>
        <w:t>a, Schematic of the polarization</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independent reflection</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cancellation architecture integrated with a high</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speed Ge</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on</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Si photodetector. A compact interferometric configuration incorporating a polarization</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independent coupler and an engineered delay path enables destructive interference of reflected optical signals, suppressing back</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reflections without introducing excess loss or bandwidth penalties. b, Measured time</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domain reflected signal for a reference photodetector (POR PD) and a photodetector incorporating the ORL</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cancellation circuit. The reduced reflection amplitude is observed for both TE and TM polarization states, demonstrating effective polarization</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independent suppression.</w:t>
      </w:r>
    </w:p>
    <w:p w14:paraId="6C6FF663" w14:textId="77777777" w:rsidR="004301D7" w:rsidRPr="00373088" w:rsidRDefault="004301D7" w:rsidP="009445E4">
      <w:pPr>
        <w:pBdr>
          <w:top w:val="nil"/>
          <w:left w:val="nil"/>
          <w:bottom w:val="nil"/>
          <w:right w:val="nil"/>
          <w:between w:val="nil"/>
        </w:pBdr>
        <w:spacing w:after="0" w:line="240" w:lineRule="auto"/>
        <w:jc w:val="both"/>
        <w:rPr>
          <w:rFonts w:asciiTheme="majorHAnsi" w:eastAsia="Calibri" w:hAnsiTheme="majorHAnsi" w:cstheme="majorHAnsi"/>
        </w:rPr>
      </w:pPr>
    </w:p>
    <w:p w14:paraId="163F3236" w14:textId="77777777" w:rsidR="004301D7" w:rsidRPr="00373088" w:rsidRDefault="004301D7" w:rsidP="009445E4">
      <w:pPr>
        <w:pBdr>
          <w:top w:val="nil"/>
          <w:left w:val="nil"/>
          <w:bottom w:val="nil"/>
          <w:right w:val="nil"/>
          <w:between w:val="nil"/>
        </w:pBdr>
        <w:spacing w:after="0" w:line="240" w:lineRule="auto"/>
        <w:jc w:val="both"/>
        <w:rPr>
          <w:rFonts w:asciiTheme="majorHAnsi" w:eastAsia="Calibri" w:hAnsiTheme="majorHAnsi" w:cstheme="majorHAnsi"/>
        </w:rPr>
      </w:pPr>
    </w:p>
    <w:p w14:paraId="4558B8BC" w14:textId="7E99014E" w:rsidR="004301D7" w:rsidRPr="00FB7284" w:rsidRDefault="004A11E9" w:rsidP="00FB7284">
      <w:pPr>
        <w:spacing w:after="0" w:line="276" w:lineRule="auto"/>
        <w:jc w:val="both"/>
        <w:rPr>
          <w:rFonts w:asciiTheme="majorHAnsi" w:eastAsia="Calibri" w:hAnsiTheme="majorHAnsi" w:cstheme="majorHAnsi"/>
          <w:b/>
          <w:sz w:val="24"/>
          <w:szCs w:val="24"/>
        </w:rPr>
      </w:pPr>
      <w:r>
        <w:rPr>
          <w:rFonts w:asciiTheme="majorHAnsi" w:eastAsia="Calibri" w:hAnsiTheme="majorHAnsi" w:cstheme="majorHAnsi"/>
          <w:b/>
          <w:sz w:val="24"/>
          <w:szCs w:val="24"/>
        </w:rPr>
        <w:t xml:space="preserve">S7. </w:t>
      </w:r>
      <w:r w:rsidR="0064154A">
        <w:rPr>
          <w:rFonts w:asciiTheme="majorHAnsi" w:eastAsia="Calibri" w:hAnsiTheme="majorHAnsi" w:cstheme="majorHAnsi"/>
          <w:b/>
          <w:sz w:val="24"/>
          <w:szCs w:val="24"/>
        </w:rPr>
        <w:t>Additional insertion loss data for detachable optical I/O</w:t>
      </w:r>
    </w:p>
    <w:p w14:paraId="49AB7E68" w14:textId="77777777" w:rsidR="004301D7" w:rsidRPr="00373088" w:rsidRDefault="004301D7" w:rsidP="009445E4">
      <w:pPr>
        <w:pBdr>
          <w:top w:val="nil"/>
          <w:left w:val="nil"/>
          <w:bottom w:val="nil"/>
          <w:right w:val="nil"/>
          <w:between w:val="nil"/>
        </w:pBdr>
        <w:spacing w:after="0" w:line="240" w:lineRule="auto"/>
        <w:jc w:val="both"/>
        <w:rPr>
          <w:rFonts w:asciiTheme="majorHAnsi" w:eastAsia="Calibri" w:hAnsiTheme="majorHAnsi" w:cstheme="majorHAnsi"/>
          <w:b/>
          <w:sz w:val="24"/>
          <w:szCs w:val="24"/>
        </w:rPr>
      </w:pPr>
    </w:p>
    <w:p w14:paraId="4A43B569" w14:textId="1247F522" w:rsidR="00310F1E" w:rsidRPr="00373088" w:rsidRDefault="004A18E9" w:rsidP="009445E4">
      <w:pPr>
        <w:pBdr>
          <w:top w:val="nil"/>
          <w:left w:val="nil"/>
          <w:bottom w:val="nil"/>
          <w:right w:val="nil"/>
          <w:between w:val="nil"/>
        </w:pBdr>
        <w:spacing w:after="0" w:line="240" w:lineRule="auto"/>
        <w:jc w:val="both"/>
        <w:rPr>
          <w:rFonts w:asciiTheme="majorHAnsi" w:eastAsia="Calibri" w:hAnsiTheme="majorHAnsi" w:cstheme="majorHAnsi"/>
          <w:b/>
          <w:sz w:val="24"/>
          <w:szCs w:val="24"/>
        </w:rPr>
      </w:pPr>
      <w:r>
        <w:rPr>
          <w:rFonts w:asciiTheme="majorHAnsi" w:eastAsia="Calibri" w:hAnsiTheme="majorHAnsi" w:cstheme="majorHAnsi"/>
          <w:b/>
          <w:noProof/>
          <w:sz w:val="24"/>
          <w:szCs w:val="24"/>
        </w:rPr>
        <w:drawing>
          <wp:inline distT="0" distB="0" distL="0" distR="0" wp14:anchorId="73D0E335" wp14:editId="6ED840AB">
            <wp:extent cx="5329767" cy="1866265"/>
            <wp:effectExtent l="0" t="0" r="4445" b="635"/>
            <wp:docPr id="113737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836"/>
                    <a:stretch>
                      <a:fillRect/>
                    </a:stretch>
                  </pic:blipFill>
                  <pic:spPr bwMode="auto">
                    <a:xfrm>
                      <a:off x="0" y="0"/>
                      <a:ext cx="5330804" cy="1866628"/>
                    </a:xfrm>
                    <a:prstGeom prst="rect">
                      <a:avLst/>
                    </a:prstGeom>
                    <a:noFill/>
                    <a:ln>
                      <a:noFill/>
                    </a:ln>
                    <a:extLst>
                      <a:ext uri="{53640926-AAD7-44D8-BBD7-CCE9431645EC}">
                        <a14:shadowObscured xmlns:a14="http://schemas.microsoft.com/office/drawing/2010/main"/>
                      </a:ext>
                    </a:extLst>
                  </pic:spPr>
                </pic:pic>
              </a:graphicData>
            </a:graphic>
          </wp:inline>
        </w:drawing>
      </w:r>
    </w:p>
    <w:p w14:paraId="36441B09" w14:textId="77777777" w:rsidR="00417234" w:rsidRPr="00373088" w:rsidRDefault="00417234" w:rsidP="00310F1E">
      <w:pPr>
        <w:spacing w:after="0" w:line="276" w:lineRule="auto"/>
        <w:jc w:val="both"/>
        <w:rPr>
          <w:rFonts w:asciiTheme="majorHAnsi" w:eastAsia="Calibri" w:hAnsiTheme="majorHAnsi" w:cstheme="majorHAnsi"/>
          <w:b/>
          <w:sz w:val="24"/>
          <w:szCs w:val="24"/>
        </w:rPr>
      </w:pPr>
    </w:p>
    <w:p w14:paraId="54E97391" w14:textId="77777777" w:rsidR="004301D7" w:rsidRPr="00F272CB" w:rsidRDefault="004301D7" w:rsidP="00310F1E">
      <w:pPr>
        <w:spacing w:after="0" w:line="276" w:lineRule="auto"/>
        <w:jc w:val="both"/>
        <w:rPr>
          <w:rFonts w:asciiTheme="majorHAnsi" w:eastAsia="Calibri" w:hAnsiTheme="majorHAnsi" w:cstheme="majorHAnsi"/>
          <w:b/>
          <w:sz w:val="20"/>
          <w:szCs w:val="20"/>
        </w:rPr>
      </w:pPr>
      <w:r w:rsidRPr="00F272CB">
        <w:rPr>
          <w:rFonts w:asciiTheme="majorHAnsi" w:eastAsia="Calibri" w:hAnsiTheme="majorHAnsi" w:cstheme="majorHAnsi"/>
          <w:b/>
          <w:sz w:val="20"/>
          <w:szCs w:val="20"/>
        </w:rPr>
        <w:t xml:space="preserve">Supplementary Fig. 7 | Insertion loss per facet for detachable optical I/O before and after adhesive alignment. </w:t>
      </w:r>
    </w:p>
    <w:p w14:paraId="1604496C" w14:textId="0F6A8A7E" w:rsidR="0056277D" w:rsidRDefault="004301D7" w:rsidP="00D53340">
      <w:pPr>
        <w:spacing w:after="0" w:line="276" w:lineRule="auto"/>
        <w:jc w:val="both"/>
        <w:rPr>
          <w:rFonts w:asciiTheme="majorHAnsi" w:eastAsia="Calibri" w:hAnsiTheme="majorHAnsi" w:cstheme="majorHAnsi"/>
          <w:sz w:val="20"/>
          <w:szCs w:val="20"/>
        </w:rPr>
      </w:pPr>
      <w:r w:rsidRPr="00F272CB">
        <w:rPr>
          <w:rFonts w:asciiTheme="majorHAnsi" w:eastAsia="Calibri" w:hAnsiTheme="majorHAnsi" w:cstheme="majorHAnsi"/>
          <w:sz w:val="20"/>
          <w:szCs w:val="20"/>
        </w:rPr>
        <w:t>a, Measured insertion loss per facet across multiple loopback paths under initial die</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alignment conditions (no adhesive), showing consistent low</w:t>
      </w:r>
      <w:r w:rsidRPr="00F272CB">
        <w:rPr>
          <w:rFonts w:ascii="Cambria Math" w:eastAsia="Calibri" w:hAnsi="Cambria Math" w:cs="Cambria Math"/>
          <w:sz w:val="20"/>
          <w:szCs w:val="20"/>
        </w:rPr>
        <w:t>‑</w:t>
      </w:r>
      <w:r w:rsidRPr="00F272CB">
        <w:rPr>
          <w:rFonts w:asciiTheme="majorHAnsi" w:eastAsia="Calibri" w:hAnsiTheme="majorHAnsi" w:cstheme="majorHAnsi"/>
          <w:sz w:val="20"/>
          <w:szCs w:val="20"/>
        </w:rPr>
        <w:t xml:space="preserve">loss coupling during active alignment. b, Insertion loss per facet measured after permanent adhesive alignment of the receptacle interface. Comparable loss levels are maintained across all loopbacks, indicating stable optical coupling with </w:t>
      </w:r>
      <w:r w:rsidR="006F56F1">
        <w:rPr>
          <w:rFonts w:asciiTheme="majorHAnsi" w:eastAsia="Calibri" w:hAnsiTheme="majorHAnsi" w:cstheme="majorHAnsi"/>
          <w:sz w:val="20"/>
          <w:szCs w:val="20"/>
        </w:rPr>
        <w:t>no</w:t>
      </w:r>
      <w:r w:rsidRPr="00F272CB">
        <w:rPr>
          <w:rFonts w:asciiTheme="majorHAnsi" w:eastAsia="Calibri" w:hAnsiTheme="majorHAnsi" w:cstheme="majorHAnsi"/>
          <w:sz w:val="20"/>
          <w:szCs w:val="20"/>
        </w:rPr>
        <w:t xml:space="preserve"> degradation following permanent attachment.</w:t>
      </w:r>
    </w:p>
    <w:p w14:paraId="627D9A5D" w14:textId="77777777" w:rsidR="009A4A22" w:rsidRDefault="009A4A22" w:rsidP="00D53340">
      <w:pPr>
        <w:spacing w:after="0" w:line="276" w:lineRule="auto"/>
        <w:jc w:val="both"/>
        <w:rPr>
          <w:rFonts w:asciiTheme="majorHAnsi" w:eastAsia="Calibri" w:hAnsiTheme="majorHAnsi" w:cstheme="majorHAnsi"/>
          <w:sz w:val="20"/>
          <w:szCs w:val="20"/>
        </w:rPr>
      </w:pPr>
    </w:p>
    <w:p w14:paraId="36D82DDB" w14:textId="49634D2A" w:rsidR="001A6304" w:rsidRPr="001A6304" w:rsidRDefault="001A6304" w:rsidP="001A6304">
      <w:pPr>
        <w:spacing w:after="0" w:line="276" w:lineRule="auto"/>
        <w:jc w:val="both"/>
        <w:rPr>
          <w:rFonts w:asciiTheme="majorHAnsi" w:eastAsia="Calibri" w:hAnsiTheme="majorHAnsi" w:cstheme="majorHAnsi"/>
        </w:rPr>
      </w:pPr>
      <w:r w:rsidRPr="001A6304">
        <w:rPr>
          <w:rFonts w:asciiTheme="majorHAnsi" w:eastAsia="Calibri" w:hAnsiTheme="majorHAnsi" w:cstheme="majorHAnsi"/>
        </w:rPr>
        <w:t>In addition to the through</w:t>
      </w:r>
      <w:r w:rsidRPr="001A6304">
        <w:rPr>
          <w:rFonts w:asciiTheme="majorHAnsi" w:eastAsia="Calibri" w:hAnsiTheme="majorHAnsi" w:cstheme="majorHAnsi"/>
        </w:rPr>
        <w:noBreakHyphen/>
        <w:t>band insertion loss measurements described in the main text, we further evaluated coupling performance across multiple loopback paths before and after adhesive alignment. The measured insertion loss remains consistently close to ~1 dB per facet</w:t>
      </w:r>
      <w:r>
        <w:rPr>
          <w:rFonts w:asciiTheme="majorHAnsi" w:eastAsia="Calibri" w:hAnsiTheme="majorHAnsi" w:cstheme="majorHAnsi"/>
        </w:rPr>
        <w:t xml:space="preserve"> as illustrated in </w:t>
      </w:r>
      <w:r w:rsidRPr="001A6304">
        <w:rPr>
          <w:rFonts w:asciiTheme="majorHAnsi" w:eastAsia="Calibri" w:hAnsiTheme="majorHAnsi" w:cstheme="majorHAnsi"/>
          <w:b/>
          <w:bCs/>
        </w:rPr>
        <w:t>Supplementary Fig. 7a and 7b</w:t>
      </w:r>
      <w:r w:rsidRPr="001A6304">
        <w:rPr>
          <w:rFonts w:asciiTheme="majorHAnsi" w:eastAsia="Calibri" w:hAnsiTheme="majorHAnsi" w:cstheme="majorHAnsi"/>
        </w:rPr>
        <w:t>, confirming stable low</w:t>
      </w:r>
      <w:r w:rsidRPr="001A6304">
        <w:rPr>
          <w:rFonts w:asciiTheme="majorHAnsi" w:eastAsia="Calibri" w:hAnsiTheme="majorHAnsi" w:cstheme="majorHAnsi"/>
        </w:rPr>
        <w:noBreakHyphen/>
        <w:t>loss coupling with no observable degradation upon permanent attachment.</w:t>
      </w:r>
    </w:p>
    <w:p w14:paraId="33D51E8A" w14:textId="77777777" w:rsidR="00CF6B03" w:rsidRDefault="00CF6B03" w:rsidP="0039238F">
      <w:pPr>
        <w:spacing w:after="0" w:line="276" w:lineRule="auto"/>
        <w:jc w:val="both"/>
        <w:rPr>
          <w:rFonts w:asciiTheme="majorHAnsi" w:eastAsia="Calibri" w:hAnsiTheme="majorHAnsi" w:cstheme="majorHAnsi"/>
          <w:b/>
          <w:bCs/>
          <w:sz w:val="24"/>
          <w:szCs w:val="24"/>
        </w:rPr>
      </w:pPr>
    </w:p>
    <w:p w14:paraId="7A07DEF2" w14:textId="2F95942D" w:rsidR="0039238F" w:rsidRPr="00373088" w:rsidRDefault="00D53340" w:rsidP="0039238F">
      <w:pPr>
        <w:spacing w:after="0" w:line="276" w:lineRule="auto"/>
        <w:jc w:val="both"/>
        <w:rPr>
          <w:rFonts w:asciiTheme="majorHAnsi" w:eastAsia="Calibri" w:hAnsiTheme="majorHAnsi" w:cstheme="majorHAnsi"/>
          <w:b/>
          <w:bCs/>
          <w:sz w:val="24"/>
          <w:szCs w:val="24"/>
        </w:rPr>
      </w:pPr>
      <w:r>
        <w:rPr>
          <w:rFonts w:asciiTheme="majorHAnsi" w:eastAsia="Calibri" w:hAnsiTheme="majorHAnsi" w:cstheme="majorHAnsi"/>
          <w:b/>
          <w:bCs/>
          <w:sz w:val="24"/>
          <w:szCs w:val="24"/>
        </w:rPr>
        <w:t xml:space="preserve">S8. </w:t>
      </w:r>
      <w:r w:rsidR="0039238F" w:rsidRPr="00373088">
        <w:rPr>
          <w:rFonts w:asciiTheme="majorHAnsi" w:eastAsia="Calibri" w:hAnsiTheme="majorHAnsi" w:cstheme="majorHAnsi"/>
          <w:b/>
          <w:bCs/>
          <w:sz w:val="24"/>
          <w:szCs w:val="24"/>
        </w:rPr>
        <w:t>System</w:t>
      </w:r>
      <w:r w:rsidR="0039238F" w:rsidRPr="00373088">
        <w:rPr>
          <w:rFonts w:asciiTheme="majorHAnsi" w:eastAsia="Calibri" w:hAnsiTheme="majorHAnsi" w:cstheme="majorHAnsi"/>
          <w:b/>
          <w:bCs/>
          <w:sz w:val="24"/>
          <w:szCs w:val="24"/>
        </w:rPr>
        <w:noBreakHyphen/>
        <w:t>level implications and scalability of ≥</w:t>
      </w:r>
      <w:r w:rsidR="001728C4">
        <w:rPr>
          <w:rFonts w:asciiTheme="majorHAnsi" w:eastAsia="Calibri" w:hAnsiTheme="majorHAnsi" w:cstheme="majorHAnsi"/>
          <w:b/>
          <w:bCs/>
          <w:sz w:val="24"/>
          <w:szCs w:val="24"/>
        </w:rPr>
        <w:t>448</w:t>
      </w:r>
      <w:r w:rsidR="0039238F" w:rsidRPr="00373088">
        <w:rPr>
          <w:rFonts w:asciiTheme="majorHAnsi" w:eastAsia="Calibri" w:hAnsiTheme="majorHAnsi" w:cstheme="majorHAnsi"/>
          <w:b/>
          <w:bCs/>
          <w:sz w:val="24"/>
          <w:szCs w:val="24"/>
        </w:rPr>
        <w:t> </w:t>
      </w:r>
      <w:r w:rsidR="001728C4">
        <w:rPr>
          <w:rFonts w:asciiTheme="majorHAnsi" w:eastAsia="Calibri" w:hAnsiTheme="majorHAnsi" w:cstheme="majorHAnsi"/>
          <w:b/>
          <w:bCs/>
          <w:sz w:val="24"/>
          <w:szCs w:val="24"/>
        </w:rPr>
        <w:t xml:space="preserve">Gbps </w:t>
      </w:r>
      <w:r w:rsidR="0039238F" w:rsidRPr="00373088">
        <w:rPr>
          <w:rFonts w:asciiTheme="majorHAnsi" w:eastAsia="Calibri" w:hAnsiTheme="majorHAnsi" w:cstheme="majorHAnsi"/>
          <w:b/>
          <w:bCs/>
          <w:sz w:val="24"/>
          <w:szCs w:val="24"/>
        </w:rPr>
        <w:t xml:space="preserve">Ge photodetectors </w:t>
      </w:r>
    </w:p>
    <w:p w14:paraId="5E88AE1E" w14:textId="77777777" w:rsidR="00D63882" w:rsidRDefault="00D63882" w:rsidP="00A661AD">
      <w:pPr>
        <w:spacing w:after="0"/>
        <w:jc w:val="both"/>
        <w:rPr>
          <w:rFonts w:asciiTheme="majorHAnsi" w:eastAsia="Calibri" w:hAnsiTheme="majorHAnsi" w:cstheme="majorHAnsi"/>
          <w:b/>
          <w:bCs/>
        </w:rPr>
      </w:pPr>
    </w:p>
    <w:p w14:paraId="301678BB" w14:textId="3EC9B69D" w:rsidR="00F272CB" w:rsidRDefault="00F272CB" w:rsidP="00F272CB">
      <w:pPr>
        <w:spacing w:after="0"/>
        <w:jc w:val="both"/>
        <w:rPr>
          <w:rFonts w:asciiTheme="majorHAnsi" w:eastAsia="Calibri" w:hAnsiTheme="majorHAnsi" w:cstheme="majorHAnsi"/>
        </w:rPr>
      </w:pPr>
      <w:r w:rsidRPr="00F272CB">
        <w:rPr>
          <w:rFonts w:asciiTheme="majorHAnsi" w:eastAsia="Calibri" w:hAnsiTheme="majorHAnsi" w:cstheme="majorHAnsi"/>
        </w:rPr>
        <w:t>The demonstrated ≥448 </w:t>
      </w:r>
      <w:r w:rsidR="00432CA4">
        <w:rPr>
          <w:rFonts w:asciiTheme="majorHAnsi" w:eastAsia="Calibri" w:hAnsiTheme="majorHAnsi" w:cstheme="majorHAnsi"/>
        </w:rPr>
        <w:t>Gbps</w:t>
      </w:r>
      <w:r w:rsidR="00F45C43">
        <w:rPr>
          <w:rFonts w:asciiTheme="majorHAnsi" w:eastAsia="Calibri" w:hAnsiTheme="majorHAnsi" w:cstheme="majorHAnsi"/>
        </w:rPr>
        <w:t xml:space="preserve"> </w:t>
      </w:r>
      <w:r w:rsidRPr="00F272CB">
        <w:rPr>
          <w:rFonts w:asciiTheme="majorHAnsi" w:eastAsia="Calibri" w:hAnsiTheme="majorHAnsi" w:cstheme="majorHAnsi"/>
        </w:rPr>
        <w:t>large</w:t>
      </w:r>
      <w:r w:rsidRPr="00F272CB">
        <w:rPr>
          <w:rFonts w:asciiTheme="majorHAnsi" w:eastAsia="Calibri" w:hAnsiTheme="majorHAnsi" w:cstheme="majorHAnsi"/>
        </w:rPr>
        <w:noBreakHyphen/>
        <w:t>signal operation establishes a system</w:t>
      </w:r>
      <w:r w:rsidRPr="00F272CB">
        <w:rPr>
          <w:rFonts w:asciiTheme="majorHAnsi" w:eastAsia="Calibri" w:hAnsiTheme="majorHAnsi" w:cstheme="majorHAnsi"/>
        </w:rPr>
        <w:noBreakHyphen/>
        <w:t>relevant performance regime aligned with current and emerging datacom standards, in which high symbol rates (~224 GBd for PAM4) place stringent requirements on receiver bandwidth, linearity and signal fidelity. Beyond bandwidth alone, the ability to sustain clean eye openings at high photocurrent levels is critical for maintaining signal</w:t>
      </w:r>
      <w:r w:rsidRPr="00F272CB">
        <w:rPr>
          <w:rFonts w:asciiTheme="majorHAnsi" w:eastAsia="Calibri" w:hAnsiTheme="majorHAnsi" w:cstheme="majorHAnsi"/>
        </w:rPr>
        <w:noBreakHyphen/>
        <w:t>to</w:t>
      </w:r>
      <w:r w:rsidRPr="00F272CB">
        <w:rPr>
          <w:rFonts w:asciiTheme="majorHAnsi" w:eastAsia="Calibri" w:hAnsiTheme="majorHAnsi" w:cstheme="majorHAnsi"/>
        </w:rPr>
        <w:noBreakHyphen/>
        <w:t>noise ratio under realistic link conditions.</w:t>
      </w:r>
    </w:p>
    <w:p w14:paraId="667D01DA" w14:textId="77777777" w:rsidR="00F272CB" w:rsidRPr="00F272CB" w:rsidRDefault="00F272CB" w:rsidP="00F272CB">
      <w:pPr>
        <w:spacing w:after="0"/>
        <w:jc w:val="both"/>
        <w:rPr>
          <w:rFonts w:asciiTheme="majorHAnsi" w:eastAsia="Calibri" w:hAnsiTheme="majorHAnsi" w:cstheme="majorHAnsi"/>
        </w:rPr>
      </w:pPr>
    </w:p>
    <w:p w14:paraId="69227932" w14:textId="77777777" w:rsidR="00F272CB" w:rsidRDefault="00F272CB" w:rsidP="00F272CB">
      <w:pPr>
        <w:spacing w:after="0"/>
        <w:jc w:val="both"/>
        <w:rPr>
          <w:rFonts w:asciiTheme="majorHAnsi" w:eastAsia="Calibri" w:hAnsiTheme="majorHAnsi" w:cstheme="majorHAnsi"/>
        </w:rPr>
      </w:pPr>
      <w:r w:rsidRPr="00F272CB">
        <w:rPr>
          <w:rFonts w:asciiTheme="majorHAnsi" w:eastAsia="Calibri" w:hAnsiTheme="majorHAnsi" w:cstheme="majorHAnsi"/>
        </w:rPr>
        <w:t>The combination of high responsivity and robust large</w:t>
      </w:r>
      <w:r w:rsidRPr="00F272CB">
        <w:rPr>
          <w:rFonts w:asciiTheme="majorHAnsi" w:eastAsia="Calibri" w:hAnsiTheme="majorHAnsi" w:cstheme="majorHAnsi"/>
        </w:rPr>
        <w:noBreakHyphen/>
        <w:t>signal linearity directly benefits link budget and system margins. High responsivity reduces the required optical power at the receiver, relaxing constraints on transmitter output, fiber loss, and passive component insertion loss. At the same time, operation at milliwatt</w:t>
      </w:r>
      <w:r w:rsidRPr="00F272CB">
        <w:rPr>
          <w:rFonts w:asciiTheme="majorHAnsi" w:eastAsia="Calibri" w:hAnsiTheme="majorHAnsi" w:cstheme="majorHAnsi"/>
        </w:rPr>
        <w:noBreakHyphen/>
        <w:t>level optical power with near</w:t>
      </w:r>
      <w:r w:rsidRPr="00F272CB">
        <w:rPr>
          <w:rFonts w:asciiTheme="majorHAnsi" w:eastAsia="Calibri" w:hAnsiTheme="majorHAnsi" w:cstheme="majorHAnsi"/>
        </w:rPr>
        <w:noBreakHyphen/>
        <w:t>constant responsivity mitigates signal compression and distortion, preserving eye opening and enabling reliable detection at high data rates.</w:t>
      </w:r>
    </w:p>
    <w:p w14:paraId="24B40100" w14:textId="77777777" w:rsidR="00432CA4" w:rsidRPr="00F272CB" w:rsidRDefault="00432CA4" w:rsidP="00F272CB">
      <w:pPr>
        <w:spacing w:after="0"/>
        <w:jc w:val="both"/>
        <w:rPr>
          <w:rFonts w:asciiTheme="majorHAnsi" w:eastAsia="Calibri" w:hAnsiTheme="majorHAnsi" w:cstheme="majorHAnsi"/>
        </w:rPr>
      </w:pPr>
    </w:p>
    <w:p w14:paraId="6A905624" w14:textId="77777777" w:rsidR="00F272CB" w:rsidRDefault="00F272CB" w:rsidP="00F272CB">
      <w:pPr>
        <w:spacing w:after="0"/>
        <w:jc w:val="both"/>
        <w:rPr>
          <w:rFonts w:asciiTheme="majorHAnsi" w:eastAsia="Calibri" w:hAnsiTheme="majorHAnsi" w:cstheme="majorHAnsi"/>
        </w:rPr>
      </w:pPr>
      <w:r w:rsidRPr="00F272CB">
        <w:rPr>
          <w:rFonts w:asciiTheme="majorHAnsi" w:eastAsia="Calibri" w:hAnsiTheme="majorHAnsi" w:cstheme="majorHAnsi"/>
        </w:rPr>
        <w:t>These attributes are particularly important in dense wavelength</w:t>
      </w:r>
      <w:r w:rsidRPr="00F272CB">
        <w:rPr>
          <w:rFonts w:asciiTheme="majorHAnsi" w:eastAsia="Calibri" w:hAnsiTheme="majorHAnsi" w:cstheme="majorHAnsi"/>
        </w:rPr>
        <w:noBreakHyphen/>
        <w:t>division multiplexed (WDM) systems, where cumulative losses and limited per</w:t>
      </w:r>
      <w:r w:rsidRPr="00F272CB">
        <w:rPr>
          <w:rFonts w:asciiTheme="majorHAnsi" w:eastAsia="Calibri" w:hAnsiTheme="majorHAnsi" w:cstheme="majorHAnsi"/>
        </w:rPr>
        <w:noBreakHyphen/>
        <w:t>channel power can constrain receiver performance. The demonstrated tolerance to high optical power and linear response provides additional margin for multi</w:t>
      </w:r>
      <w:r w:rsidRPr="00F272CB">
        <w:rPr>
          <w:rFonts w:asciiTheme="majorHAnsi" w:eastAsia="Calibri" w:hAnsiTheme="majorHAnsi" w:cstheme="majorHAnsi"/>
        </w:rPr>
        <w:noBreakHyphen/>
        <w:t>channel operation without compromising bandwidth or signal integrity.</w:t>
      </w:r>
    </w:p>
    <w:p w14:paraId="65B73242" w14:textId="77777777" w:rsidR="00F272CB" w:rsidRPr="00F272CB" w:rsidRDefault="00F272CB" w:rsidP="00F272CB">
      <w:pPr>
        <w:spacing w:after="0"/>
        <w:jc w:val="both"/>
        <w:rPr>
          <w:rFonts w:asciiTheme="majorHAnsi" w:eastAsia="Calibri" w:hAnsiTheme="majorHAnsi" w:cstheme="majorHAnsi"/>
        </w:rPr>
      </w:pPr>
    </w:p>
    <w:p w14:paraId="3E45A142" w14:textId="77777777" w:rsidR="00F272CB" w:rsidRDefault="00F272CB" w:rsidP="00F272CB">
      <w:pPr>
        <w:spacing w:after="0"/>
        <w:jc w:val="both"/>
        <w:rPr>
          <w:rFonts w:asciiTheme="majorHAnsi" w:eastAsia="Calibri" w:hAnsiTheme="majorHAnsi" w:cstheme="majorHAnsi"/>
        </w:rPr>
      </w:pPr>
      <w:r w:rsidRPr="00F272CB">
        <w:rPr>
          <w:rFonts w:asciiTheme="majorHAnsi" w:eastAsia="Calibri" w:hAnsiTheme="majorHAnsi" w:cstheme="majorHAnsi"/>
        </w:rPr>
        <w:t>From a system design perspective, the intrinsic large</w:t>
      </w:r>
      <w:r w:rsidRPr="00F272CB">
        <w:rPr>
          <w:rFonts w:asciiTheme="majorHAnsi" w:eastAsia="Calibri" w:hAnsiTheme="majorHAnsi" w:cstheme="majorHAnsi"/>
        </w:rPr>
        <w:noBreakHyphen/>
        <w:t>signal capability of the photodetector reduces reliance on aggressive electronic equalization or optical amplification, simplifying receiver architectures and improving overall energy efficiency. The demonstrated performance, achieved without transimpedance amplifier integration, further indicates that a substantial portion of the receiver functionality can be fulfilled at the photonic device level.</w:t>
      </w:r>
    </w:p>
    <w:p w14:paraId="412E0134" w14:textId="77777777" w:rsidR="00F272CB" w:rsidRPr="00F272CB" w:rsidRDefault="00F272CB" w:rsidP="00F272CB">
      <w:pPr>
        <w:spacing w:after="0"/>
        <w:jc w:val="both"/>
        <w:rPr>
          <w:rFonts w:asciiTheme="majorHAnsi" w:eastAsia="Calibri" w:hAnsiTheme="majorHAnsi" w:cstheme="majorHAnsi"/>
        </w:rPr>
      </w:pPr>
    </w:p>
    <w:p w14:paraId="10483653" w14:textId="6A3EFFAA" w:rsidR="00F272CB" w:rsidRPr="00F272CB" w:rsidRDefault="00F272CB" w:rsidP="00F272CB">
      <w:pPr>
        <w:spacing w:after="0"/>
        <w:jc w:val="both"/>
        <w:rPr>
          <w:rFonts w:asciiTheme="majorHAnsi" w:eastAsia="Calibri" w:hAnsiTheme="majorHAnsi" w:cstheme="majorHAnsi"/>
        </w:rPr>
      </w:pPr>
      <w:r w:rsidRPr="00F272CB">
        <w:rPr>
          <w:rFonts w:asciiTheme="majorHAnsi" w:eastAsia="Calibri" w:hAnsiTheme="majorHAnsi" w:cstheme="majorHAnsi"/>
        </w:rPr>
        <w:t>Collectively, these results show that Ge</w:t>
      </w:r>
      <w:r w:rsidRPr="00F272CB">
        <w:rPr>
          <w:rFonts w:asciiTheme="majorHAnsi" w:eastAsia="Calibri" w:hAnsiTheme="majorHAnsi" w:cstheme="majorHAnsi"/>
        </w:rPr>
        <w:noBreakHyphen/>
        <w:t>on</w:t>
      </w:r>
      <w:r w:rsidRPr="00F272CB">
        <w:rPr>
          <w:rFonts w:asciiTheme="majorHAnsi" w:eastAsia="Calibri" w:hAnsiTheme="majorHAnsi" w:cstheme="majorHAnsi"/>
        </w:rPr>
        <w:noBreakHyphen/>
        <w:t>Si photodetectors, when co</w:t>
      </w:r>
      <w:r w:rsidRPr="00F272CB">
        <w:rPr>
          <w:rFonts w:asciiTheme="majorHAnsi" w:eastAsia="Calibri" w:hAnsiTheme="majorHAnsi" w:cstheme="majorHAnsi"/>
        </w:rPr>
        <w:noBreakHyphen/>
        <w:t>optimized with a manufacturable silicon photonics platform, can meet the combined requirements of ≥448 Gb</w:t>
      </w:r>
      <w:r w:rsidR="00EE6A1D">
        <w:rPr>
          <w:rFonts w:asciiTheme="majorHAnsi" w:eastAsia="Calibri" w:hAnsiTheme="majorHAnsi" w:cstheme="majorHAnsi"/>
        </w:rPr>
        <w:t>ps</w:t>
      </w:r>
      <w:r w:rsidRPr="00F272CB">
        <w:rPr>
          <w:rFonts w:asciiTheme="majorHAnsi" w:eastAsia="Calibri" w:hAnsiTheme="majorHAnsi" w:cstheme="majorHAnsi"/>
        </w:rPr>
        <w:t xml:space="preserve"> operation, high responsivity, and large</w:t>
      </w:r>
      <w:r w:rsidRPr="00F272CB">
        <w:rPr>
          <w:rFonts w:asciiTheme="majorHAnsi" w:eastAsia="Calibri" w:hAnsiTheme="majorHAnsi" w:cstheme="majorHAnsi"/>
        </w:rPr>
        <w:noBreakHyphen/>
        <w:t>signal linearity, providing a practical pathway toward scalable multi</w:t>
      </w:r>
      <w:r w:rsidRPr="00F272CB">
        <w:rPr>
          <w:rFonts w:asciiTheme="majorHAnsi" w:eastAsia="Calibri" w:hAnsiTheme="majorHAnsi" w:cstheme="majorHAnsi"/>
        </w:rPr>
        <w:noBreakHyphen/>
        <w:t>terabit optical interconnects</w:t>
      </w:r>
      <w:r w:rsidR="006C6253">
        <w:rPr>
          <w:rFonts w:asciiTheme="majorHAnsi" w:eastAsia="Calibri" w:hAnsiTheme="majorHAnsi" w:cstheme="majorHAnsi"/>
        </w:rPr>
        <w:t xml:space="preserve"> [5]</w:t>
      </w:r>
      <w:r w:rsidRPr="00F272CB">
        <w:rPr>
          <w:rFonts w:asciiTheme="majorHAnsi" w:eastAsia="Calibri" w:hAnsiTheme="majorHAnsi" w:cstheme="majorHAnsi"/>
        </w:rPr>
        <w:t>.</w:t>
      </w:r>
    </w:p>
    <w:p w14:paraId="5F8B2717" w14:textId="77777777" w:rsidR="003B116C" w:rsidRDefault="003B116C" w:rsidP="00A661AD">
      <w:pPr>
        <w:spacing w:after="0"/>
        <w:jc w:val="both"/>
        <w:rPr>
          <w:rFonts w:asciiTheme="majorHAnsi" w:eastAsia="Calibri" w:hAnsiTheme="majorHAnsi" w:cstheme="majorHAnsi"/>
        </w:rPr>
      </w:pPr>
    </w:p>
    <w:p w14:paraId="76F39E57" w14:textId="77777777" w:rsidR="00D63882" w:rsidRDefault="00D63882" w:rsidP="00A661AD">
      <w:pPr>
        <w:spacing w:after="0"/>
        <w:jc w:val="both"/>
        <w:rPr>
          <w:rFonts w:asciiTheme="majorHAnsi" w:eastAsia="Calibri" w:hAnsiTheme="majorHAnsi" w:cstheme="majorHAnsi"/>
        </w:rPr>
      </w:pPr>
    </w:p>
    <w:p w14:paraId="6FF8F727" w14:textId="1C5EB1D4" w:rsidR="00D63882" w:rsidRPr="00D63882" w:rsidRDefault="00D63882" w:rsidP="00A661AD">
      <w:pPr>
        <w:spacing w:after="0"/>
        <w:jc w:val="both"/>
        <w:rPr>
          <w:rFonts w:asciiTheme="majorHAnsi" w:eastAsia="Calibri" w:hAnsiTheme="majorHAnsi" w:cstheme="majorHAnsi"/>
          <w:b/>
          <w:bCs/>
        </w:rPr>
      </w:pPr>
      <w:r w:rsidRPr="00D63882">
        <w:rPr>
          <w:rFonts w:asciiTheme="majorHAnsi" w:eastAsia="Calibri" w:hAnsiTheme="majorHAnsi" w:cstheme="majorHAnsi"/>
          <w:b/>
          <w:bCs/>
        </w:rPr>
        <w:t>References</w:t>
      </w:r>
    </w:p>
    <w:p w14:paraId="56F42CB4" w14:textId="449681A7" w:rsidR="00D63882" w:rsidRDefault="00D63882" w:rsidP="00A661AD">
      <w:pPr>
        <w:spacing w:after="0"/>
        <w:jc w:val="both"/>
        <w:rPr>
          <w:rFonts w:asciiTheme="majorHAnsi" w:eastAsia="Calibri" w:hAnsiTheme="majorHAnsi" w:cstheme="majorHAnsi"/>
        </w:rPr>
      </w:pPr>
      <w:r>
        <w:rPr>
          <w:rFonts w:asciiTheme="majorHAnsi" w:eastAsia="Calibri" w:hAnsiTheme="majorHAnsi" w:cstheme="majorHAnsi"/>
        </w:rPr>
        <w:t>[1]</w:t>
      </w:r>
      <w:r w:rsidR="009859A7">
        <w:rPr>
          <w:rFonts w:asciiTheme="majorHAnsi" w:eastAsia="Calibri" w:hAnsiTheme="majorHAnsi" w:cstheme="majorHAnsi"/>
        </w:rPr>
        <w:t xml:space="preserve"> </w:t>
      </w:r>
      <w:r w:rsidR="00203F46">
        <w:rPr>
          <w:rFonts w:asciiTheme="majorHAnsi" w:eastAsia="Calibri" w:hAnsiTheme="majorHAnsi" w:cstheme="majorHAnsi"/>
        </w:rPr>
        <w:t>Laser Institute of America, ANSI Z136.2-2022</w:t>
      </w:r>
      <w:r w:rsidR="001A261E">
        <w:rPr>
          <w:rFonts w:asciiTheme="majorHAnsi" w:eastAsia="Calibri" w:hAnsiTheme="majorHAnsi" w:cstheme="majorHAnsi"/>
        </w:rPr>
        <w:t xml:space="preserve"> – American National Standard for </w:t>
      </w:r>
      <w:r w:rsidR="00015434" w:rsidRPr="00015434">
        <w:rPr>
          <w:rFonts w:asciiTheme="majorHAnsi" w:eastAsia="Calibri" w:hAnsiTheme="majorHAnsi" w:cstheme="majorHAnsi"/>
        </w:rPr>
        <w:t>Safe Use of Optical Fiber Communication Systems Utilizing Laser Diode and LED Sources</w:t>
      </w:r>
      <w:r w:rsidR="0056774A">
        <w:rPr>
          <w:rFonts w:asciiTheme="majorHAnsi" w:eastAsia="Calibri" w:hAnsiTheme="majorHAnsi" w:cstheme="majorHAnsi"/>
        </w:rPr>
        <w:t>.</w:t>
      </w:r>
      <w:r w:rsidR="006B0EBB">
        <w:rPr>
          <w:rFonts w:asciiTheme="majorHAnsi" w:eastAsia="Calibri" w:hAnsiTheme="majorHAnsi" w:cstheme="majorHAnsi"/>
        </w:rPr>
        <w:t xml:space="preserve"> </w:t>
      </w:r>
      <w:r w:rsidR="006B0EBB" w:rsidRPr="00734343">
        <w:rPr>
          <w:rFonts w:asciiTheme="majorHAnsi" w:eastAsia="Calibri" w:hAnsiTheme="majorHAnsi" w:cstheme="majorHAnsi"/>
          <w:i/>
          <w:iCs/>
        </w:rPr>
        <w:t>American National Standards Institute</w:t>
      </w:r>
      <w:r w:rsidR="006B0EBB">
        <w:rPr>
          <w:rFonts w:asciiTheme="majorHAnsi" w:eastAsia="Calibri" w:hAnsiTheme="majorHAnsi" w:cstheme="majorHAnsi"/>
        </w:rPr>
        <w:t xml:space="preserve">, </w:t>
      </w:r>
      <w:r w:rsidR="006802EF">
        <w:rPr>
          <w:rFonts w:asciiTheme="majorHAnsi" w:eastAsia="Calibri" w:hAnsiTheme="majorHAnsi" w:cstheme="majorHAnsi"/>
        </w:rPr>
        <w:t>(</w:t>
      </w:r>
      <w:r w:rsidR="004E6313">
        <w:rPr>
          <w:rFonts w:asciiTheme="majorHAnsi" w:eastAsia="Calibri" w:hAnsiTheme="majorHAnsi" w:cstheme="majorHAnsi"/>
        </w:rPr>
        <w:t>2022)</w:t>
      </w:r>
      <w:r w:rsidR="004177AC">
        <w:rPr>
          <w:rFonts w:asciiTheme="majorHAnsi" w:eastAsia="Calibri" w:hAnsiTheme="majorHAnsi" w:cstheme="majorHAnsi"/>
        </w:rPr>
        <w:t>.</w:t>
      </w:r>
    </w:p>
    <w:p w14:paraId="417B0B7E" w14:textId="5920515C" w:rsidR="00D63882" w:rsidRDefault="00D63882" w:rsidP="00A661AD">
      <w:pPr>
        <w:spacing w:after="0"/>
        <w:jc w:val="both"/>
        <w:rPr>
          <w:rFonts w:asciiTheme="majorHAnsi" w:eastAsia="Calibri" w:hAnsiTheme="majorHAnsi" w:cstheme="majorHAnsi"/>
        </w:rPr>
      </w:pPr>
      <w:r>
        <w:rPr>
          <w:rFonts w:asciiTheme="majorHAnsi" w:eastAsia="Calibri" w:hAnsiTheme="majorHAnsi" w:cstheme="majorHAnsi"/>
        </w:rPr>
        <w:t>[2]</w:t>
      </w:r>
      <w:r w:rsidR="001F51EC" w:rsidRPr="001F51EC">
        <w:rPr>
          <w:rFonts w:asciiTheme="majorHAnsi" w:hAnsiTheme="majorHAnsi" w:cstheme="majorHAnsi"/>
        </w:rPr>
        <w:t xml:space="preserve"> </w:t>
      </w:r>
      <w:r w:rsidR="001F51EC" w:rsidRPr="006E32A0">
        <w:rPr>
          <w:rFonts w:asciiTheme="majorHAnsi" w:hAnsiTheme="majorHAnsi" w:cstheme="majorHAnsi"/>
        </w:rPr>
        <w:t xml:space="preserve">Lischke, S. </w:t>
      </w:r>
      <w:r w:rsidR="001F51EC" w:rsidRPr="006E32A0">
        <w:rPr>
          <w:rFonts w:asciiTheme="majorHAnsi" w:hAnsiTheme="majorHAnsi" w:cstheme="majorHAnsi"/>
          <w:i/>
          <w:iCs/>
        </w:rPr>
        <w:t>et al.</w:t>
      </w:r>
      <w:r w:rsidR="001F51EC" w:rsidRPr="006E32A0">
        <w:rPr>
          <w:rFonts w:asciiTheme="majorHAnsi" w:hAnsiTheme="majorHAnsi" w:cstheme="majorHAnsi"/>
        </w:rPr>
        <w:t xml:space="preserve"> Ultra-fast germanium photodiode with 3-dB bandwidth of 265 GHz. </w:t>
      </w:r>
      <w:r w:rsidR="001F51EC" w:rsidRPr="006E32A0">
        <w:rPr>
          <w:rFonts w:asciiTheme="majorHAnsi" w:hAnsiTheme="majorHAnsi" w:cstheme="majorHAnsi"/>
          <w:i/>
          <w:iCs/>
        </w:rPr>
        <w:t>Nat. Photonics</w:t>
      </w:r>
      <w:r w:rsidR="001F51EC" w:rsidRPr="006E32A0">
        <w:rPr>
          <w:rFonts w:asciiTheme="majorHAnsi" w:hAnsiTheme="majorHAnsi" w:cstheme="majorHAnsi"/>
        </w:rPr>
        <w:t xml:space="preserve"> </w:t>
      </w:r>
      <w:r w:rsidR="001F51EC" w:rsidRPr="006E32A0">
        <w:rPr>
          <w:rFonts w:asciiTheme="majorHAnsi" w:hAnsiTheme="majorHAnsi" w:cstheme="majorHAnsi"/>
          <w:b/>
          <w:bCs/>
        </w:rPr>
        <w:t>15</w:t>
      </w:r>
      <w:r w:rsidR="001F51EC" w:rsidRPr="006E32A0">
        <w:rPr>
          <w:rFonts w:asciiTheme="majorHAnsi" w:hAnsiTheme="majorHAnsi" w:cstheme="majorHAnsi"/>
        </w:rPr>
        <w:t>, 925–931 (2021).</w:t>
      </w:r>
    </w:p>
    <w:p w14:paraId="084C336C" w14:textId="60DF4C5D" w:rsidR="00D63882" w:rsidRDefault="00D63882" w:rsidP="00A661AD">
      <w:pPr>
        <w:spacing w:after="0"/>
        <w:jc w:val="both"/>
        <w:rPr>
          <w:rFonts w:asciiTheme="majorHAnsi" w:eastAsia="Calibri" w:hAnsiTheme="majorHAnsi" w:cstheme="majorHAnsi"/>
        </w:rPr>
      </w:pPr>
      <w:r>
        <w:rPr>
          <w:rFonts w:asciiTheme="majorHAnsi" w:eastAsia="Calibri" w:hAnsiTheme="majorHAnsi" w:cstheme="majorHAnsi"/>
        </w:rPr>
        <w:t>[3]</w:t>
      </w:r>
      <w:r w:rsidR="00117C40" w:rsidRPr="00117C40">
        <w:t xml:space="preserve"> </w:t>
      </w:r>
      <w:r w:rsidR="00117C40" w:rsidRPr="00117C40">
        <w:rPr>
          <w:rFonts w:asciiTheme="majorHAnsi" w:eastAsia="Calibri" w:hAnsiTheme="majorHAnsi" w:cstheme="majorHAnsi"/>
        </w:rPr>
        <w:t>Bian, Y. et al. Monolithically integrated high</w:t>
      </w:r>
      <w:r w:rsidR="00117C40" w:rsidRPr="00117C40">
        <w:rPr>
          <w:rFonts w:ascii="Cambria Math" w:eastAsia="Calibri" w:hAnsi="Cambria Math" w:cs="Cambria Math"/>
        </w:rPr>
        <w:t>‑</w:t>
      </w:r>
      <w:r w:rsidR="00117C40" w:rsidRPr="00117C40">
        <w:rPr>
          <w:rFonts w:asciiTheme="majorHAnsi" w:eastAsia="Calibri" w:hAnsiTheme="majorHAnsi" w:cstheme="majorHAnsi"/>
        </w:rPr>
        <w:t>performance Ge</w:t>
      </w:r>
      <w:r w:rsidR="00117C40" w:rsidRPr="00117C40">
        <w:rPr>
          <w:rFonts w:ascii="Cambria Math" w:eastAsia="Calibri" w:hAnsi="Cambria Math" w:cs="Cambria Math"/>
        </w:rPr>
        <w:t>‑</w:t>
      </w:r>
      <w:r w:rsidR="00117C40" w:rsidRPr="00117C40">
        <w:rPr>
          <w:rFonts w:asciiTheme="majorHAnsi" w:eastAsia="Calibri" w:hAnsiTheme="majorHAnsi" w:cstheme="majorHAnsi"/>
        </w:rPr>
        <w:t>on</w:t>
      </w:r>
      <w:r w:rsidR="00117C40" w:rsidRPr="00117C40">
        <w:rPr>
          <w:rFonts w:ascii="Cambria Math" w:eastAsia="Calibri" w:hAnsi="Cambria Math" w:cs="Cambria Math"/>
        </w:rPr>
        <w:t>‑</w:t>
      </w:r>
      <w:r w:rsidR="00117C40" w:rsidRPr="00117C40">
        <w:rPr>
          <w:rFonts w:asciiTheme="majorHAnsi" w:eastAsia="Calibri" w:hAnsiTheme="majorHAnsi" w:cstheme="majorHAnsi"/>
        </w:rPr>
        <w:t>Si PIN photodetectors with nearly 60</w:t>
      </w:r>
      <w:r w:rsidR="00117C40" w:rsidRPr="00117C40">
        <w:rPr>
          <w:rFonts w:ascii="Calibri" w:eastAsia="Calibri" w:hAnsi="Calibri" w:cs="Calibri"/>
        </w:rPr>
        <w:t> </w:t>
      </w:r>
      <w:r w:rsidR="00117C40" w:rsidRPr="00117C40">
        <w:rPr>
          <w:rFonts w:asciiTheme="majorHAnsi" w:eastAsia="Calibri" w:hAnsiTheme="majorHAnsi" w:cstheme="majorHAnsi"/>
        </w:rPr>
        <w:t>GHz EO bandwidth, 0.95</w:t>
      </w:r>
      <w:r w:rsidR="00117C40" w:rsidRPr="00117C40">
        <w:rPr>
          <w:rFonts w:ascii="Calibri" w:eastAsia="Calibri" w:hAnsi="Calibri" w:cs="Calibri"/>
        </w:rPr>
        <w:t> </w:t>
      </w:r>
      <w:r w:rsidR="00117C40" w:rsidRPr="00117C40">
        <w:rPr>
          <w:rFonts w:asciiTheme="majorHAnsi" w:eastAsia="Calibri" w:hAnsiTheme="majorHAnsi" w:cstheme="majorHAnsi"/>
        </w:rPr>
        <w:t>A</w:t>
      </w:r>
      <w:r w:rsidR="00117C40" w:rsidRPr="00117C40">
        <w:rPr>
          <w:rFonts w:ascii="Calibri" w:eastAsia="Calibri" w:hAnsi="Calibri" w:cs="Calibri"/>
        </w:rPr>
        <w:t> </w:t>
      </w:r>
      <w:r w:rsidR="00117C40" w:rsidRPr="00117C40">
        <w:rPr>
          <w:rFonts w:asciiTheme="majorHAnsi" w:eastAsia="Calibri" w:hAnsiTheme="majorHAnsi" w:cstheme="majorHAnsi"/>
        </w:rPr>
        <w:t>W</w:t>
      </w:r>
      <w:r w:rsidR="00117C40" w:rsidRPr="00117C40">
        <w:rPr>
          <w:rFonts w:ascii="Calibri" w:eastAsia="Calibri" w:hAnsi="Calibri" w:cs="Calibri"/>
        </w:rPr>
        <w:t>⁻¹</w:t>
      </w:r>
      <w:r w:rsidR="00117C40" w:rsidRPr="00117C40">
        <w:rPr>
          <w:rFonts w:asciiTheme="majorHAnsi" w:eastAsia="Calibri" w:hAnsiTheme="majorHAnsi" w:cstheme="majorHAnsi"/>
        </w:rPr>
        <w:t xml:space="preserve"> responsivity, &lt;30</w:t>
      </w:r>
      <w:r w:rsidR="00117C40" w:rsidRPr="00117C40">
        <w:rPr>
          <w:rFonts w:ascii="Calibri" w:eastAsia="Calibri" w:hAnsi="Calibri" w:cs="Calibri"/>
        </w:rPr>
        <w:t> </w:t>
      </w:r>
      <w:r w:rsidR="00117C40" w:rsidRPr="00117C40">
        <w:rPr>
          <w:rFonts w:asciiTheme="majorHAnsi" w:eastAsia="Calibri" w:hAnsiTheme="majorHAnsi" w:cstheme="majorHAnsi"/>
        </w:rPr>
        <w:t xml:space="preserve">nA dark current and </w:t>
      </w:r>
      <w:r w:rsidR="00117C40" w:rsidRPr="00117C40">
        <w:rPr>
          <w:rFonts w:ascii="Calibri" w:eastAsia="Calibri" w:hAnsi="Calibri" w:cs="Calibri"/>
        </w:rPr>
        <w:t>−</w:t>
      </w:r>
      <w:r w:rsidR="00117C40" w:rsidRPr="00117C40">
        <w:rPr>
          <w:rFonts w:asciiTheme="majorHAnsi" w:eastAsia="Calibri" w:hAnsiTheme="majorHAnsi" w:cstheme="majorHAnsi"/>
        </w:rPr>
        <w:t>36</w:t>
      </w:r>
      <w:r w:rsidR="00117C40" w:rsidRPr="00117C40">
        <w:rPr>
          <w:rFonts w:ascii="Calibri" w:eastAsia="Calibri" w:hAnsi="Calibri" w:cs="Calibri"/>
        </w:rPr>
        <w:t> </w:t>
      </w:r>
      <w:r w:rsidR="00117C40" w:rsidRPr="00117C40">
        <w:rPr>
          <w:rFonts w:asciiTheme="majorHAnsi" w:eastAsia="Calibri" w:hAnsiTheme="majorHAnsi" w:cstheme="majorHAnsi"/>
        </w:rPr>
        <w:t>dB optical return loss enabled by Ge shape optimization. In Optical Fiber Communication Conference (OFC), Th3E.6 (Optica Publishing Group, 2025).</w:t>
      </w:r>
    </w:p>
    <w:p w14:paraId="6B6950CE" w14:textId="3EA51C90" w:rsidR="00122FA4" w:rsidRPr="00E62508" w:rsidRDefault="00122FA4" w:rsidP="00E62508">
      <w:pPr>
        <w:pStyle w:val="Bibliography"/>
        <w:spacing w:after="0" w:line="276" w:lineRule="auto"/>
        <w:rPr>
          <w:rFonts w:asciiTheme="majorHAnsi" w:hAnsiTheme="majorHAnsi" w:cstheme="majorHAnsi"/>
        </w:rPr>
      </w:pPr>
      <w:r>
        <w:rPr>
          <w:rFonts w:asciiTheme="majorHAnsi" w:eastAsia="Calibri" w:hAnsiTheme="majorHAnsi" w:cstheme="majorHAnsi"/>
        </w:rPr>
        <w:t>[4]</w:t>
      </w:r>
      <w:r w:rsidR="00E62508">
        <w:rPr>
          <w:rFonts w:asciiTheme="majorHAnsi" w:eastAsia="Calibri" w:hAnsiTheme="majorHAnsi" w:cstheme="majorHAnsi"/>
        </w:rPr>
        <w:t xml:space="preserve"> </w:t>
      </w:r>
      <w:r w:rsidR="00E62508" w:rsidRPr="006E32A0">
        <w:rPr>
          <w:rFonts w:asciiTheme="majorHAnsi" w:hAnsiTheme="majorHAnsi" w:cstheme="majorHAnsi"/>
        </w:rPr>
        <w:t xml:space="preserve">IEEE Standard for Ethernet - Amendment 3: Media Access Control Parameters for 50 Gb/s and Physical Layers and Management Parameters for 50 Gb/s, 100 Gb/s, and 200 Gb/s Operation. </w:t>
      </w:r>
      <w:r w:rsidR="00E62508" w:rsidRPr="006E32A0">
        <w:rPr>
          <w:rFonts w:asciiTheme="majorHAnsi" w:hAnsiTheme="majorHAnsi" w:cstheme="majorHAnsi"/>
          <w:i/>
          <w:iCs/>
        </w:rPr>
        <w:t>IEEE Std 8023cd-2018 Amend. IEEE Std 8023-2018 Amend. IEEE Std 8023cb-2018 IEEE Std 8023bt-2018</w:t>
      </w:r>
      <w:r w:rsidR="00E62508" w:rsidRPr="006E32A0">
        <w:rPr>
          <w:rFonts w:asciiTheme="majorHAnsi" w:hAnsiTheme="majorHAnsi" w:cstheme="majorHAnsi"/>
        </w:rPr>
        <w:t xml:space="preserve"> 1–401 (2019) doi:10.1109/IEEESTD.2019.8649797</w:t>
      </w:r>
    </w:p>
    <w:p w14:paraId="187CEE75" w14:textId="69560755" w:rsidR="006B18D1" w:rsidRPr="007077BE" w:rsidRDefault="00D63882" w:rsidP="00E62508">
      <w:pPr>
        <w:spacing w:after="0"/>
        <w:jc w:val="both"/>
        <w:rPr>
          <w:rFonts w:asciiTheme="majorHAnsi" w:eastAsia="Calibri" w:hAnsiTheme="majorHAnsi" w:cstheme="majorHAnsi"/>
        </w:rPr>
      </w:pPr>
      <w:r>
        <w:rPr>
          <w:rFonts w:asciiTheme="majorHAnsi" w:eastAsia="Calibri" w:hAnsiTheme="majorHAnsi" w:cstheme="majorHAnsi"/>
        </w:rPr>
        <w:t>[</w:t>
      </w:r>
      <w:r w:rsidR="00122FA4">
        <w:rPr>
          <w:rFonts w:asciiTheme="majorHAnsi" w:eastAsia="Calibri" w:hAnsiTheme="majorHAnsi" w:cstheme="majorHAnsi"/>
        </w:rPr>
        <w:t>5</w:t>
      </w:r>
      <w:r>
        <w:rPr>
          <w:rFonts w:asciiTheme="majorHAnsi" w:eastAsia="Calibri" w:hAnsiTheme="majorHAnsi" w:cstheme="majorHAnsi"/>
        </w:rPr>
        <w:t>]</w:t>
      </w:r>
      <w:r w:rsidR="00122FA4">
        <w:rPr>
          <w:rFonts w:asciiTheme="majorHAnsi" w:eastAsia="Calibri" w:hAnsiTheme="majorHAnsi" w:cstheme="majorHAnsi"/>
        </w:rPr>
        <w:t xml:space="preserve"> </w:t>
      </w:r>
      <w:r w:rsidR="006B18D1" w:rsidRPr="00BB1910">
        <w:rPr>
          <w:rFonts w:asciiTheme="majorHAnsi" w:hAnsiTheme="majorHAnsi" w:cstheme="majorHAnsi"/>
          <w:color w:val="222222"/>
          <w:lang w:eastAsia="zh-CN"/>
        </w:rPr>
        <w:t xml:space="preserve">Baehr-Jones, T. </w:t>
      </w:r>
      <w:r w:rsidR="006B18D1" w:rsidRPr="0021666D">
        <w:rPr>
          <w:rFonts w:asciiTheme="majorHAnsi" w:hAnsiTheme="majorHAnsi" w:cstheme="majorHAnsi"/>
          <w:color w:val="222222"/>
          <w:lang w:eastAsia="zh-CN"/>
        </w:rPr>
        <w:t>et al.</w:t>
      </w:r>
      <w:r w:rsidR="006B18D1" w:rsidRPr="00BB1910">
        <w:rPr>
          <w:rFonts w:asciiTheme="majorHAnsi" w:hAnsiTheme="majorHAnsi" w:cstheme="majorHAnsi"/>
          <w:color w:val="222222"/>
          <w:lang w:eastAsia="zh-CN"/>
        </w:rPr>
        <w:t xml:space="preserve"> Monolithically integrated 112 Gbps PAM4 optical transmitter and receiver in a 45 nm CMOS–silicon photonics process. </w:t>
      </w:r>
      <w:r w:rsidR="006B18D1" w:rsidRPr="0021666D">
        <w:rPr>
          <w:rFonts w:asciiTheme="majorHAnsi" w:hAnsiTheme="majorHAnsi" w:cstheme="majorHAnsi"/>
          <w:color w:val="222222"/>
          <w:lang w:eastAsia="zh-CN"/>
        </w:rPr>
        <w:t>Opt. Express</w:t>
      </w:r>
      <w:r w:rsidR="006B18D1" w:rsidRPr="00BB1910">
        <w:rPr>
          <w:rFonts w:asciiTheme="majorHAnsi" w:hAnsiTheme="majorHAnsi" w:cstheme="majorHAnsi"/>
          <w:color w:val="222222"/>
          <w:lang w:eastAsia="zh-CN"/>
        </w:rPr>
        <w:t xml:space="preserve"> 31, 24926–24938 (2023).</w:t>
      </w:r>
    </w:p>
    <w:p w14:paraId="4545F818" w14:textId="0BD4B3DB" w:rsidR="00D63882" w:rsidRPr="00373088" w:rsidRDefault="00D63882" w:rsidP="00A661AD">
      <w:pPr>
        <w:spacing w:after="0"/>
        <w:jc w:val="both"/>
        <w:rPr>
          <w:rFonts w:asciiTheme="majorHAnsi" w:eastAsia="Calibri" w:hAnsiTheme="majorHAnsi" w:cstheme="majorHAnsi"/>
        </w:rPr>
      </w:pPr>
    </w:p>
    <w:sectPr w:rsidR="00D63882" w:rsidRPr="00373088">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FB152" w14:textId="77777777" w:rsidR="00DA6A5E" w:rsidRDefault="00DA6A5E">
      <w:pPr>
        <w:spacing w:after="0" w:line="240" w:lineRule="auto"/>
      </w:pPr>
      <w:r>
        <w:separator/>
      </w:r>
    </w:p>
  </w:endnote>
  <w:endnote w:type="continuationSeparator" w:id="0">
    <w:p w14:paraId="310FAEC4" w14:textId="77777777" w:rsidR="00DA6A5E" w:rsidRDefault="00DA6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E00002AF" w:usb1="5000607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inionPro-Regular">
    <w:altName w:val="Calibri"/>
    <w:panose1 w:val="00000000000000000000"/>
    <w:charset w:val="00"/>
    <w:family w:val="auto"/>
    <w:notTrueType/>
    <w:pitch w:val="default"/>
    <w:sig w:usb0="00000003" w:usb1="00000000" w:usb2="00000000" w:usb3="00000000" w:csb0="00000001" w:csb1="00000000"/>
  </w:font>
  <w:font w:name="ITCSymbolStd-Medium">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6F6F" w14:textId="1786DE0C" w:rsidR="006A21F2" w:rsidRDefault="006A2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790D" w14:textId="23D0E0D4" w:rsidR="00A12245" w:rsidRDefault="00AC6C8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38B8">
      <w:rPr>
        <w:noProof/>
        <w:color w:val="000000"/>
      </w:rPr>
      <w:t>1</w:t>
    </w:r>
    <w:r>
      <w:rPr>
        <w:color w:val="000000"/>
      </w:rPr>
      <w:fldChar w:fldCharType="end"/>
    </w:r>
  </w:p>
  <w:p w14:paraId="3CFFC9CE" w14:textId="77777777" w:rsidR="00A12245" w:rsidRDefault="00A1224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89E5" w14:textId="2C9C1B70" w:rsidR="006A21F2" w:rsidRDefault="006A2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67662" w14:textId="77777777" w:rsidR="00DA6A5E" w:rsidRDefault="00DA6A5E">
      <w:pPr>
        <w:spacing w:after="0" w:line="240" w:lineRule="auto"/>
      </w:pPr>
      <w:r>
        <w:separator/>
      </w:r>
    </w:p>
  </w:footnote>
  <w:footnote w:type="continuationSeparator" w:id="0">
    <w:p w14:paraId="5F4DE64A" w14:textId="77777777" w:rsidR="00DA6A5E" w:rsidRDefault="00DA6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E172" w14:textId="77777777" w:rsidR="006A21F2" w:rsidRDefault="006A2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7F45" w14:textId="77777777" w:rsidR="006A21F2" w:rsidRDefault="006A21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82AE" w14:textId="77777777" w:rsidR="006A21F2" w:rsidRDefault="006A2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F4334"/>
    <w:multiLevelType w:val="multilevel"/>
    <w:tmpl w:val="D1D461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01343057">
    <w:abstractNumId w:val="1"/>
  </w:num>
  <w:num w:numId="2" w16cid:durableId="79070557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45"/>
    <w:rsid w:val="000004A0"/>
    <w:rsid w:val="000007E2"/>
    <w:rsid w:val="00001EF9"/>
    <w:rsid w:val="0000237E"/>
    <w:rsid w:val="0000261C"/>
    <w:rsid w:val="00003478"/>
    <w:rsid w:val="0000378C"/>
    <w:rsid w:val="000039CE"/>
    <w:rsid w:val="000043B8"/>
    <w:rsid w:val="0000445E"/>
    <w:rsid w:val="000049D7"/>
    <w:rsid w:val="00004F24"/>
    <w:rsid w:val="00005000"/>
    <w:rsid w:val="00005405"/>
    <w:rsid w:val="00006D11"/>
    <w:rsid w:val="00006EC2"/>
    <w:rsid w:val="00006FE8"/>
    <w:rsid w:val="000074F4"/>
    <w:rsid w:val="000078AF"/>
    <w:rsid w:val="00007C6C"/>
    <w:rsid w:val="000100AE"/>
    <w:rsid w:val="00010184"/>
    <w:rsid w:val="00010B50"/>
    <w:rsid w:val="00010CF6"/>
    <w:rsid w:val="00010D1B"/>
    <w:rsid w:val="000120ED"/>
    <w:rsid w:val="00012D1A"/>
    <w:rsid w:val="000133C3"/>
    <w:rsid w:val="0001450D"/>
    <w:rsid w:val="0001470F"/>
    <w:rsid w:val="00015434"/>
    <w:rsid w:val="00015D32"/>
    <w:rsid w:val="00015DAB"/>
    <w:rsid w:val="00016172"/>
    <w:rsid w:val="0001760F"/>
    <w:rsid w:val="00020270"/>
    <w:rsid w:val="000210FF"/>
    <w:rsid w:val="0002208D"/>
    <w:rsid w:val="000221D4"/>
    <w:rsid w:val="00022324"/>
    <w:rsid w:val="00022470"/>
    <w:rsid w:val="000229EF"/>
    <w:rsid w:val="00023693"/>
    <w:rsid w:val="00023D51"/>
    <w:rsid w:val="00024507"/>
    <w:rsid w:val="000246D0"/>
    <w:rsid w:val="0002524B"/>
    <w:rsid w:val="00025D43"/>
    <w:rsid w:val="00027046"/>
    <w:rsid w:val="0002721C"/>
    <w:rsid w:val="000272B6"/>
    <w:rsid w:val="00030963"/>
    <w:rsid w:val="00030C01"/>
    <w:rsid w:val="00030EF1"/>
    <w:rsid w:val="00030F8C"/>
    <w:rsid w:val="000321C4"/>
    <w:rsid w:val="000339CC"/>
    <w:rsid w:val="00033B14"/>
    <w:rsid w:val="00034057"/>
    <w:rsid w:val="00034464"/>
    <w:rsid w:val="00034C75"/>
    <w:rsid w:val="000350A5"/>
    <w:rsid w:val="00035F69"/>
    <w:rsid w:val="000363F9"/>
    <w:rsid w:val="00036B1A"/>
    <w:rsid w:val="000373A7"/>
    <w:rsid w:val="000373AF"/>
    <w:rsid w:val="00037724"/>
    <w:rsid w:val="000407E5"/>
    <w:rsid w:val="000409FA"/>
    <w:rsid w:val="0004139B"/>
    <w:rsid w:val="00042075"/>
    <w:rsid w:val="00042498"/>
    <w:rsid w:val="0004383D"/>
    <w:rsid w:val="00043A12"/>
    <w:rsid w:val="00044511"/>
    <w:rsid w:val="00044F12"/>
    <w:rsid w:val="00045DC1"/>
    <w:rsid w:val="0004627F"/>
    <w:rsid w:val="0004683E"/>
    <w:rsid w:val="00046D5B"/>
    <w:rsid w:val="0005112F"/>
    <w:rsid w:val="0005158F"/>
    <w:rsid w:val="000517E9"/>
    <w:rsid w:val="00052943"/>
    <w:rsid w:val="00052FB5"/>
    <w:rsid w:val="000570B1"/>
    <w:rsid w:val="00057326"/>
    <w:rsid w:val="000575F2"/>
    <w:rsid w:val="00057649"/>
    <w:rsid w:val="00057985"/>
    <w:rsid w:val="00057B1A"/>
    <w:rsid w:val="00057BAD"/>
    <w:rsid w:val="000611DF"/>
    <w:rsid w:val="00061BC8"/>
    <w:rsid w:val="000621A4"/>
    <w:rsid w:val="000638D5"/>
    <w:rsid w:val="000642BF"/>
    <w:rsid w:val="00064C77"/>
    <w:rsid w:val="00065014"/>
    <w:rsid w:val="00065054"/>
    <w:rsid w:val="0006509D"/>
    <w:rsid w:val="00065B52"/>
    <w:rsid w:val="00066405"/>
    <w:rsid w:val="00066631"/>
    <w:rsid w:val="000670F5"/>
    <w:rsid w:val="000679C3"/>
    <w:rsid w:val="00067ECE"/>
    <w:rsid w:val="000700B4"/>
    <w:rsid w:val="00070901"/>
    <w:rsid w:val="0007226D"/>
    <w:rsid w:val="00072651"/>
    <w:rsid w:val="00072F3F"/>
    <w:rsid w:val="00073611"/>
    <w:rsid w:val="00073A08"/>
    <w:rsid w:val="00074B13"/>
    <w:rsid w:val="0007576B"/>
    <w:rsid w:val="000758E1"/>
    <w:rsid w:val="00075B0A"/>
    <w:rsid w:val="00076B83"/>
    <w:rsid w:val="00076E90"/>
    <w:rsid w:val="0007769D"/>
    <w:rsid w:val="0007783B"/>
    <w:rsid w:val="00077B68"/>
    <w:rsid w:val="00080065"/>
    <w:rsid w:val="00080344"/>
    <w:rsid w:val="00081164"/>
    <w:rsid w:val="000820B6"/>
    <w:rsid w:val="00083428"/>
    <w:rsid w:val="000836F7"/>
    <w:rsid w:val="00083F6B"/>
    <w:rsid w:val="000863C8"/>
    <w:rsid w:val="00087571"/>
    <w:rsid w:val="00087C90"/>
    <w:rsid w:val="00090452"/>
    <w:rsid w:val="000931E7"/>
    <w:rsid w:val="0009445D"/>
    <w:rsid w:val="00096CCF"/>
    <w:rsid w:val="0009729D"/>
    <w:rsid w:val="000972BF"/>
    <w:rsid w:val="000A07B4"/>
    <w:rsid w:val="000A14B4"/>
    <w:rsid w:val="000A3533"/>
    <w:rsid w:val="000A3C66"/>
    <w:rsid w:val="000A3CCB"/>
    <w:rsid w:val="000A44DD"/>
    <w:rsid w:val="000A4518"/>
    <w:rsid w:val="000A46B9"/>
    <w:rsid w:val="000A4B53"/>
    <w:rsid w:val="000A6A0B"/>
    <w:rsid w:val="000A736A"/>
    <w:rsid w:val="000B0784"/>
    <w:rsid w:val="000B203F"/>
    <w:rsid w:val="000B2624"/>
    <w:rsid w:val="000B3E63"/>
    <w:rsid w:val="000B4E18"/>
    <w:rsid w:val="000B507D"/>
    <w:rsid w:val="000B5541"/>
    <w:rsid w:val="000B5BB4"/>
    <w:rsid w:val="000B67DB"/>
    <w:rsid w:val="000B7309"/>
    <w:rsid w:val="000B7387"/>
    <w:rsid w:val="000B7C89"/>
    <w:rsid w:val="000C0599"/>
    <w:rsid w:val="000C05E5"/>
    <w:rsid w:val="000C1E04"/>
    <w:rsid w:val="000C28A3"/>
    <w:rsid w:val="000C3EB6"/>
    <w:rsid w:val="000C4F61"/>
    <w:rsid w:val="000C52A7"/>
    <w:rsid w:val="000C5F54"/>
    <w:rsid w:val="000C622B"/>
    <w:rsid w:val="000C6579"/>
    <w:rsid w:val="000C6D94"/>
    <w:rsid w:val="000D0D02"/>
    <w:rsid w:val="000D0F92"/>
    <w:rsid w:val="000D155B"/>
    <w:rsid w:val="000D2B13"/>
    <w:rsid w:val="000D2B3F"/>
    <w:rsid w:val="000D325C"/>
    <w:rsid w:val="000D3D15"/>
    <w:rsid w:val="000D3E57"/>
    <w:rsid w:val="000D4DC8"/>
    <w:rsid w:val="000D4E42"/>
    <w:rsid w:val="000D5AD5"/>
    <w:rsid w:val="000D6F5B"/>
    <w:rsid w:val="000D7122"/>
    <w:rsid w:val="000D7C69"/>
    <w:rsid w:val="000E0101"/>
    <w:rsid w:val="000E07BF"/>
    <w:rsid w:val="000E0B1C"/>
    <w:rsid w:val="000E0F68"/>
    <w:rsid w:val="000E134E"/>
    <w:rsid w:val="000E137B"/>
    <w:rsid w:val="000E14F5"/>
    <w:rsid w:val="000E1D2A"/>
    <w:rsid w:val="000E32C8"/>
    <w:rsid w:val="000E36FA"/>
    <w:rsid w:val="000E53F5"/>
    <w:rsid w:val="000E5E9B"/>
    <w:rsid w:val="000E6CF6"/>
    <w:rsid w:val="000E6F77"/>
    <w:rsid w:val="000E6F95"/>
    <w:rsid w:val="000E78C7"/>
    <w:rsid w:val="000F0BE7"/>
    <w:rsid w:val="000F0C55"/>
    <w:rsid w:val="000F11CC"/>
    <w:rsid w:val="000F18A7"/>
    <w:rsid w:val="000F1E35"/>
    <w:rsid w:val="000F3E33"/>
    <w:rsid w:val="000F3ECE"/>
    <w:rsid w:val="000F466C"/>
    <w:rsid w:val="000F494E"/>
    <w:rsid w:val="000F4C2E"/>
    <w:rsid w:val="000F4D34"/>
    <w:rsid w:val="000F5224"/>
    <w:rsid w:val="000F5277"/>
    <w:rsid w:val="000F5B95"/>
    <w:rsid w:val="000F5BE9"/>
    <w:rsid w:val="000F5FBE"/>
    <w:rsid w:val="000F6331"/>
    <w:rsid w:val="000F63A6"/>
    <w:rsid w:val="000F67DE"/>
    <w:rsid w:val="000F67F5"/>
    <w:rsid w:val="000F77E1"/>
    <w:rsid w:val="000F7B15"/>
    <w:rsid w:val="001008B0"/>
    <w:rsid w:val="001010E6"/>
    <w:rsid w:val="00101AAD"/>
    <w:rsid w:val="00102247"/>
    <w:rsid w:val="00102968"/>
    <w:rsid w:val="00102F44"/>
    <w:rsid w:val="001033BB"/>
    <w:rsid w:val="001035AE"/>
    <w:rsid w:val="00103770"/>
    <w:rsid w:val="0010438C"/>
    <w:rsid w:val="00104EA3"/>
    <w:rsid w:val="00105E47"/>
    <w:rsid w:val="00106706"/>
    <w:rsid w:val="001104EB"/>
    <w:rsid w:val="0011159B"/>
    <w:rsid w:val="0011182C"/>
    <w:rsid w:val="00111890"/>
    <w:rsid w:val="00111B2C"/>
    <w:rsid w:val="00112C17"/>
    <w:rsid w:val="00112EFD"/>
    <w:rsid w:val="001131AC"/>
    <w:rsid w:val="0011320E"/>
    <w:rsid w:val="00113249"/>
    <w:rsid w:val="0011467C"/>
    <w:rsid w:val="001149A8"/>
    <w:rsid w:val="00114E69"/>
    <w:rsid w:val="001154DC"/>
    <w:rsid w:val="00115E53"/>
    <w:rsid w:val="00116230"/>
    <w:rsid w:val="00116588"/>
    <w:rsid w:val="00116665"/>
    <w:rsid w:val="00116B12"/>
    <w:rsid w:val="0011763B"/>
    <w:rsid w:val="00117887"/>
    <w:rsid w:val="00117B04"/>
    <w:rsid w:val="00117C40"/>
    <w:rsid w:val="00120995"/>
    <w:rsid w:val="00122FA4"/>
    <w:rsid w:val="0012442C"/>
    <w:rsid w:val="0012490D"/>
    <w:rsid w:val="00124E0E"/>
    <w:rsid w:val="0012528B"/>
    <w:rsid w:val="001255F3"/>
    <w:rsid w:val="00125DDC"/>
    <w:rsid w:val="00125EF0"/>
    <w:rsid w:val="00126472"/>
    <w:rsid w:val="00126915"/>
    <w:rsid w:val="00126D67"/>
    <w:rsid w:val="00127047"/>
    <w:rsid w:val="001275BE"/>
    <w:rsid w:val="001277F7"/>
    <w:rsid w:val="00127F7D"/>
    <w:rsid w:val="00130172"/>
    <w:rsid w:val="001318BF"/>
    <w:rsid w:val="00132820"/>
    <w:rsid w:val="00132E48"/>
    <w:rsid w:val="00132E64"/>
    <w:rsid w:val="00133E90"/>
    <w:rsid w:val="00133F24"/>
    <w:rsid w:val="00134390"/>
    <w:rsid w:val="00134EAD"/>
    <w:rsid w:val="00136BA5"/>
    <w:rsid w:val="00136ECF"/>
    <w:rsid w:val="001407AE"/>
    <w:rsid w:val="00140CC1"/>
    <w:rsid w:val="00140F67"/>
    <w:rsid w:val="0014153D"/>
    <w:rsid w:val="00142BB7"/>
    <w:rsid w:val="001449B4"/>
    <w:rsid w:val="00144DF5"/>
    <w:rsid w:val="001453E6"/>
    <w:rsid w:val="00146051"/>
    <w:rsid w:val="00147426"/>
    <w:rsid w:val="00147C67"/>
    <w:rsid w:val="0015009F"/>
    <w:rsid w:val="00150157"/>
    <w:rsid w:val="00150830"/>
    <w:rsid w:val="00150CC4"/>
    <w:rsid w:val="00152384"/>
    <w:rsid w:val="00152530"/>
    <w:rsid w:val="00152639"/>
    <w:rsid w:val="001534C0"/>
    <w:rsid w:val="001534F2"/>
    <w:rsid w:val="00153553"/>
    <w:rsid w:val="001538A3"/>
    <w:rsid w:val="0015455A"/>
    <w:rsid w:val="001549EF"/>
    <w:rsid w:val="00157510"/>
    <w:rsid w:val="00160278"/>
    <w:rsid w:val="00160721"/>
    <w:rsid w:val="00161BB7"/>
    <w:rsid w:val="00162C32"/>
    <w:rsid w:val="0016389B"/>
    <w:rsid w:val="00163D8D"/>
    <w:rsid w:val="001647F1"/>
    <w:rsid w:val="0016558B"/>
    <w:rsid w:val="00166BA9"/>
    <w:rsid w:val="00167046"/>
    <w:rsid w:val="00167461"/>
    <w:rsid w:val="00167AD1"/>
    <w:rsid w:val="00167C1A"/>
    <w:rsid w:val="00167EC3"/>
    <w:rsid w:val="001711F0"/>
    <w:rsid w:val="0017213F"/>
    <w:rsid w:val="001728C4"/>
    <w:rsid w:val="00172AD0"/>
    <w:rsid w:val="00172FD1"/>
    <w:rsid w:val="00173122"/>
    <w:rsid w:val="00173C89"/>
    <w:rsid w:val="00173E89"/>
    <w:rsid w:val="00173F3F"/>
    <w:rsid w:val="001740D9"/>
    <w:rsid w:val="0017457D"/>
    <w:rsid w:val="00175628"/>
    <w:rsid w:val="001759BB"/>
    <w:rsid w:val="00175B2F"/>
    <w:rsid w:val="0017633B"/>
    <w:rsid w:val="00177119"/>
    <w:rsid w:val="00177F3C"/>
    <w:rsid w:val="00177FFE"/>
    <w:rsid w:val="001814E4"/>
    <w:rsid w:val="00182775"/>
    <w:rsid w:val="001829E9"/>
    <w:rsid w:val="00182D01"/>
    <w:rsid w:val="001836CE"/>
    <w:rsid w:val="0018599B"/>
    <w:rsid w:val="00185B2F"/>
    <w:rsid w:val="0018694F"/>
    <w:rsid w:val="00186CC5"/>
    <w:rsid w:val="00186E66"/>
    <w:rsid w:val="00187010"/>
    <w:rsid w:val="001874C2"/>
    <w:rsid w:val="001875E1"/>
    <w:rsid w:val="00187ADC"/>
    <w:rsid w:val="00187EE1"/>
    <w:rsid w:val="00190313"/>
    <w:rsid w:val="001904D8"/>
    <w:rsid w:val="00190A30"/>
    <w:rsid w:val="00191119"/>
    <w:rsid w:val="00191377"/>
    <w:rsid w:val="001916BC"/>
    <w:rsid w:val="001916E0"/>
    <w:rsid w:val="00191EF4"/>
    <w:rsid w:val="00192A1C"/>
    <w:rsid w:val="00192F25"/>
    <w:rsid w:val="00193404"/>
    <w:rsid w:val="00193797"/>
    <w:rsid w:val="00193E50"/>
    <w:rsid w:val="0019412B"/>
    <w:rsid w:val="001945DB"/>
    <w:rsid w:val="00194D8F"/>
    <w:rsid w:val="0019511B"/>
    <w:rsid w:val="00195584"/>
    <w:rsid w:val="001956DC"/>
    <w:rsid w:val="00195CA5"/>
    <w:rsid w:val="001966F2"/>
    <w:rsid w:val="00196815"/>
    <w:rsid w:val="00196AF0"/>
    <w:rsid w:val="00196D4A"/>
    <w:rsid w:val="0019701D"/>
    <w:rsid w:val="00197129"/>
    <w:rsid w:val="00197CEE"/>
    <w:rsid w:val="00197DC8"/>
    <w:rsid w:val="001A0D62"/>
    <w:rsid w:val="001A1116"/>
    <w:rsid w:val="001A16E6"/>
    <w:rsid w:val="001A1710"/>
    <w:rsid w:val="001A213F"/>
    <w:rsid w:val="001A2151"/>
    <w:rsid w:val="001A261E"/>
    <w:rsid w:val="001A3716"/>
    <w:rsid w:val="001A44DD"/>
    <w:rsid w:val="001A4A7E"/>
    <w:rsid w:val="001A5548"/>
    <w:rsid w:val="001A5980"/>
    <w:rsid w:val="001A5F6B"/>
    <w:rsid w:val="001A6304"/>
    <w:rsid w:val="001A6A62"/>
    <w:rsid w:val="001A6C2A"/>
    <w:rsid w:val="001A72D2"/>
    <w:rsid w:val="001A797D"/>
    <w:rsid w:val="001B044A"/>
    <w:rsid w:val="001B086D"/>
    <w:rsid w:val="001B0F6B"/>
    <w:rsid w:val="001B1420"/>
    <w:rsid w:val="001B15B0"/>
    <w:rsid w:val="001B206E"/>
    <w:rsid w:val="001B3004"/>
    <w:rsid w:val="001B352E"/>
    <w:rsid w:val="001B3A16"/>
    <w:rsid w:val="001B4BF1"/>
    <w:rsid w:val="001B50E9"/>
    <w:rsid w:val="001B5C59"/>
    <w:rsid w:val="001B620E"/>
    <w:rsid w:val="001B72A7"/>
    <w:rsid w:val="001B7CDA"/>
    <w:rsid w:val="001C0280"/>
    <w:rsid w:val="001C031E"/>
    <w:rsid w:val="001C081F"/>
    <w:rsid w:val="001C1719"/>
    <w:rsid w:val="001C1B97"/>
    <w:rsid w:val="001C1BB0"/>
    <w:rsid w:val="001C38F2"/>
    <w:rsid w:val="001C429B"/>
    <w:rsid w:val="001C488B"/>
    <w:rsid w:val="001C49D6"/>
    <w:rsid w:val="001C5304"/>
    <w:rsid w:val="001C58C8"/>
    <w:rsid w:val="001C61CF"/>
    <w:rsid w:val="001C67CD"/>
    <w:rsid w:val="001C6F92"/>
    <w:rsid w:val="001C786E"/>
    <w:rsid w:val="001D2BA6"/>
    <w:rsid w:val="001D2BDD"/>
    <w:rsid w:val="001D2EE4"/>
    <w:rsid w:val="001D325B"/>
    <w:rsid w:val="001D4111"/>
    <w:rsid w:val="001D49E0"/>
    <w:rsid w:val="001D4D35"/>
    <w:rsid w:val="001D71DC"/>
    <w:rsid w:val="001D7A9C"/>
    <w:rsid w:val="001D7BC0"/>
    <w:rsid w:val="001E00BA"/>
    <w:rsid w:val="001E08BF"/>
    <w:rsid w:val="001E2E4B"/>
    <w:rsid w:val="001E3F16"/>
    <w:rsid w:val="001E407F"/>
    <w:rsid w:val="001E4A59"/>
    <w:rsid w:val="001E4C7D"/>
    <w:rsid w:val="001E4DA0"/>
    <w:rsid w:val="001E5534"/>
    <w:rsid w:val="001E5CA0"/>
    <w:rsid w:val="001E6128"/>
    <w:rsid w:val="001E6192"/>
    <w:rsid w:val="001E6C7F"/>
    <w:rsid w:val="001E7CD3"/>
    <w:rsid w:val="001E7D21"/>
    <w:rsid w:val="001F0113"/>
    <w:rsid w:val="001F0284"/>
    <w:rsid w:val="001F0289"/>
    <w:rsid w:val="001F032C"/>
    <w:rsid w:val="001F03A1"/>
    <w:rsid w:val="001F03E8"/>
    <w:rsid w:val="001F0F8C"/>
    <w:rsid w:val="001F24FF"/>
    <w:rsid w:val="001F374F"/>
    <w:rsid w:val="001F39C7"/>
    <w:rsid w:val="001F3B10"/>
    <w:rsid w:val="001F3C5D"/>
    <w:rsid w:val="001F51EC"/>
    <w:rsid w:val="001F79A6"/>
    <w:rsid w:val="00200747"/>
    <w:rsid w:val="002008DC"/>
    <w:rsid w:val="00201849"/>
    <w:rsid w:val="0020318C"/>
    <w:rsid w:val="0020348B"/>
    <w:rsid w:val="00203F46"/>
    <w:rsid w:val="00204635"/>
    <w:rsid w:val="00204C6C"/>
    <w:rsid w:val="00204C9D"/>
    <w:rsid w:val="00204D92"/>
    <w:rsid w:val="002050E4"/>
    <w:rsid w:val="002053C0"/>
    <w:rsid w:val="00205B32"/>
    <w:rsid w:val="00206717"/>
    <w:rsid w:val="00206A91"/>
    <w:rsid w:val="00207BF0"/>
    <w:rsid w:val="00210409"/>
    <w:rsid w:val="002107D6"/>
    <w:rsid w:val="00210D2C"/>
    <w:rsid w:val="00211D0F"/>
    <w:rsid w:val="002129EA"/>
    <w:rsid w:val="002136D3"/>
    <w:rsid w:val="002146D9"/>
    <w:rsid w:val="00215C22"/>
    <w:rsid w:val="00216527"/>
    <w:rsid w:val="00216911"/>
    <w:rsid w:val="00217A8B"/>
    <w:rsid w:val="00220C5A"/>
    <w:rsid w:val="00222799"/>
    <w:rsid w:val="00222D08"/>
    <w:rsid w:val="00223A79"/>
    <w:rsid w:val="00225090"/>
    <w:rsid w:val="002251B2"/>
    <w:rsid w:val="00225476"/>
    <w:rsid w:val="00225618"/>
    <w:rsid w:val="00225BA9"/>
    <w:rsid w:val="00225DF9"/>
    <w:rsid w:val="002264FD"/>
    <w:rsid w:val="00226E44"/>
    <w:rsid w:val="00227A1F"/>
    <w:rsid w:val="00227B82"/>
    <w:rsid w:val="00230370"/>
    <w:rsid w:val="00230B37"/>
    <w:rsid w:val="00230FF9"/>
    <w:rsid w:val="002326E6"/>
    <w:rsid w:val="002340FF"/>
    <w:rsid w:val="002345B8"/>
    <w:rsid w:val="002352A4"/>
    <w:rsid w:val="002352DB"/>
    <w:rsid w:val="002359FB"/>
    <w:rsid w:val="00235C5A"/>
    <w:rsid w:val="00237389"/>
    <w:rsid w:val="002373CA"/>
    <w:rsid w:val="002379C9"/>
    <w:rsid w:val="00237AB1"/>
    <w:rsid w:val="00240530"/>
    <w:rsid w:val="00240DA1"/>
    <w:rsid w:val="00241063"/>
    <w:rsid w:val="00241244"/>
    <w:rsid w:val="00241D1E"/>
    <w:rsid w:val="0024241F"/>
    <w:rsid w:val="002427BB"/>
    <w:rsid w:val="00242BDE"/>
    <w:rsid w:val="00242CF6"/>
    <w:rsid w:val="00242D3C"/>
    <w:rsid w:val="002430BF"/>
    <w:rsid w:val="00243951"/>
    <w:rsid w:val="00243AA1"/>
    <w:rsid w:val="00243E9F"/>
    <w:rsid w:val="00244F92"/>
    <w:rsid w:val="00244FA3"/>
    <w:rsid w:val="00245489"/>
    <w:rsid w:val="00245670"/>
    <w:rsid w:val="00247C3D"/>
    <w:rsid w:val="002500F9"/>
    <w:rsid w:val="0025067F"/>
    <w:rsid w:val="00250A01"/>
    <w:rsid w:val="0025178F"/>
    <w:rsid w:val="002518D5"/>
    <w:rsid w:val="002520BA"/>
    <w:rsid w:val="00252DF6"/>
    <w:rsid w:val="0025388E"/>
    <w:rsid w:val="00253D20"/>
    <w:rsid w:val="0025401F"/>
    <w:rsid w:val="002541F0"/>
    <w:rsid w:val="00254D2C"/>
    <w:rsid w:val="00257C9A"/>
    <w:rsid w:val="00257FDB"/>
    <w:rsid w:val="002600FB"/>
    <w:rsid w:val="002601AD"/>
    <w:rsid w:val="0026101A"/>
    <w:rsid w:val="00261A1C"/>
    <w:rsid w:val="00261B4B"/>
    <w:rsid w:val="00262E16"/>
    <w:rsid w:val="002637E7"/>
    <w:rsid w:val="00265110"/>
    <w:rsid w:val="00265203"/>
    <w:rsid w:val="0026672B"/>
    <w:rsid w:val="00266757"/>
    <w:rsid w:val="00267679"/>
    <w:rsid w:val="00270D64"/>
    <w:rsid w:val="0027134F"/>
    <w:rsid w:val="00271632"/>
    <w:rsid w:val="0027242B"/>
    <w:rsid w:val="002734A2"/>
    <w:rsid w:val="00273E2D"/>
    <w:rsid w:val="002749B1"/>
    <w:rsid w:val="0027576B"/>
    <w:rsid w:val="002757DE"/>
    <w:rsid w:val="002762E7"/>
    <w:rsid w:val="00277A60"/>
    <w:rsid w:val="00280078"/>
    <w:rsid w:val="002810A1"/>
    <w:rsid w:val="00281DA0"/>
    <w:rsid w:val="0028429D"/>
    <w:rsid w:val="002842F8"/>
    <w:rsid w:val="00284BCB"/>
    <w:rsid w:val="00285207"/>
    <w:rsid w:val="00285790"/>
    <w:rsid w:val="0028644C"/>
    <w:rsid w:val="00286CCD"/>
    <w:rsid w:val="00286F73"/>
    <w:rsid w:val="002870C1"/>
    <w:rsid w:val="002870E7"/>
    <w:rsid w:val="002877FD"/>
    <w:rsid w:val="0029140C"/>
    <w:rsid w:val="00291A3A"/>
    <w:rsid w:val="002936B2"/>
    <w:rsid w:val="002938B8"/>
    <w:rsid w:val="00293EC1"/>
    <w:rsid w:val="00293ED8"/>
    <w:rsid w:val="00294183"/>
    <w:rsid w:val="00294BE6"/>
    <w:rsid w:val="00295D5E"/>
    <w:rsid w:val="00296087"/>
    <w:rsid w:val="00297CF1"/>
    <w:rsid w:val="002A0329"/>
    <w:rsid w:val="002A1004"/>
    <w:rsid w:val="002A1316"/>
    <w:rsid w:val="002A14EC"/>
    <w:rsid w:val="002A1A07"/>
    <w:rsid w:val="002A2C66"/>
    <w:rsid w:val="002A2E09"/>
    <w:rsid w:val="002A33ED"/>
    <w:rsid w:val="002A3B48"/>
    <w:rsid w:val="002A4190"/>
    <w:rsid w:val="002A439B"/>
    <w:rsid w:val="002A53C5"/>
    <w:rsid w:val="002A53FF"/>
    <w:rsid w:val="002A5A89"/>
    <w:rsid w:val="002A6665"/>
    <w:rsid w:val="002A670A"/>
    <w:rsid w:val="002A6CBB"/>
    <w:rsid w:val="002B0208"/>
    <w:rsid w:val="002B162B"/>
    <w:rsid w:val="002B285F"/>
    <w:rsid w:val="002B3665"/>
    <w:rsid w:val="002B3DBC"/>
    <w:rsid w:val="002B52C4"/>
    <w:rsid w:val="002B56B8"/>
    <w:rsid w:val="002B5AD1"/>
    <w:rsid w:val="002B5FD3"/>
    <w:rsid w:val="002B62FC"/>
    <w:rsid w:val="002B7D63"/>
    <w:rsid w:val="002C0266"/>
    <w:rsid w:val="002C0AA9"/>
    <w:rsid w:val="002C0F46"/>
    <w:rsid w:val="002C1808"/>
    <w:rsid w:val="002C1D99"/>
    <w:rsid w:val="002C3372"/>
    <w:rsid w:val="002C36CE"/>
    <w:rsid w:val="002C3C01"/>
    <w:rsid w:val="002C3FE6"/>
    <w:rsid w:val="002C48D5"/>
    <w:rsid w:val="002C6BF4"/>
    <w:rsid w:val="002C6DB0"/>
    <w:rsid w:val="002C7FC4"/>
    <w:rsid w:val="002D026A"/>
    <w:rsid w:val="002D0670"/>
    <w:rsid w:val="002D0880"/>
    <w:rsid w:val="002D09EA"/>
    <w:rsid w:val="002D0FB6"/>
    <w:rsid w:val="002D1975"/>
    <w:rsid w:val="002D292B"/>
    <w:rsid w:val="002D3426"/>
    <w:rsid w:val="002D4C2D"/>
    <w:rsid w:val="002D531B"/>
    <w:rsid w:val="002D76F8"/>
    <w:rsid w:val="002D7DE0"/>
    <w:rsid w:val="002E0BCD"/>
    <w:rsid w:val="002E0C83"/>
    <w:rsid w:val="002E136C"/>
    <w:rsid w:val="002E17FB"/>
    <w:rsid w:val="002E3732"/>
    <w:rsid w:val="002E3EC9"/>
    <w:rsid w:val="002E43E4"/>
    <w:rsid w:val="002E51B6"/>
    <w:rsid w:val="002E5CCC"/>
    <w:rsid w:val="002E66B4"/>
    <w:rsid w:val="002E676F"/>
    <w:rsid w:val="002E6BDA"/>
    <w:rsid w:val="002E7296"/>
    <w:rsid w:val="002E7C10"/>
    <w:rsid w:val="002F15E2"/>
    <w:rsid w:val="002F167E"/>
    <w:rsid w:val="002F196C"/>
    <w:rsid w:val="002F1A0D"/>
    <w:rsid w:val="002F1A70"/>
    <w:rsid w:val="002F2188"/>
    <w:rsid w:val="002F32FF"/>
    <w:rsid w:val="002F3859"/>
    <w:rsid w:val="002F4356"/>
    <w:rsid w:val="002F4979"/>
    <w:rsid w:val="002F5B66"/>
    <w:rsid w:val="002F65F0"/>
    <w:rsid w:val="002F6A59"/>
    <w:rsid w:val="002F7BEA"/>
    <w:rsid w:val="003000CA"/>
    <w:rsid w:val="00300234"/>
    <w:rsid w:val="00300480"/>
    <w:rsid w:val="003012D8"/>
    <w:rsid w:val="003019EB"/>
    <w:rsid w:val="00301B1F"/>
    <w:rsid w:val="00301BFF"/>
    <w:rsid w:val="00301C50"/>
    <w:rsid w:val="00301E53"/>
    <w:rsid w:val="00302FC1"/>
    <w:rsid w:val="00303D35"/>
    <w:rsid w:val="00303F59"/>
    <w:rsid w:val="0030401A"/>
    <w:rsid w:val="0030437B"/>
    <w:rsid w:val="00304684"/>
    <w:rsid w:val="003051CB"/>
    <w:rsid w:val="003052F4"/>
    <w:rsid w:val="00305ACF"/>
    <w:rsid w:val="00305FB2"/>
    <w:rsid w:val="003061B8"/>
    <w:rsid w:val="00306830"/>
    <w:rsid w:val="00306B19"/>
    <w:rsid w:val="00306B96"/>
    <w:rsid w:val="00306F11"/>
    <w:rsid w:val="003077E1"/>
    <w:rsid w:val="003100D3"/>
    <w:rsid w:val="0031041D"/>
    <w:rsid w:val="00310881"/>
    <w:rsid w:val="003108D9"/>
    <w:rsid w:val="00310DC3"/>
    <w:rsid w:val="00310F1E"/>
    <w:rsid w:val="0031255A"/>
    <w:rsid w:val="00312A01"/>
    <w:rsid w:val="00315369"/>
    <w:rsid w:val="00315B2D"/>
    <w:rsid w:val="00317166"/>
    <w:rsid w:val="00320975"/>
    <w:rsid w:val="00320CBF"/>
    <w:rsid w:val="00321166"/>
    <w:rsid w:val="003212F2"/>
    <w:rsid w:val="00322989"/>
    <w:rsid w:val="00322DF3"/>
    <w:rsid w:val="003237DD"/>
    <w:rsid w:val="00323B44"/>
    <w:rsid w:val="00324203"/>
    <w:rsid w:val="00324FBD"/>
    <w:rsid w:val="00325AB2"/>
    <w:rsid w:val="003267D5"/>
    <w:rsid w:val="00326CA1"/>
    <w:rsid w:val="0032708C"/>
    <w:rsid w:val="003271BC"/>
    <w:rsid w:val="0032799F"/>
    <w:rsid w:val="003311A3"/>
    <w:rsid w:val="003318BB"/>
    <w:rsid w:val="00333916"/>
    <w:rsid w:val="00333E13"/>
    <w:rsid w:val="003351CA"/>
    <w:rsid w:val="0033773B"/>
    <w:rsid w:val="00337925"/>
    <w:rsid w:val="00340A45"/>
    <w:rsid w:val="003410B3"/>
    <w:rsid w:val="003423EA"/>
    <w:rsid w:val="0034263C"/>
    <w:rsid w:val="00342692"/>
    <w:rsid w:val="00343412"/>
    <w:rsid w:val="00344880"/>
    <w:rsid w:val="003449AB"/>
    <w:rsid w:val="003452E6"/>
    <w:rsid w:val="00345808"/>
    <w:rsid w:val="00345D34"/>
    <w:rsid w:val="003463F3"/>
    <w:rsid w:val="00346682"/>
    <w:rsid w:val="003468E7"/>
    <w:rsid w:val="00346AA5"/>
    <w:rsid w:val="003476FB"/>
    <w:rsid w:val="00347A62"/>
    <w:rsid w:val="0035064F"/>
    <w:rsid w:val="00350B61"/>
    <w:rsid w:val="00351EBF"/>
    <w:rsid w:val="00352511"/>
    <w:rsid w:val="0035287F"/>
    <w:rsid w:val="00352B59"/>
    <w:rsid w:val="00355132"/>
    <w:rsid w:val="0035584E"/>
    <w:rsid w:val="00355C47"/>
    <w:rsid w:val="00356284"/>
    <w:rsid w:val="003576EF"/>
    <w:rsid w:val="00360AFE"/>
    <w:rsid w:val="00360D62"/>
    <w:rsid w:val="00361047"/>
    <w:rsid w:val="003617E6"/>
    <w:rsid w:val="00361C56"/>
    <w:rsid w:val="003620BC"/>
    <w:rsid w:val="00362277"/>
    <w:rsid w:val="00363522"/>
    <w:rsid w:val="0036587E"/>
    <w:rsid w:val="00366583"/>
    <w:rsid w:val="0036663D"/>
    <w:rsid w:val="00366D59"/>
    <w:rsid w:val="003671FB"/>
    <w:rsid w:val="003676BA"/>
    <w:rsid w:val="00367CCD"/>
    <w:rsid w:val="00367D53"/>
    <w:rsid w:val="00370220"/>
    <w:rsid w:val="00370A00"/>
    <w:rsid w:val="0037151C"/>
    <w:rsid w:val="003717C2"/>
    <w:rsid w:val="003729BF"/>
    <w:rsid w:val="00373088"/>
    <w:rsid w:val="003753D5"/>
    <w:rsid w:val="00375682"/>
    <w:rsid w:val="00375E99"/>
    <w:rsid w:val="003764AF"/>
    <w:rsid w:val="003771DA"/>
    <w:rsid w:val="00377DC2"/>
    <w:rsid w:val="00380227"/>
    <w:rsid w:val="00380805"/>
    <w:rsid w:val="003816CF"/>
    <w:rsid w:val="00381D74"/>
    <w:rsid w:val="00382EC3"/>
    <w:rsid w:val="00384E68"/>
    <w:rsid w:val="00384FFB"/>
    <w:rsid w:val="003852E6"/>
    <w:rsid w:val="00385428"/>
    <w:rsid w:val="003858C7"/>
    <w:rsid w:val="00385972"/>
    <w:rsid w:val="003859A5"/>
    <w:rsid w:val="00385AD6"/>
    <w:rsid w:val="00386AC2"/>
    <w:rsid w:val="00386E6D"/>
    <w:rsid w:val="00387D11"/>
    <w:rsid w:val="00387E1C"/>
    <w:rsid w:val="00390F81"/>
    <w:rsid w:val="00391B1D"/>
    <w:rsid w:val="0039238F"/>
    <w:rsid w:val="003924ED"/>
    <w:rsid w:val="00393D64"/>
    <w:rsid w:val="00394935"/>
    <w:rsid w:val="00394B5C"/>
    <w:rsid w:val="003957CE"/>
    <w:rsid w:val="00396345"/>
    <w:rsid w:val="003964D4"/>
    <w:rsid w:val="003977B4"/>
    <w:rsid w:val="00397847"/>
    <w:rsid w:val="003A0897"/>
    <w:rsid w:val="003A248F"/>
    <w:rsid w:val="003A259F"/>
    <w:rsid w:val="003A29B9"/>
    <w:rsid w:val="003A30D2"/>
    <w:rsid w:val="003A34E0"/>
    <w:rsid w:val="003A36FB"/>
    <w:rsid w:val="003A3823"/>
    <w:rsid w:val="003A51DD"/>
    <w:rsid w:val="003A5C8F"/>
    <w:rsid w:val="003A6675"/>
    <w:rsid w:val="003A6AB7"/>
    <w:rsid w:val="003A76F0"/>
    <w:rsid w:val="003B00D3"/>
    <w:rsid w:val="003B04A0"/>
    <w:rsid w:val="003B0C83"/>
    <w:rsid w:val="003B1069"/>
    <w:rsid w:val="003B116C"/>
    <w:rsid w:val="003B1335"/>
    <w:rsid w:val="003B14BC"/>
    <w:rsid w:val="003B18A2"/>
    <w:rsid w:val="003B1A70"/>
    <w:rsid w:val="003B1C60"/>
    <w:rsid w:val="003B1FDC"/>
    <w:rsid w:val="003B20A9"/>
    <w:rsid w:val="003B401A"/>
    <w:rsid w:val="003B4F23"/>
    <w:rsid w:val="003B527C"/>
    <w:rsid w:val="003B64E6"/>
    <w:rsid w:val="003B6B2E"/>
    <w:rsid w:val="003B761F"/>
    <w:rsid w:val="003B7A5C"/>
    <w:rsid w:val="003B7D03"/>
    <w:rsid w:val="003C0C37"/>
    <w:rsid w:val="003C3865"/>
    <w:rsid w:val="003C472F"/>
    <w:rsid w:val="003C5123"/>
    <w:rsid w:val="003C5D15"/>
    <w:rsid w:val="003C61BA"/>
    <w:rsid w:val="003C6F01"/>
    <w:rsid w:val="003C6FC3"/>
    <w:rsid w:val="003D1080"/>
    <w:rsid w:val="003D2826"/>
    <w:rsid w:val="003D4CC5"/>
    <w:rsid w:val="003D4E9D"/>
    <w:rsid w:val="003D5D3B"/>
    <w:rsid w:val="003D62BA"/>
    <w:rsid w:val="003D643B"/>
    <w:rsid w:val="003D7BCD"/>
    <w:rsid w:val="003D7E74"/>
    <w:rsid w:val="003E0331"/>
    <w:rsid w:val="003E058D"/>
    <w:rsid w:val="003E1071"/>
    <w:rsid w:val="003E164F"/>
    <w:rsid w:val="003E1667"/>
    <w:rsid w:val="003E19BE"/>
    <w:rsid w:val="003E1A48"/>
    <w:rsid w:val="003E2794"/>
    <w:rsid w:val="003E42D3"/>
    <w:rsid w:val="003E47E2"/>
    <w:rsid w:val="003E4A4C"/>
    <w:rsid w:val="003E4C28"/>
    <w:rsid w:val="003E4DCF"/>
    <w:rsid w:val="003E585A"/>
    <w:rsid w:val="003E5C81"/>
    <w:rsid w:val="003E61E7"/>
    <w:rsid w:val="003E63FA"/>
    <w:rsid w:val="003E6C3C"/>
    <w:rsid w:val="003E7640"/>
    <w:rsid w:val="003E76D6"/>
    <w:rsid w:val="003F0677"/>
    <w:rsid w:val="003F1019"/>
    <w:rsid w:val="003F1304"/>
    <w:rsid w:val="003F1D7D"/>
    <w:rsid w:val="003F231D"/>
    <w:rsid w:val="003F347C"/>
    <w:rsid w:val="003F373D"/>
    <w:rsid w:val="003F3794"/>
    <w:rsid w:val="003F5285"/>
    <w:rsid w:val="003F605B"/>
    <w:rsid w:val="003F717D"/>
    <w:rsid w:val="003F73AA"/>
    <w:rsid w:val="003F7456"/>
    <w:rsid w:val="004004BC"/>
    <w:rsid w:val="0040147E"/>
    <w:rsid w:val="00402371"/>
    <w:rsid w:val="00403785"/>
    <w:rsid w:val="004049B1"/>
    <w:rsid w:val="00405112"/>
    <w:rsid w:val="00405B80"/>
    <w:rsid w:val="004068A7"/>
    <w:rsid w:val="00407561"/>
    <w:rsid w:val="00410FD0"/>
    <w:rsid w:val="00411931"/>
    <w:rsid w:val="00411B69"/>
    <w:rsid w:val="00412B92"/>
    <w:rsid w:val="00412C25"/>
    <w:rsid w:val="00412CF6"/>
    <w:rsid w:val="00412D8B"/>
    <w:rsid w:val="0041306F"/>
    <w:rsid w:val="00414068"/>
    <w:rsid w:val="004144EA"/>
    <w:rsid w:val="00414967"/>
    <w:rsid w:val="0041505F"/>
    <w:rsid w:val="004157D5"/>
    <w:rsid w:val="0041597F"/>
    <w:rsid w:val="004165A4"/>
    <w:rsid w:val="00417234"/>
    <w:rsid w:val="004177AC"/>
    <w:rsid w:val="00420E14"/>
    <w:rsid w:val="00421525"/>
    <w:rsid w:val="00421C99"/>
    <w:rsid w:val="00421DBE"/>
    <w:rsid w:val="004221E7"/>
    <w:rsid w:val="00423328"/>
    <w:rsid w:val="00424248"/>
    <w:rsid w:val="0042455A"/>
    <w:rsid w:val="00424589"/>
    <w:rsid w:val="00424BDE"/>
    <w:rsid w:val="00424D98"/>
    <w:rsid w:val="004253A8"/>
    <w:rsid w:val="00425858"/>
    <w:rsid w:val="00425C6E"/>
    <w:rsid w:val="00427046"/>
    <w:rsid w:val="0043011A"/>
    <w:rsid w:val="00430185"/>
    <w:rsid w:val="004301D7"/>
    <w:rsid w:val="0043026C"/>
    <w:rsid w:val="0043031C"/>
    <w:rsid w:val="00430334"/>
    <w:rsid w:val="00430377"/>
    <w:rsid w:val="00431619"/>
    <w:rsid w:val="00431F86"/>
    <w:rsid w:val="0043211D"/>
    <w:rsid w:val="00432899"/>
    <w:rsid w:val="00432CA4"/>
    <w:rsid w:val="00432FC7"/>
    <w:rsid w:val="00433A55"/>
    <w:rsid w:val="00435AAD"/>
    <w:rsid w:val="00435F75"/>
    <w:rsid w:val="0043629E"/>
    <w:rsid w:val="00436591"/>
    <w:rsid w:val="00436CBD"/>
    <w:rsid w:val="00442206"/>
    <w:rsid w:val="00442BB9"/>
    <w:rsid w:val="00442BE2"/>
    <w:rsid w:val="00443E4A"/>
    <w:rsid w:val="0044457F"/>
    <w:rsid w:val="0044462F"/>
    <w:rsid w:val="004457E5"/>
    <w:rsid w:val="0044597E"/>
    <w:rsid w:val="00445E15"/>
    <w:rsid w:val="0044687B"/>
    <w:rsid w:val="00446D02"/>
    <w:rsid w:val="00447F25"/>
    <w:rsid w:val="00450A4A"/>
    <w:rsid w:val="00450B8C"/>
    <w:rsid w:val="0045116F"/>
    <w:rsid w:val="004514BF"/>
    <w:rsid w:val="0045153E"/>
    <w:rsid w:val="00452766"/>
    <w:rsid w:val="00452D51"/>
    <w:rsid w:val="0045338E"/>
    <w:rsid w:val="00453C16"/>
    <w:rsid w:val="00454134"/>
    <w:rsid w:val="004548C6"/>
    <w:rsid w:val="0045508D"/>
    <w:rsid w:val="00455D9E"/>
    <w:rsid w:val="004565D3"/>
    <w:rsid w:val="00456607"/>
    <w:rsid w:val="00456E3F"/>
    <w:rsid w:val="00457003"/>
    <w:rsid w:val="004570B6"/>
    <w:rsid w:val="0045718D"/>
    <w:rsid w:val="00457334"/>
    <w:rsid w:val="00460426"/>
    <w:rsid w:val="0046064F"/>
    <w:rsid w:val="00461C99"/>
    <w:rsid w:val="0046284D"/>
    <w:rsid w:val="00462ACD"/>
    <w:rsid w:val="00463698"/>
    <w:rsid w:val="00464551"/>
    <w:rsid w:val="00465025"/>
    <w:rsid w:val="00466AC9"/>
    <w:rsid w:val="0046757A"/>
    <w:rsid w:val="004701FC"/>
    <w:rsid w:val="00470318"/>
    <w:rsid w:val="00470925"/>
    <w:rsid w:val="00470C95"/>
    <w:rsid w:val="00471111"/>
    <w:rsid w:val="00471565"/>
    <w:rsid w:val="004718BE"/>
    <w:rsid w:val="004724E1"/>
    <w:rsid w:val="004735AD"/>
    <w:rsid w:val="00473DB9"/>
    <w:rsid w:val="00473F1D"/>
    <w:rsid w:val="00475457"/>
    <w:rsid w:val="00475A8C"/>
    <w:rsid w:val="0047675D"/>
    <w:rsid w:val="004834BD"/>
    <w:rsid w:val="00483A67"/>
    <w:rsid w:val="00483B63"/>
    <w:rsid w:val="00483C54"/>
    <w:rsid w:val="004853C3"/>
    <w:rsid w:val="00485697"/>
    <w:rsid w:val="004865BC"/>
    <w:rsid w:val="00486B30"/>
    <w:rsid w:val="004871A7"/>
    <w:rsid w:val="004872C2"/>
    <w:rsid w:val="00487F2B"/>
    <w:rsid w:val="00487F6D"/>
    <w:rsid w:val="00490C27"/>
    <w:rsid w:val="00490D4F"/>
    <w:rsid w:val="0049180E"/>
    <w:rsid w:val="004922FF"/>
    <w:rsid w:val="00492344"/>
    <w:rsid w:val="0049250F"/>
    <w:rsid w:val="0049397D"/>
    <w:rsid w:val="00493D7A"/>
    <w:rsid w:val="00494230"/>
    <w:rsid w:val="004958AF"/>
    <w:rsid w:val="00495DB2"/>
    <w:rsid w:val="0049680A"/>
    <w:rsid w:val="00496BDE"/>
    <w:rsid w:val="004976A7"/>
    <w:rsid w:val="00497CF4"/>
    <w:rsid w:val="00497D25"/>
    <w:rsid w:val="004A095A"/>
    <w:rsid w:val="004A0DE4"/>
    <w:rsid w:val="004A0DE9"/>
    <w:rsid w:val="004A11E9"/>
    <w:rsid w:val="004A1419"/>
    <w:rsid w:val="004A18AB"/>
    <w:rsid w:val="004A18E9"/>
    <w:rsid w:val="004A21D4"/>
    <w:rsid w:val="004A3110"/>
    <w:rsid w:val="004A34B2"/>
    <w:rsid w:val="004A38FD"/>
    <w:rsid w:val="004A446B"/>
    <w:rsid w:val="004A586F"/>
    <w:rsid w:val="004A5B28"/>
    <w:rsid w:val="004A70AE"/>
    <w:rsid w:val="004A76A1"/>
    <w:rsid w:val="004A7B6C"/>
    <w:rsid w:val="004A7D04"/>
    <w:rsid w:val="004B06D0"/>
    <w:rsid w:val="004B20D4"/>
    <w:rsid w:val="004B3108"/>
    <w:rsid w:val="004B3A39"/>
    <w:rsid w:val="004B3D4E"/>
    <w:rsid w:val="004B43DD"/>
    <w:rsid w:val="004B46EF"/>
    <w:rsid w:val="004B5A12"/>
    <w:rsid w:val="004B6344"/>
    <w:rsid w:val="004B66D9"/>
    <w:rsid w:val="004B66F3"/>
    <w:rsid w:val="004B6A97"/>
    <w:rsid w:val="004B6FC7"/>
    <w:rsid w:val="004C0418"/>
    <w:rsid w:val="004C0E78"/>
    <w:rsid w:val="004C126F"/>
    <w:rsid w:val="004C1FD8"/>
    <w:rsid w:val="004C258A"/>
    <w:rsid w:val="004C265C"/>
    <w:rsid w:val="004C32FC"/>
    <w:rsid w:val="004C355D"/>
    <w:rsid w:val="004C5383"/>
    <w:rsid w:val="004C5973"/>
    <w:rsid w:val="004C5D2D"/>
    <w:rsid w:val="004C60AA"/>
    <w:rsid w:val="004C6727"/>
    <w:rsid w:val="004C67A7"/>
    <w:rsid w:val="004C7668"/>
    <w:rsid w:val="004C7D5C"/>
    <w:rsid w:val="004D0259"/>
    <w:rsid w:val="004D049D"/>
    <w:rsid w:val="004D13A5"/>
    <w:rsid w:val="004D25CF"/>
    <w:rsid w:val="004D2654"/>
    <w:rsid w:val="004D2822"/>
    <w:rsid w:val="004D28BC"/>
    <w:rsid w:val="004D3861"/>
    <w:rsid w:val="004D39E1"/>
    <w:rsid w:val="004D3E12"/>
    <w:rsid w:val="004D44F2"/>
    <w:rsid w:val="004D5AFD"/>
    <w:rsid w:val="004D60F5"/>
    <w:rsid w:val="004D782F"/>
    <w:rsid w:val="004D7B0A"/>
    <w:rsid w:val="004D7EEB"/>
    <w:rsid w:val="004E18B4"/>
    <w:rsid w:val="004E1A82"/>
    <w:rsid w:val="004E2C2C"/>
    <w:rsid w:val="004E3134"/>
    <w:rsid w:val="004E3965"/>
    <w:rsid w:val="004E3ADB"/>
    <w:rsid w:val="004E3DA0"/>
    <w:rsid w:val="004E3F19"/>
    <w:rsid w:val="004E40EA"/>
    <w:rsid w:val="004E452A"/>
    <w:rsid w:val="004E52BE"/>
    <w:rsid w:val="004E53F8"/>
    <w:rsid w:val="004E625F"/>
    <w:rsid w:val="004E6313"/>
    <w:rsid w:val="004E68BE"/>
    <w:rsid w:val="004E6D9A"/>
    <w:rsid w:val="004E6E23"/>
    <w:rsid w:val="004E7867"/>
    <w:rsid w:val="004E7E31"/>
    <w:rsid w:val="004F010F"/>
    <w:rsid w:val="004F0AD1"/>
    <w:rsid w:val="004F0D8B"/>
    <w:rsid w:val="004F2F3C"/>
    <w:rsid w:val="004F3930"/>
    <w:rsid w:val="004F3B45"/>
    <w:rsid w:val="004F423C"/>
    <w:rsid w:val="004F433E"/>
    <w:rsid w:val="004F53BF"/>
    <w:rsid w:val="004F5488"/>
    <w:rsid w:val="004F5E67"/>
    <w:rsid w:val="004F7A51"/>
    <w:rsid w:val="00500911"/>
    <w:rsid w:val="00500FB1"/>
    <w:rsid w:val="0050214F"/>
    <w:rsid w:val="00504497"/>
    <w:rsid w:val="0050537D"/>
    <w:rsid w:val="00505618"/>
    <w:rsid w:val="00505C26"/>
    <w:rsid w:val="00505F78"/>
    <w:rsid w:val="0050605A"/>
    <w:rsid w:val="00506188"/>
    <w:rsid w:val="00506667"/>
    <w:rsid w:val="00506682"/>
    <w:rsid w:val="00506924"/>
    <w:rsid w:val="00506F55"/>
    <w:rsid w:val="00510E82"/>
    <w:rsid w:val="00511102"/>
    <w:rsid w:val="0051112F"/>
    <w:rsid w:val="0051196B"/>
    <w:rsid w:val="00512549"/>
    <w:rsid w:val="005126AE"/>
    <w:rsid w:val="00512A19"/>
    <w:rsid w:val="005134C5"/>
    <w:rsid w:val="00514E74"/>
    <w:rsid w:val="00516941"/>
    <w:rsid w:val="00516D22"/>
    <w:rsid w:val="00517158"/>
    <w:rsid w:val="00517AD9"/>
    <w:rsid w:val="00520CCB"/>
    <w:rsid w:val="00521066"/>
    <w:rsid w:val="00522597"/>
    <w:rsid w:val="005236CD"/>
    <w:rsid w:val="00524CF6"/>
    <w:rsid w:val="00524DC3"/>
    <w:rsid w:val="00524F79"/>
    <w:rsid w:val="005250DA"/>
    <w:rsid w:val="0052518E"/>
    <w:rsid w:val="00525DF9"/>
    <w:rsid w:val="005263BB"/>
    <w:rsid w:val="00527E9D"/>
    <w:rsid w:val="00530DE9"/>
    <w:rsid w:val="00530FE2"/>
    <w:rsid w:val="005311B7"/>
    <w:rsid w:val="00531621"/>
    <w:rsid w:val="005317BF"/>
    <w:rsid w:val="0053220E"/>
    <w:rsid w:val="0053236F"/>
    <w:rsid w:val="00532841"/>
    <w:rsid w:val="00532E22"/>
    <w:rsid w:val="005339B0"/>
    <w:rsid w:val="00533C43"/>
    <w:rsid w:val="0053450C"/>
    <w:rsid w:val="005345C6"/>
    <w:rsid w:val="005348CA"/>
    <w:rsid w:val="005348F3"/>
    <w:rsid w:val="00535094"/>
    <w:rsid w:val="005355A5"/>
    <w:rsid w:val="0053712A"/>
    <w:rsid w:val="0054050C"/>
    <w:rsid w:val="0054134D"/>
    <w:rsid w:val="0054145F"/>
    <w:rsid w:val="005417BA"/>
    <w:rsid w:val="00541980"/>
    <w:rsid w:val="0054294E"/>
    <w:rsid w:val="00542EAA"/>
    <w:rsid w:val="00542FB4"/>
    <w:rsid w:val="005433A5"/>
    <w:rsid w:val="00543BD1"/>
    <w:rsid w:val="00544083"/>
    <w:rsid w:val="005450E9"/>
    <w:rsid w:val="00545845"/>
    <w:rsid w:val="00545E69"/>
    <w:rsid w:val="00546322"/>
    <w:rsid w:val="005463DE"/>
    <w:rsid w:val="00547312"/>
    <w:rsid w:val="0054764A"/>
    <w:rsid w:val="00550253"/>
    <w:rsid w:val="00550283"/>
    <w:rsid w:val="00550478"/>
    <w:rsid w:val="00550780"/>
    <w:rsid w:val="00550A88"/>
    <w:rsid w:val="0055105B"/>
    <w:rsid w:val="005515CC"/>
    <w:rsid w:val="00551D64"/>
    <w:rsid w:val="0055214F"/>
    <w:rsid w:val="00552858"/>
    <w:rsid w:val="00553120"/>
    <w:rsid w:val="00553687"/>
    <w:rsid w:val="00553F73"/>
    <w:rsid w:val="0055415B"/>
    <w:rsid w:val="0055491B"/>
    <w:rsid w:val="0055525C"/>
    <w:rsid w:val="00555C7C"/>
    <w:rsid w:val="00555E2B"/>
    <w:rsid w:val="00557D46"/>
    <w:rsid w:val="00560391"/>
    <w:rsid w:val="0056052C"/>
    <w:rsid w:val="00562142"/>
    <w:rsid w:val="0056277D"/>
    <w:rsid w:val="00562940"/>
    <w:rsid w:val="005643EB"/>
    <w:rsid w:val="00566DC2"/>
    <w:rsid w:val="00566FDC"/>
    <w:rsid w:val="0056774A"/>
    <w:rsid w:val="00567F83"/>
    <w:rsid w:val="00570AC2"/>
    <w:rsid w:val="00571C1D"/>
    <w:rsid w:val="00571D92"/>
    <w:rsid w:val="00572247"/>
    <w:rsid w:val="0057294D"/>
    <w:rsid w:val="0057393B"/>
    <w:rsid w:val="00574DC5"/>
    <w:rsid w:val="005755A9"/>
    <w:rsid w:val="0057585A"/>
    <w:rsid w:val="00577232"/>
    <w:rsid w:val="00577494"/>
    <w:rsid w:val="005776FE"/>
    <w:rsid w:val="00580D22"/>
    <w:rsid w:val="005811EB"/>
    <w:rsid w:val="005812A5"/>
    <w:rsid w:val="005814C2"/>
    <w:rsid w:val="0058210E"/>
    <w:rsid w:val="0058236A"/>
    <w:rsid w:val="005849DC"/>
    <w:rsid w:val="00585E3F"/>
    <w:rsid w:val="00586AE5"/>
    <w:rsid w:val="00586D5C"/>
    <w:rsid w:val="005905B7"/>
    <w:rsid w:val="0059115F"/>
    <w:rsid w:val="00592481"/>
    <w:rsid w:val="005933ED"/>
    <w:rsid w:val="0059373A"/>
    <w:rsid w:val="005941E8"/>
    <w:rsid w:val="005952C9"/>
    <w:rsid w:val="00595478"/>
    <w:rsid w:val="00597105"/>
    <w:rsid w:val="00597609"/>
    <w:rsid w:val="00597D07"/>
    <w:rsid w:val="005A00B0"/>
    <w:rsid w:val="005A0F1B"/>
    <w:rsid w:val="005A1310"/>
    <w:rsid w:val="005A217A"/>
    <w:rsid w:val="005A4026"/>
    <w:rsid w:val="005A5CD2"/>
    <w:rsid w:val="005A73F5"/>
    <w:rsid w:val="005A74F5"/>
    <w:rsid w:val="005B0755"/>
    <w:rsid w:val="005B0D25"/>
    <w:rsid w:val="005B1781"/>
    <w:rsid w:val="005B1D38"/>
    <w:rsid w:val="005B23BF"/>
    <w:rsid w:val="005B2F36"/>
    <w:rsid w:val="005B300D"/>
    <w:rsid w:val="005B3847"/>
    <w:rsid w:val="005B3906"/>
    <w:rsid w:val="005B3925"/>
    <w:rsid w:val="005B46B2"/>
    <w:rsid w:val="005B5878"/>
    <w:rsid w:val="005B5DCE"/>
    <w:rsid w:val="005B5E86"/>
    <w:rsid w:val="005B64A6"/>
    <w:rsid w:val="005B6A49"/>
    <w:rsid w:val="005B6BD2"/>
    <w:rsid w:val="005B6E97"/>
    <w:rsid w:val="005B7569"/>
    <w:rsid w:val="005C0C04"/>
    <w:rsid w:val="005C0DC4"/>
    <w:rsid w:val="005C156F"/>
    <w:rsid w:val="005C17A8"/>
    <w:rsid w:val="005C1FE7"/>
    <w:rsid w:val="005C3F2B"/>
    <w:rsid w:val="005C4A54"/>
    <w:rsid w:val="005C4D74"/>
    <w:rsid w:val="005C52F4"/>
    <w:rsid w:val="005C57B9"/>
    <w:rsid w:val="005C66C4"/>
    <w:rsid w:val="005C6EE7"/>
    <w:rsid w:val="005C7317"/>
    <w:rsid w:val="005C7375"/>
    <w:rsid w:val="005C781B"/>
    <w:rsid w:val="005C7A5B"/>
    <w:rsid w:val="005D012E"/>
    <w:rsid w:val="005D0678"/>
    <w:rsid w:val="005D23E9"/>
    <w:rsid w:val="005D263D"/>
    <w:rsid w:val="005D292B"/>
    <w:rsid w:val="005D2E5E"/>
    <w:rsid w:val="005D2F59"/>
    <w:rsid w:val="005D3A5C"/>
    <w:rsid w:val="005D42E7"/>
    <w:rsid w:val="005D45D4"/>
    <w:rsid w:val="005D4950"/>
    <w:rsid w:val="005D49F6"/>
    <w:rsid w:val="005D512A"/>
    <w:rsid w:val="005D68B6"/>
    <w:rsid w:val="005D6F6D"/>
    <w:rsid w:val="005D79C5"/>
    <w:rsid w:val="005E3DDA"/>
    <w:rsid w:val="005E4543"/>
    <w:rsid w:val="005E4812"/>
    <w:rsid w:val="005E4FF2"/>
    <w:rsid w:val="005E5BF4"/>
    <w:rsid w:val="005E6251"/>
    <w:rsid w:val="005E7035"/>
    <w:rsid w:val="005E722B"/>
    <w:rsid w:val="005F0293"/>
    <w:rsid w:val="005F079B"/>
    <w:rsid w:val="005F0AC3"/>
    <w:rsid w:val="005F222B"/>
    <w:rsid w:val="005F27C1"/>
    <w:rsid w:val="005F2836"/>
    <w:rsid w:val="005F3065"/>
    <w:rsid w:val="005F384D"/>
    <w:rsid w:val="005F3D47"/>
    <w:rsid w:val="005F51EC"/>
    <w:rsid w:val="005F53D8"/>
    <w:rsid w:val="005F608C"/>
    <w:rsid w:val="005F6373"/>
    <w:rsid w:val="005F693F"/>
    <w:rsid w:val="005F6E83"/>
    <w:rsid w:val="005F78DF"/>
    <w:rsid w:val="005F7BCD"/>
    <w:rsid w:val="00601895"/>
    <w:rsid w:val="00601925"/>
    <w:rsid w:val="00601DFC"/>
    <w:rsid w:val="0060344A"/>
    <w:rsid w:val="0060540F"/>
    <w:rsid w:val="00605613"/>
    <w:rsid w:val="006056C9"/>
    <w:rsid w:val="006058D7"/>
    <w:rsid w:val="00606ED1"/>
    <w:rsid w:val="00607139"/>
    <w:rsid w:val="00607987"/>
    <w:rsid w:val="00607CF3"/>
    <w:rsid w:val="00607F23"/>
    <w:rsid w:val="0061152A"/>
    <w:rsid w:val="00611793"/>
    <w:rsid w:val="00611BEF"/>
    <w:rsid w:val="006151DE"/>
    <w:rsid w:val="0061529A"/>
    <w:rsid w:val="00615703"/>
    <w:rsid w:val="00616854"/>
    <w:rsid w:val="00617660"/>
    <w:rsid w:val="00623511"/>
    <w:rsid w:val="006237A4"/>
    <w:rsid w:val="00623FA1"/>
    <w:rsid w:val="00625ED9"/>
    <w:rsid w:val="00625FF5"/>
    <w:rsid w:val="0062644D"/>
    <w:rsid w:val="00626C6E"/>
    <w:rsid w:val="00627092"/>
    <w:rsid w:val="0062712F"/>
    <w:rsid w:val="00627285"/>
    <w:rsid w:val="00627D80"/>
    <w:rsid w:val="00630256"/>
    <w:rsid w:val="00631B8A"/>
    <w:rsid w:val="00632A64"/>
    <w:rsid w:val="0063387D"/>
    <w:rsid w:val="00633C5C"/>
    <w:rsid w:val="006342FA"/>
    <w:rsid w:val="00634DD6"/>
    <w:rsid w:val="00635068"/>
    <w:rsid w:val="0063534C"/>
    <w:rsid w:val="00635495"/>
    <w:rsid w:val="00635F9B"/>
    <w:rsid w:val="0063626D"/>
    <w:rsid w:val="00636640"/>
    <w:rsid w:val="00636703"/>
    <w:rsid w:val="00636FF6"/>
    <w:rsid w:val="006373F1"/>
    <w:rsid w:val="00637EEA"/>
    <w:rsid w:val="006400E5"/>
    <w:rsid w:val="00640964"/>
    <w:rsid w:val="00640A44"/>
    <w:rsid w:val="00640D55"/>
    <w:rsid w:val="0064154A"/>
    <w:rsid w:val="00641A48"/>
    <w:rsid w:val="0064251C"/>
    <w:rsid w:val="00642527"/>
    <w:rsid w:val="00642790"/>
    <w:rsid w:val="00642FCF"/>
    <w:rsid w:val="00643535"/>
    <w:rsid w:val="006447B5"/>
    <w:rsid w:val="00644EDD"/>
    <w:rsid w:val="00645325"/>
    <w:rsid w:val="00645A77"/>
    <w:rsid w:val="00645E35"/>
    <w:rsid w:val="00645F74"/>
    <w:rsid w:val="0064605F"/>
    <w:rsid w:val="006473CE"/>
    <w:rsid w:val="006473E7"/>
    <w:rsid w:val="00647E55"/>
    <w:rsid w:val="00650327"/>
    <w:rsid w:val="00650542"/>
    <w:rsid w:val="00650565"/>
    <w:rsid w:val="00650B2B"/>
    <w:rsid w:val="006510EC"/>
    <w:rsid w:val="006518FC"/>
    <w:rsid w:val="00651B7A"/>
    <w:rsid w:val="006521E3"/>
    <w:rsid w:val="00653861"/>
    <w:rsid w:val="00653B43"/>
    <w:rsid w:val="0065447B"/>
    <w:rsid w:val="00654985"/>
    <w:rsid w:val="006556F5"/>
    <w:rsid w:val="00655C96"/>
    <w:rsid w:val="00655CE7"/>
    <w:rsid w:val="00656648"/>
    <w:rsid w:val="006567E2"/>
    <w:rsid w:val="00657BCB"/>
    <w:rsid w:val="00660826"/>
    <w:rsid w:val="00660CF1"/>
    <w:rsid w:val="00662FA4"/>
    <w:rsid w:val="00663A27"/>
    <w:rsid w:val="00663BCE"/>
    <w:rsid w:val="00664ACB"/>
    <w:rsid w:val="00665591"/>
    <w:rsid w:val="00665B9D"/>
    <w:rsid w:val="00665C78"/>
    <w:rsid w:val="00666108"/>
    <w:rsid w:val="006668C1"/>
    <w:rsid w:val="00670E43"/>
    <w:rsid w:val="00670EA6"/>
    <w:rsid w:val="00671454"/>
    <w:rsid w:val="00671A04"/>
    <w:rsid w:val="00671A1D"/>
    <w:rsid w:val="00671A73"/>
    <w:rsid w:val="00671B9F"/>
    <w:rsid w:val="00671E7B"/>
    <w:rsid w:val="006727B8"/>
    <w:rsid w:val="00674B27"/>
    <w:rsid w:val="00674C45"/>
    <w:rsid w:val="0067576F"/>
    <w:rsid w:val="006758EA"/>
    <w:rsid w:val="00675932"/>
    <w:rsid w:val="00675FD0"/>
    <w:rsid w:val="00676045"/>
    <w:rsid w:val="00676760"/>
    <w:rsid w:val="00676AD6"/>
    <w:rsid w:val="006775A4"/>
    <w:rsid w:val="006775B1"/>
    <w:rsid w:val="00677B8F"/>
    <w:rsid w:val="00677F39"/>
    <w:rsid w:val="00680032"/>
    <w:rsid w:val="006802EF"/>
    <w:rsid w:val="006809B5"/>
    <w:rsid w:val="00680F24"/>
    <w:rsid w:val="006817F0"/>
    <w:rsid w:val="00681AEB"/>
    <w:rsid w:val="006827E0"/>
    <w:rsid w:val="00683430"/>
    <w:rsid w:val="00683F71"/>
    <w:rsid w:val="006847AC"/>
    <w:rsid w:val="00684ACC"/>
    <w:rsid w:val="00685EBB"/>
    <w:rsid w:val="00686D12"/>
    <w:rsid w:val="00687611"/>
    <w:rsid w:val="00687EAE"/>
    <w:rsid w:val="006904BD"/>
    <w:rsid w:val="006911E9"/>
    <w:rsid w:val="00691766"/>
    <w:rsid w:val="00692648"/>
    <w:rsid w:val="006935C8"/>
    <w:rsid w:val="00693D90"/>
    <w:rsid w:val="00693FED"/>
    <w:rsid w:val="006942BE"/>
    <w:rsid w:val="006946C9"/>
    <w:rsid w:val="006956BF"/>
    <w:rsid w:val="00695EF0"/>
    <w:rsid w:val="00695FF3"/>
    <w:rsid w:val="006965F3"/>
    <w:rsid w:val="00697A07"/>
    <w:rsid w:val="006A0B45"/>
    <w:rsid w:val="006A1291"/>
    <w:rsid w:val="006A1377"/>
    <w:rsid w:val="006A1717"/>
    <w:rsid w:val="006A18D4"/>
    <w:rsid w:val="006A1C39"/>
    <w:rsid w:val="006A21F2"/>
    <w:rsid w:val="006A2966"/>
    <w:rsid w:val="006A2E5D"/>
    <w:rsid w:val="006A4759"/>
    <w:rsid w:val="006A4777"/>
    <w:rsid w:val="006A4825"/>
    <w:rsid w:val="006A4AAB"/>
    <w:rsid w:val="006A4F32"/>
    <w:rsid w:val="006A56E4"/>
    <w:rsid w:val="006A6A05"/>
    <w:rsid w:val="006A6BDF"/>
    <w:rsid w:val="006B0EBB"/>
    <w:rsid w:val="006B18D1"/>
    <w:rsid w:val="006B1AE2"/>
    <w:rsid w:val="006B2473"/>
    <w:rsid w:val="006B26D8"/>
    <w:rsid w:val="006B396A"/>
    <w:rsid w:val="006B3F61"/>
    <w:rsid w:val="006B44E6"/>
    <w:rsid w:val="006B5072"/>
    <w:rsid w:val="006B515A"/>
    <w:rsid w:val="006B55C6"/>
    <w:rsid w:val="006B5615"/>
    <w:rsid w:val="006B5650"/>
    <w:rsid w:val="006B6A56"/>
    <w:rsid w:val="006B7F6F"/>
    <w:rsid w:val="006C04D4"/>
    <w:rsid w:val="006C0D03"/>
    <w:rsid w:val="006C153E"/>
    <w:rsid w:val="006C1DA7"/>
    <w:rsid w:val="006C28C4"/>
    <w:rsid w:val="006C2D9D"/>
    <w:rsid w:val="006C3497"/>
    <w:rsid w:val="006C3C30"/>
    <w:rsid w:val="006C46CC"/>
    <w:rsid w:val="006C54C1"/>
    <w:rsid w:val="006C566F"/>
    <w:rsid w:val="006C614A"/>
    <w:rsid w:val="006C6253"/>
    <w:rsid w:val="006C65EB"/>
    <w:rsid w:val="006C67D1"/>
    <w:rsid w:val="006C6999"/>
    <w:rsid w:val="006D03AB"/>
    <w:rsid w:val="006D0A55"/>
    <w:rsid w:val="006D1C69"/>
    <w:rsid w:val="006D2B5A"/>
    <w:rsid w:val="006D2FC9"/>
    <w:rsid w:val="006D36CB"/>
    <w:rsid w:val="006D39E0"/>
    <w:rsid w:val="006D3A7C"/>
    <w:rsid w:val="006D6424"/>
    <w:rsid w:val="006D64D8"/>
    <w:rsid w:val="006D6565"/>
    <w:rsid w:val="006E016F"/>
    <w:rsid w:val="006E026D"/>
    <w:rsid w:val="006E0FC2"/>
    <w:rsid w:val="006E1940"/>
    <w:rsid w:val="006E19D4"/>
    <w:rsid w:val="006E2190"/>
    <w:rsid w:val="006E2C89"/>
    <w:rsid w:val="006E3E62"/>
    <w:rsid w:val="006E40A7"/>
    <w:rsid w:val="006E587D"/>
    <w:rsid w:val="006E6A4C"/>
    <w:rsid w:val="006E762C"/>
    <w:rsid w:val="006E7850"/>
    <w:rsid w:val="006E7D89"/>
    <w:rsid w:val="006F24E8"/>
    <w:rsid w:val="006F2B88"/>
    <w:rsid w:val="006F2BA8"/>
    <w:rsid w:val="006F2FC6"/>
    <w:rsid w:val="006F3B2A"/>
    <w:rsid w:val="006F3D90"/>
    <w:rsid w:val="006F3F28"/>
    <w:rsid w:val="006F4D39"/>
    <w:rsid w:val="006F52B2"/>
    <w:rsid w:val="006F56F1"/>
    <w:rsid w:val="006F6B6B"/>
    <w:rsid w:val="006F6DD3"/>
    <w:rsid w:val="006F6F00"/>
    <w:rsid w:val="006F72C4"/>
    <w:rsid w:val="006F738C"/>
    <w:rsid w:val="006F76E7"/>
    <w:rsid w:val="00700F9C"/>
    <w:rsid w:val="007014F7"/>
    <w:rsid w:val="00701566"/>
    <w:rsid w:val="0070176F"/>
    <w:rsid w:val="007028E2"/>
    <w:rsid w:val="007031F8"/>
    <w:rsid w:val="0070369B"/>
    <w:rsid w:val="007049AE"/>
    <w:rsid w:val="00704A5C"/>
    <w:rsid w:val="00705BC4"/>
    <w:rsid w:val="00706842"/>
    <w:rsid w:val="00706EF7"/>
    <w:rsid w:val="007077BE"/>
    <w:rsid w:val="00710227"/>
    <w:rsid w:val="00710247"/>
    <w:rsid w:val="00710A48"/>
    <w:rsid w:val="00710EC0"/>
    <w:rsid w:val="007119B5"/>
    <w:rsid w:val="007124E2"/>
    <w:rsid w:val="00712F86"/>
    <w:rsid w:val="00713051"/>
    <w:rsid w:val="00713E03"/>
    <w:rsid w:val="007140DE"/>
    <w:rsid w:val="00714864"/>
    <w:rsid w:val="007148E1"/>
    <w:rsid w:val="00714B83"/>
    <w:rsid w:val="007153FD"/>
    <w:rsid w:val="0071590B"/>
    <w:rsid w:val="00715980"/>
    <w:rsid w:val="00716054"/>
    <w:rsid w:val="0071619A"/>
    <w:rsid w:val="007162F5"/>
    <w:rsid w:val="00716BAC"/>
    <w:rsid w:val="00717548"/>
    <w:rsid w:val="00717B11"/>
    <w:rsid w:val="00717CEB"/>
    <w:rsid w:val="00720001"/>
    <w:rsid w:val="0072045F"/>
    <w:rsid w:val="00721851"/>
    <w:rsid w:val="00721951"/>
    <w:rsid w:val="00721ABA"/>
    <w:rsid w:val="0072225B"/>
    <w:rsid w:val="00722B47"/>
    <w:rsid w:val="00722CA7"/>
    <w:rsid w:val="00723FED"/>
    <w:rsid w:val="00726112"/>
    <w:rsid w:val="00726935"/>
    <w:rsid w:val="00727EE6"/>
    <w:rsid w:val="007328AD"/>
    <w:rsid w:val="00732F5D"/>
    <w:rsid w:val="00733424"/>
    <w:rsid w:val="00733F90"/>
    <w:rsid w:val="0073410C"/>
    <w:rsid w:val="007342DB"/>
    <w:rsid w:val="00734343"/>
    <w:rsid w:val="00737A29"/>
    <w:rsid w:val="007406CB"/>
    <w:rsid w:val="0074085E"/>
    <w:rsid w:val="007408B2"/>
    <w:rsid w:val="00740D79"/>
    <w:rsid w:val="007413C3"/>
    <w:rsid w:val="00741D71"/>
    <w:rsid w:val="00743703"/>
    <w:rsid w:val="00744232"/>
    <w:rsid w:val="00744A63"/>
    <w:rsid w:val="0074593A"/>
    <w:rsid w:val="0074596E"/>
    <w:rsid w:val="007463D2"/>
    <w:rsid w:val="007464B3"/>
    <w:rsid w:val="007471B3"/>
    <w:rsid w:val="00747659"/>
    <w:rsid w:val="00747FF8"/>
    <w:rsid w:val="007528D6"/>
    <w:rsid w:val="00753C5D"/>
    <w:rsid w:val="00754CCE"/>
    <w:rsid w:val="00754EA8"/>
    <w:rsid w:val="00754F8C"/>
    <w:rsid w:val="00755355"/>
    <w:rsid w:val="007555A5"/>
    <w:rsid w:val="00755FDB"/>
    <w:rsid w:val="007569E4"/>
    <w:rsid w:val="00757B27"/>
    <w:rsid w:val="00757EA0"/>
    <w:rsid w:val="00760D6A"/>
    <w:rsid w:val="00761075"/>
    <w:rsid w:val="007614F7"/>
    <w:rsid w:val="0076390D"/>
    <w:rsid w:val="00763C58"/>
    <w:rsid w:val="0076418F"/>
    <w:rsid w:val="0076424D"/>
    <w:rsid w:val="007656AB"/>
    <w:rsid w:val="00765A03"/>
    <w:rsid w:val="00766064"/>
    <w:rsid w:val="007666F5"/>
    <w:rsid w:val="007668A6"/>
    <w:rsid w:val="00766AE4"/>
    <w:rsid w:val="007677E2"/>
    <w:rsid w:val="00767BDF"/>
    <w:rsid w:val="0077072A"/>
    <w:rsid w:val="007709BD"/>
    <w:rsid w:val="00770A81"/>
    <w:rsid w:val="007726A9"/>
    <w:rsid w:val="00772C1C"/>
    <w:rsid w:val="00772F83"/>
    <w:rsid w:val="007731B5"/>
    <w:rsid w:val="00773556"/>
    <w:rsid w:val="007746FC"/>
    <w:rsid w:val="00775DF5"/>
    <w:rsid w:val="00777EA7"/>
    <w:rsid w:val="00781512"/>
    <w:rsid w:val="00781EA0"/>
    <w:rsid w:val="007827A7"/>
    <w:rsid w:val="007833CC"/>
    <w:rsid w:val="00783574"/>
    <w:rsid w:val="007839FF"/>
    <w:rsid w:val="00784B8E"/>
    <w:rsid w:val="00787163"/>
    <w:rsid w:val="00787747"/>
    <w:rsid w:val="0079010F"/>
    <w:rsid w:val="0079213F"/>
    <w:rsid w:val="007944A8"/>
    <w:rsid w:val="007944CD"/>
    <w:rsid w:val="00794518"/>
    <w:rsid w:val="0079489D"/>
    <w:rsid w:val="00796708"/>
    <w:rsid w:val="0079736E"/>
    <w:rsid w:val="007978FC"/>
    <w:rsid w:val="007A0011"/>
    <w:rsid w:val="007A12AA"/>
    <w:rsid w:val="007A1486"/>
    <w:rsid w:val="007A1B55"/>
    <w:rsid w:val="007A1EDE"/>
    <w:rsid w:val="007A23F5"/>
    <w:rsid w:val="007A25D7"/>
    <w:rsid w:val="007A2E4F"/>
    <w:rsid w:val="007A37EE"/>
    <w:rsid w:val="007A3895"/>
    <w:rsid w:val="007A4728"/>
    <w:rsid w:val="007A6085"/>
    <w:rsid w:val="007B0DBC"/>
    <w:rsid w:val="007B19FE"/>
    <w:rsid w:val="007B2880"/>
    <w:rsid w:val="007B3323"/>
    <w:rsid w:val="007B4779"/>
    <w:rsid w:val="007B557F"/>
    <w:rsid w:val="007B55EC"/>
    <w:rsid w:val="007B5A1A"/>
    <w:rsid w:val="007B5FC2"/>
    <w:rsid w:val="007B76CD"/>
    <w:rsid w:val="007C03A9"/>
    <w:rsid w:val="007C13B2"/>
    <w:rsid w:val="007C25B5"/>
    <w:rsid w:val="007C4372"/>
    <w:rsid w:val="007C5C0E"/>
    <w:rsid w:val="007C61EF"/>
    <w:rsid w:val="007C7114"/>
    <w:rsid w:val="007D00C7"/>
    <w:rsid w:val="007D0171"/>
    <w:rsid w:val="007D04B8"/>
    <w:rsid w:val="007D2808"/>
    <w:rsid w:val="007D2920"/>
    <w:rsid w:val="007D3103"/>
    <w:rsid w:val="007D34B0"/>
    <w:rsid w:val="007D429F"/>
    <w:rsid w:val="007D5310"/>
    <w:rsid w:val="007D5713"/>
    <w:rsid w:val="007D6752"/>
    <w:rsid w:val="007D6B73"/>
    <w:rsid w:val="007D7449"/>
    <w:rsid w:val="007D7808"/>
    <w:rsid w:val="007E01C3"/>
    <w:rsid w:val="007E0926"/>
    <w:rsid w:val="007E0B38"/>
    <w:rsid w:val="007E155F"/>
    <w:rsid w:val="007E1B0E"/>
    <w:rsid w:val="007E1B2C"/>
    <w:rsid w:val="007E238D"/>
    <w:rsid w:val="007E2586"/>
    <w:rsid w:val="007E2EC7"/>
    <w:rsid w:val="007E35A2"/>
    <w:rsid w:val="007E3A6C"/>
    <w:rsid w:val="007E4805"/>
    <w:rsid w:val="007E5D11"/>
    <w:rsid w:val="007E610C"/>
    <w:rsid w:val="007E6580"/>
    <w:rsid w:val="007E6D30"/>
    <w:rsid w:val="007E74EC"/>
    <w:rsid w:val="007F1534"/>
    <w:rsid w:val="007F156E"/>
    <w:rsid w:val="007F1C7B"/>
    <w:rsid w:val="007F21AE"/>
    <w:rsid w:val="007F2675"/>
    <w:rsid w:val="007F2E71"/>
    <w:rsid w:val="007F4D58"/>
    <w:rsid w:val="007F55B1"/>
    <w:rsid w:val="007F5F31"/>
    <w:rsid w:val="007F685B"/>
    <w:rsid w:val="007F692A"/>
    <w:rsid w:val="007F6A3A"/>
    <w:rsid w:val="007F6FB8"/>
    <w:rsid w:val="00800B1E"/>
    <w:rsid w:val="0080190B"/>
    <w:rsid w:val="00801A2F"/>
    <w:rsid w:val="00801A81"/>
    <w:rsid w:val="00801DA9"/>
    <w:rsid w:val="008020A3"/>
    <w:rsid w:val="00802400"/>
    <w:rsid w:val="00804A67"/>
    <w:rsid w:val="00804C45"/>
    <w:rsid w:val="00804D9D"/>
    <w:rsid w:val="008057C7"/>
    <w:rsid w:val="00806A97"/>
    <w:rsid w:val="00806FFF"/>
    <w:rsid w:val="0080719B"/>
    <w:rsid w:val="00807355"/>
    <w:rsid w:val="00807403"/>
    <w:rsid w:val="00810557"/>
    <w:rsid w:val="00810671"/>
    <w:rsid w:val="00810A53"/>
    <w:rsid w:val="00810E48"/>
    <w:rsid w:val="00810FC1"/>
    <w:rsid w:val="00811842"/>
    <w:rsid w:val="00811F1B"/>
    <w:rsid w:val="008124A5"/>
    <w:rsid w:val="00812E37"/>
    <w:rsid w:val="0081348A"/>
    <w:rsid w:val="008136AE"/>
    <w:rsid w:val="00813DCC"/>
    <w:rsid w:val="00813DFD"/>
    <w:rsid w:val="00813E71"/>
    <w:rsid w:val="00814C00"/>
    <w:rsid w:val="00815324"/>
    <w:rsid w:val="008154DD"/>
    <w:rsid w:val="00817143"/>
    <w:rsid w:val="0081788A"/>
    <w:rsid w:val="00817E0B"/>
    <w:rsid w:val="00820D3A"/>
    <w:rsid w:val="00820FCF"/>
    <w:rsid w:val="0082122E"/>
    <w:rsid w:val="00822D77"/>
    <w:rsid w:val="00823117"/>
    <w:rsid w:val="00823B78"/>
    <w:rsid w:val="00825DFD"/>
    <w:rsid w:val="00825EAE"/>
    <w:rsid w:val="0082662F"/>
    <w:rsid w:val="00826CDE"/>
    <w:rsid w:val="00827515"/>
    <w:rsid w:val="0082763B"/>
    <w:rsid w:val="008279E9"/>
    <w:rsid w:val="00827AE5"/>
    <w:rsid w:val="00827C80"/>
    <w:rsid w:val="00827E2D"/>
    <w:rsid w:val="00827E66"/>
    <w:rsid w:val="00830023"/>
    <w:rsid w:val="008300EF"/>
    <w:rsid w:val="008319A0"/>
    <w:rsid w:val="00832597"/>
    <w:rsid w:val="00832C9F"/>
    <w:rsid w:val="00832ECB"/>
    <w:rsid w:val="00833FF8"/>
    <w:rsid w:val="0083468A"/>
    <w:rsid w:val="00834699"/>
    <w:rsid w:val="008346E7"/>
    <w:rsid w:val="00835923"/>
    <w:rsid w:val="00836A1F"/>
    <w:rsid w:val="00836C50"/>
    <w:rsid w:val="00836EA8"/>
    <w:rsid w:val="008379E6"/>
    <w:rsid w:val="008428AA"/>
    <w:rsid w:val="0084366A"/>
    <w:rsid w:val="00843AD5"/>
    <w:rsid w:val="00844C41"/>
    <w:rsid w:val="00845122"/>
    <w:rsid w:val="008453BF"/>
    <w:rsid w:val="008454A5"/>
    <w:rsid w:val="00845AC5"/>
    <w:rsid w:val="00846A33"/>
    <w:rsid w:val="00850420"/>
    <w:rsid w:val="008508B9"/>
    <w:rsid w:val="008509FA"/>
    <w:rsid w:val="00850ACF"/>
    <w:rsid w:val="00853C66"/>
    <w:rsid w:val="008541B3"/>
    <w:rsid w:val="0085453F"/>
    <w:rsid w:val="00854D53"/>
    <w:rsid w:val="008552D6"/>
    <w:rsid w:val="0085638E"/>
    <w:rsid w:val="00856536"/>
    <w:rsid w:val="00856D69"/>
    <w:rsid w:val="00857D9B"/>
    <w:rsid w:val="00857E7E"/>
    <w:rsid w:val="00860EF8"/>
    <w:rsid w:val="00861306"/>
    <w:rsid w:val="008613BF"/>
    <w:rsid w:val="00861634"/>
    <w:rsid w:val="00861937"/>
    <w:rsid w:val="00861F22"/>
    <w:rsid w:val="0086213E"/>
    <w:rsid w:val="008625D0"/>
    <w:rsid w:val="00862D0E"/>
    <w:rsid w:val="0086312B"/>
    <w:rsid w:val="00863B8F"/>
    <w:rsid w:val="00863C6B"/>
    <w:rsid w:val="0086528A"/>
    <w:rsid w:val="008668BA"/>
    <w:rsid w:val="00866E59"/>
    <w:rsid w:val="00867D3D"/>
    <w:rsid w:val="00867FEF"/>
    <w:rsid w:val="008706BF"/>
    <w:rsid w:val="0087098C"/>
    <w:rsid w:val="00870C60"/>
    <w:rsid w:val="008713BE"/>
    <w:rsid w:val="00871ABA"/>
    <w:rsid w:val="00871FA5"/>
    <w:rsid w:val="0087212A"/>
    <w:rsid w:val="0087226E"/>
    <w:rsid w:val="0087447E"/>
    <w:rsid w:val="00874C13"/>
    <w:rsid w:val="00874CCC"/>
    <w:rsid w:val="0087524C"/>
    <w:rsid w:val="008754BB"/>
    <w:rsid w:val="008756C0"/>
    <w:rsid w:val="00875D01"/>
    <w:rsid w:val="008760C2"/>
    <w:rsid w:val="0087625C"/>
    <w:rsid w:val="008776AB"/>
    <w:rsid w:val="00880897"/>
    <w:rsid w:val="00880A8B"/>
    <w:rsid w:val="00882432"/>
    <w:rsid w:val="008826B0"/>
    <w:rsid w:val="00882C0A"/>
    <w:rsid w:val="00883A97"/>
    <w:rsid w:val="00883C04"/>
    <w:rsid w:val="0088555C"/>
    <w:rsid w:val="0088590B"/>
    <w:rsid w:val="0088630B"/>
    <w:rsid w:val="00886A7E"/>
    <w:rsid w:val="00887FF3"/>
    <w:rsid w:val="00890A14"/>
    <w:rsid w:val="00890E61"/>
    <w:rsid w:val="008914AD"/>
    <w:rsid w:val="00891EFB"/>
    <w:rsid w:val="0089251D"/>
    <w:rsid w:val="00893DBE"/>
    <w:rsid w:val="00894E11"/>
    <w:rsid w:val="00894F3E"/>
    <w:rsid w:val="00895FB7"/>
    <w:rsid w:val="00896106"/>
    <w:rsid w:val="00896319"/>
    <w:rsid w:val="008966A5"/>
    <w:rsid w:val="0089679E"/>
    <w:rsid w:val="00896F0B"/>
    <w:rsid w:val="008A0820"/>
    <w:rsid w:val="008A0A97"/>
    <w:rsid w:val="008A0C60"/>
    <w:rsid w:val="008A0E1D"/>
    <w:rsid w:val="008A1FD5"/>
    <w:rsid w:val="008A21B4"/>
    <w:rsid w:val="008A27F0"/>
    <w:rsid w:val="008A3114"/>
    <w:rsid w:val="008A39ED"/>
    <w:rsid w:val="008A3BAA"/>
    <w:rsid w:val="008A4073"/>
    <w:rsid w:val="008A45CA"/>
    <w:rsid w:val="008A4A1B"/>
    <w:rsid w:val="008A541C"/>
    <w:rsid w:val="008B0AD1"/>
    <w:rsid w:val="008B2D7F"/>
    <w:rsid w:val="008B4437"/>
    <w:rsid w:val="008B545E"/>
    <w:rsid w:val="008B592A"/>
    <w:rsid w:val="008C0C79"/>
    <w:rsid w:val="008C12F6"/>
    <w:rsid w:val="008C13BB"/>
    <w:rsid w:val="008C1484"/>
    <w:rsid w:val="008C346D"/>
    <w:rsid w:val="008C3B7C"/>
    <w:rsid w:val="008C55D0"/>
    <w:rsid w:val="008C56E3"/>
    <w:rsid w:val="008C5BA1"/>
    <w:rsid w:val="008C5F75"/>
    <w:rsid w:val="008C6A12"/>
    <w:rsid w:val="008C6B26"/>
    <w:rsid w:val="008C743F"/>
    <w:rsid w:val="008C7BF0"/>
    <w:rsid w:val="008D014A"/>
    <w:rsid w:val="008D0F4D"/>
    <w:rsid w:val="008D123B"/>
    <w:rsid w:val="008D1469"/>
    <w:rsid w:val="008D17C9"/>
    <w:rsid w:val="008D1ED0"/>
    <w:rsid w:val="008D266C"/>
    <w:rsid w:val="008D2674"/>
    <w:rsid w:val="008D2AE7"/>
    <w:rsid w:val="008D3CE8"/>
    <w:rsid w:val="008D472D"/>
    <w:rsid w:val="008D4CF3"/>
    <w:rsid w:val="008D4FB5"/>
    <w:rsid w:val="008D5262"/>
    <w:rsid w:val="008D5AFA"/>
    <w:rsid w:val="008D5D14"/>
    <w:rsid w:val="008D7A2A"/>
    <w:rsid w:val="008D7BE9"/>
    <w:rsid w:val="008E1A9A"/>
    <w:rsid w:val="008E1EA0"/>
    <w:rsid w:val="008E2124"/>
    <w:rsid w:val="008E25C5"/>
    <w:rsid w:val="008E5C13"/>
    <w:rsid w:val="008E78A7"/>
    <w:rsid w:val="008E7D7C"/>
    <w:rsid w:val="008F0076"/>
    <w:rsid w:val="008F0789"/>
    <w:rsid w:val="008F1137"/>
    <w:rsid w:val="008F12D3"/>
    <w:rsid w:val="008F1A13"/>
    <w:rsid w:val="008F25EE"/>
    <w:rsid w:val="008F35B5"/>
    <w:rsid w:val="008F3E3F"/>
    <w:rsid w:val="008F4227"/>
    <w:rsid w:val="008F52FD"/>
    <w:rsid w:val="008F64B2"/>
    <w:rsid w:val="008F66C3"/>
    <w:rsid w:val="008F67A7"/>
    <w:rsid w:val="009019BD"/>
    <w:rsid w:val="00901D6E"/>
    <w:rsid w:val="00901ECB"/>
    <w:rsid w:val="0090444B"/>
    <w:rsid w:val="00904C1B"/>
    <w:rsid w:val="00904D0A"/>
    <w:rsid w:val="009053BC"/>
    <w:rsid w:val="0090542B"/>
    <w:rsid w:val="00905A22"/>
    <w:rsid w:val="00906FE7"/>
    <w:rsid w:val="0090754F"/>
    <w:rsid w:val="00907F0A"/>
    <w:rsid w:val="00910FEB"/>
    <w:rsid w:val="0091125A"/>
    <w:rsid w:val="009122DE"/>
    <w:rsid w:val="00913236"/>
    <w:rsid w:val="009132D7"/>
    <w:rsid w:val="0091356D"/>
    <w:rsid w:val="00913AD2"/>
    <w:rsid w:val="00914273"/>
    <w:rsid w:val="009144DB"/>
    <w:rsid w:val="00914740"/>
    <w:rsid w:val="00914A0B"/>
    <w:rsid w:val="00914E1C"/>
    <w:rsid w:val="00915C71"/>
    <w:rsid w:val="009160AD"/>
    <w:rsid w:val="009160B7"/>
    <w:rsid w:val="00916EC7"/>
    <w:rsid w:val="0091733C"/>
    <w:rsid w:val="0092152B"/>
    <w:rsid w:val="00921B07"/>
    <w:rsid w:val="0092330D"/>
    <w:rsid w:val="00925DCE"/>
    <w:rsid w:val="00930468"/>
    <w:rsid w:val="00930751"/>
    <w:rsid w:val="0093113E"/>
    <w:rsid w:val="00931255"/>
    <w:rsid w:val="009319E9"/>
    <w:rsid w:val="00931F6D"/>
    <w:rsid w:val="0093562F"/>
    <w:rsid w:val="00935AB6"/>
    <w:rsid w:val="009367DE"/>
    <w:rsid w:val="00937076"/>
    <w:rsid w:val="00937208"/>
    <w:rsid w:val="00937633"/>
    <w:rsid w:val="00940468"/>
    <w:rsid w:val="00940B22"/>
    <w:rsid w:val="00941684"/>
    <w:rsid w:val="00941A51"/>
    <w:rsid w:val="00942721"/>
    <w:rsid w:val="00942729"/>
    <w:rsid w:val="00942ACD"/>
    <w:rsid w:val="0094347A"/>
    <w:rsid w:val="00943A4A"/>
    <w:rsid w:val="00944413"/>
    <w:rsid w:val="009445B4"/>
    <w:rsid w:val="009445E4"/>
    <w:rsid w:val="00944913"/>
    <w:rsid w:val="00945652"/>
    <w:rsid w:val="009456E4"/>
    <w:rsid w:val="00945975"/>
    <w:rsid w:val="00946767"/>
    <w:rsid w:val="00946AB1"/>
    <w:rsid w:val="009470A9"/>
    <w:rsid w:val="00947BC4"/>
    <w:rsid w:val="009508D6"/>
    <w:rsid w:val="00950BB2"/>
    <w:rsid w:val="009514D3"/>
    <w:rsid w:val="00951E0A"/>
    <w:rsid w:val="00951F46"/>
    <w:rsid w:val="009521F9"/>
    <w:rsid w:val="009524B4"/>
    <w:rsid w:val="00952626"/>
    <w:rsid w:val="009528B2"/>
    <w:rsid w:val="00952A19"/>
    <w:rsid w:val="00952F9E"/>
    <w:rsid w:val="009544A3"/>
    <w:rsid w:val="00955A7D"/>
    <w:rsid w:val="00956187"/>
    <w:rsid w:val="00957386"/>
    <w:rsid w:val="0096013C"/>
    <w:rsid w:val="00960BF3"/>
    <w:rsid w:val="00961B63"/>
    <w:rsid w:val="0096310B"/>
    <w:rsid w:val="00963D3E"/>
    <w:rsid w:val="0096492B"/>
    <w:rsid w:val="00965799"/>
    <w:rsid w:val="0096583C"/>
    <w:rsid w:val="0096774C"/>
    <w:rsid w:val="0096781A"/>
    <w:rsid w:val="009700B2"/>
    <w:rsid w:val="0097077D"/>
    <w:rsid w:val="009710FD"/>
    <w:rsid w:val="0097243D"/>
    <w:rsid w:val="0097265F"/>
    <w:rsid w:val="00973208"/>
    <w:rsid w:val="00973D2B"/>
    <w:rsid w:val="00973DD4"/>
    <w:rsid w:val="00975580"/>
    <w:rsid w:val="00975D28"/>
    <w:rsid w:val="00976467"/>
    <w:rsid w:val="00976EB9"/>
    <w:rsid w:val="00977703"/>
    <w:rsid w:val="009777A5"/>
    <w:rsid w:val="00977DD0"/>
    <w:rsid w:val="0098036C"/>
    <w:rsid w:val="009804DF"/>
    <w:rsid w:val="0098095F"/>
    <w:rsid w:val="00980CB5"/>
    <w:rsid w:val="009818FB"/>
    <w:rsid w:val="00982C31"/>
    <w:rsid w:val="00982E11"/>
    <w:rsid w:val="00984F2B"/>
    <w:rsid w:val="00985771"/>
    <w:rsid w:val="009859A7"/>
    <w:rsid w:val="00985B6E"/>
    <w:rsid w:val="00985F8F"/>
    <w:rsid w:val="00986054"/>
    <w:rsid w:val="009866E2"/>
    <w:rsid w:val="0098797C"/>
    <w:rsid w:val="00987EFD"/>
    <w:rsid w:val="0099057E"/>
    <w:rsid w:val="00990919"/>
    <w:rsid w:val="00991839"/>
    <w:rsid w:val="0099291E"/>
    <w:rsid w:val="0099294F"/>
    <w:rsid w:val="00992A42"/>
    <w:rsid w:val="00992DF1"/>
    <w:rsid w:val="00992F89"/>
    <w:rsid w:val="00993817"/>
    <w:rsid w:val="0099604F"/>
    <w:rsid w:val="0099623E"/>
    <w:rsid w:val="009964E4"/>
    <w:rsid w:val="009966D8"/>
    <w:rsid w:val="0099704B"/>
    <w:rsid w:val="009A0654"/>
    <w:rsid w:val="009A3CF3"/>
    <w:rsid w:val="009A4748"/>
    <w:rsid w:val="009A4A22"/>
    <w:rsid w:val="009A5666"/>
    <w:rsid w:val="009A5DBD"/>
    <w:rsid w:val="009A6D1A"/>
    <w:rsid w:val="009A6D97"/>
    <w:rsid w:val="009A7262"/>
    <w:rsid w:val="009A7692"/>
    <w:rsid w:val="009B05D1"/>
    <w:rsid w:val="009B0953"/>
    <w:rsid w:val="009B0A33"/>
    <w:rsid w:val="009B0B26"/>
    <w:rsid w:val="009B140B"/>
    <w:rsid w:val="009B345F"/>
    <w:rsid w:val="009B3C4B"/>
    <w:rsid w:val="009B46F2"/>
    <w:rsid w:val="009B4F70"/>
    <w:rsid w:val="009B4FC6"/>
    <w:rsid w:val="009B5264"/>
    <w:rsid w:val="009B5390"/>
    <w:rsid w:val="009B6C1F"/>
    <w:rsid w:val="009B717C"/>
    <w:rsid w:val="009B73ED"/>
    <w:rsid w:val="009B7705"/>
    <w:rsid w:val="009C0A72"/>
    <w:rsid w:val="009C0DF2"/>
    <w:rsid w:val="009C0FA0"/>
    <w:rsid w:val="009C21ED"/>
    <w:rsid w:val="009C2800"/>
    <w:rsid w:val="009C2C13"/>
    <w:rsid w:val="009C30A9"/>
    <w:rsid w:val="009C4817"/>
    <w:rsid w:val="009C54A5"/>
    <w:rsid w:val="009C5AE9"/>
    <w:rsid w:val="009C5C37"/>
    <w:rsid w:val="009C66C1"/>
    <w:rsid w:val="009C68DE"/>
    <w:rsid w:val="009C7F80"/>
    <w:rsid w:val="009D030F"/>
    <w:rsid w:val="009D0594"/>
    <w:rsid w:val="009D15E1"/>
    <w:rsid w:val="009D1A6D"/>
    <w:rsid w:val="009D1C6A"/>
    <w:rsid w:val="009D2303"/>
    <w:rsid w:val="009D294B"/>
    <w:rsid w:val="009D2EB1"/>
    <w:rsid w:val="009D3236"/>
    <w:rsid w:val="009D3ADE"/>
    <w:rsid w:val="009D3B0B"/>
    <w:rsid w:val="009D4BFE"/>
    <w:rsid w:val="009D5701"/>
    <w:rsid w:val="009D6EF0"/>
    <w:rsid w:val="009D705A"/>
    <w:rsid w:val="009D7F22"/>
    <w:rsid w:val="009E0C56"/>
    <w:rsid w:val="009E15AE"/>
    <w:rsid w:val="009E3118"/>
    <w:rsid w:val="009E3840"/>
    <w:rsid w:val="009E3E98"/>
    <w:rsid w:val="009E4AC1"/>
    <w:rsid w:val="009E4D62"/>
    <w:rsid w:val="009E64B5"/>
    <w:rsid w:val="009E7BDD"/>
    <w:rsid w:val="009F03D7"/>
    <w:rsid w:val="009F0CE8"/>
    <w:rsid w:val="009F14B6"/>
    <w:rsid w:val="009F1DC8"/>
    <w:rsid w:val="009F2220"/>
    <w:rsid w:val="009F2329"/>
    <w:rsid w:val="009F25AA"/>
    <w:rsid w:val="009F2606"/>
    <w:rsid w:val="009F2E4C"/>
    <w:rsid w:val="009F3DE1"/>
    <w:rsid w:val="009F476C"/>
    <w:rsid w:val="009F58BA"/>
    <w:rsid w:val="009F6FF2"/>
    <w:rsid w:val="009F709B"/>
    <w:rsid w:val="009F746C"/>
    <w:rsid w:val="009F76FC"/>
    <w:rsid w:val="00A0087D"/>
    <w:rsid w:val="00A00C50"/>
    <w:rsid w:val="00A00CBA"/>
    <w:rsid w:val="00A01015"/>
    <w:rsid w:val="00A013DC"/>
    <w:rsid w:val="00A025F6"/>
    <w:rsid w:val="00A04922"/>
    <w:rsid w:val="00A05A86"/>
    <w:rsid w:val="00A060D5"/>
    <w:rsid w:val="00A07DC7"/>
    <w:rsid w:val="00A1094B"/>
    <w:rsid w:val="00A115AD"/>
    <w:rsid w:val="00A11A53"/>
    <w:rsid w:val="00A11F81"/>
    <w:rsid w:val="00A12245"/>
    <w:rsid w:val="00A12D39"/>
    <w:rsid w:val="00A131D2"/>
    <w:rsid w:val="00A138C3"/>
    <w:rsid w:val="00A142C7"/>
    <w:rsid w:val="00A14371"/>
    <w:rsid w:val="00A15624"/>
    <w:rsid w:val="00A15790"/>
    <w:rsid w:val="00A15AB8"/>
    <w:rsid w:val="00A15D2C"/>
    <w:rsid w:val="00A1626C"/>
    <w:rsid w:val="00A227DB"/>
    <w:rsid w:val="00A23027"/>
    <w:rsid w:val="00A2350B"/>
    <w:rsid w:val="00A24295"/>
    <w:rsid w:val="00A243BF"/>
    <w:rsid w:val="00A24CF0"/>
    <w:rsid w:val="00A25476"/>
    <w:rsid w:val="00A25F06"/>
    <w:rsid w:val="00A266DF"/>
    <w:rsid w:val="00A266ED"/>
    <w:rsid w:val="00A305CB"/>
    <w:rsid w:val="00A3077E"/>
    <w:rsid w:val="00A31898"/>
    <w:rsid w:val="00A31AB8"/>
    <w:rsid w:val="00A32435"/>
    <w:rsid w:val="00A32776"/>
    <w:rsid w:val="00A333D8"/>
    <w:rsid w:val="00A33E36"/>
    <w:rsid w:val="00A3468C"/>
    <w:rsid w:val="00A37D90"/>
    <w:rsid w:val="00A37DB4"/>
    <w:rsid w:val="00A4019A"/>
    <w:rsid w:val="00A40465"/>
    <w:rsid w:val="00A40830"/>
    <w:rsid w:val="00A40BDE"/>
    <w:rsid w:val="00A418F6"/>
    <w:rsid w:val="00A4232D"/>
    <w:rsid w:val="00A42362"/>
    <w:rsid w:val="00A426F5"/>
    <w:rsid w:val="00A43BC2"/>
    <w:rsid w:val="00A44BF6"/>
    <w:rsid w:val="00A44DC1"/>
    <w:rsid w:val="00A450B3"/>
    <w:rsid w:val="00A4569E"/>
    <w:rsid w:val="00A459AD"/>
    <w:rsid w:val="00A45E24"/>
    <w:rsid w:val="00A46446"/>
    <w:rsid w:val="00A46AFE"/>
    <w:rsid w:val="00A471AE"/>
    <w:rsid w:val="00A47F68"/>
    <w:rsid w:val="00A47F7D"/>
    <w:rsid w:val="00A50247"/>
    <w:rsid w:val="00A5028B"/>
    <w:rsid w:val="00A507A0"/>
    <w:rsid w:val="00A51624"/>
    <w:rsid w:val="00A518C4"/>
    <w:rsid w:val="00A52653"/>
    <w:rsid w:val="00A52E18"/>
    <w:rsid w:val="00A52FDA"/>
    <w:rsid w:val="00A541DC"/>
    <w:rsid w:val="00A5470A"/>
    <w:rsid w:val="00A54AE8"/>
    <w:rsid w:val="00A555B6"/>
    <w:rsid w:val="00A558A2"/>
    <w:rsid w:val="00A55E16"/>
    <w:rsid w:val="00A55FA9"/>
    <w:rsid w:val="00A56240"/>
    <w:rsid w:val="00A56861"/>
    <w:rsid w:val="00A57BD9"/>
    <w:rsid w:val="00A602F3"/>
    <w:rsid w:val="00A622CD"/>
    <w:rsid w:val="00A624B9"/>
    <w:rsid w:val="00A6363F"/>
    <w:rsid w:val="00A64AA6"/>
    <w:rsid w:val="00A6526D"/>
    <w:rsid w:val="00A65654"/>
    <w:rsid w:val="00A65C52"/>
    <w:rsid w:val="00A6611B"/>
    <w:rsid w:val="00A661AD"/>
    <w:rsid w:val="00A66D6B"/>
    <w:rsid w:val="00A673C5"/>
    <w:rsid w:val="00A67C6A"/>
    <w:rsid w:val="00A70CCC"/>
    <w:rsid w:val="00A71575"/>
    <w:rsid w:val="00A716F6"/>
    <w:rsid w:val="00A72FA4"/>
    <w:rsid w:val="00A73186"/>
    <w:rsid w:val="00A732E8"/>
    <w:rsid w:val="00A733B3"/>
    <w:rsid w:val="00A757AF"/>
    <w:rsid w:val="00A76F6C"/>
    <w:rsid w:val="00A7712A"/>
    <w:rsid w:val="00A77523"/>
    <w:rsid w:val="00A779C7"/>
    <w:rsid w:val="00A77BEE"/>
    <w:rsid w:val="00A8058E"/>
    <w:rsid w:val="00A80C91"/>
    <w:rsid w:val="00A8103F"/>
    <w:rsid w:val="00A81C4F"/>
    <w:rsid w:val="00A81E79"/>
    <w:rsid w:val="00A81FBE"/>
    <w:rsid w:val="00A83D57"/>
    <w:rsid w:val="00A84390"/>
    <w:rsid w:val="00A85126"/>
    <w:rsid w:val="00A855BA"/>
    <w:rsid w:val="00A86B23"/>
    <w:rsid w:val="00A87FD8"/>
    <w:rsid w:val="00A9020B"/>
    <w:rsid w:val="00A9021A"/>
    <w:rsid w:val="00A90CDB"/>
    <w:rsid w:val="00A911CE"/>
    <w:rsid w:val="00A91F2D"/>
    <w:rsid w:val="00A923A5"/>
    <w:rsid w:val="00A92933"/>
    <w:rsid w:val="00A930F5"/>
    <w:rsid w:val="00A93A36"/>
    <w:rsid w:val="00A93AA2"/>
    <w:rsid w:val="00A94332"/>
    <w:rsid w:val="00A94C52"/>
    <w:rsid w:val="00A953C7"/>
    <w:rsid w:val="00A957D7"/>
    <w:rsid w:val="00A97649"/>
    <w:rsid w:val="00AA0BFA"/>
    <w:rsid w:val="00AA11B4"/>
    <w:rsid w:val="00AA1317"/>
    <w:rsid w:val="00AA16B2"/>
    <w:rsid w:val="00AA1A47"/>
    <w:rsid w:val="00AA1BCB"/>
    <w:rsid w:val="00AA2D33"/>
    <w:rsid w:val="00AA2DE7"/>
    <w:rsid w:val="00AA3343"/>
    <w:rsid w:val="00AA454B"/>
    <w:rsid w:val="00AA4CEC"/>
    <w:rsid w:val="00AA7DA1"/>
    <w:rsid w:val="00AA7DC8"/>
    <w:rsid w:val="00AB0DFB"/>
    <w:rsid w:val="00AB309F"/>
    <w:rsid w:val="00AB32B1"/>
    <w:rsid w:val="00AB3730"/>
    <w:rsid w:val="00AB3CC9"/>
    <w:rsid w:val="00AB43CD"/>
    <w:rsid w:val="00AB5293"/>
    <w:rsid w:val="00AB5990"/>
    <w:rsid w:val="00AB6D91"/>
    <w:rsid w:val="00AB6FBA"/>
    <w:rsid w:val="00AB7184"/>
    <w:rsid w:val="00AB7409"/>
    <w:rsid w:val="00AB7712"/>
    <w:rsid w:val="00AB7840"/>
    <w:rsid w:val="00AC06BB"/>
    <w:rsid w:val="00AC0815"/>
    <w:rsid w:val="00AC0C55"/>
    <w:rsid w:val="00AC1465"/>
    <w:rsid w:val="00AC241A"/>
    <w:rsid w:val="00AC2518"/>
    <w:rsid w:val="00AC2875"/>
    <w:rsid w:val="00AC2BCF"/>
    <w:rsid w:val="00AC2DB9"/>
    <w:rsid w:val="00AC2F11"/>
    <w:rsid w:val="00AC2FEC"/>
    <w:rsid w:val="00AC3028"/>
    <w:rsid w:val="00AC3207"/>
    <w:rsid w:val="00AC4580"/>
    <w:rsid w:val="00AC45D9"/>
    <w:rsid w:val="00AC5479"/>
    <w:rsid w:val="00AC59B0"/>
    <w:rsid w:val="00AC5AEF"/>
    <w:rsid w:val="00AC6295"/>
    <w:rsid w:val="00AC6A3A"/>
    <w:rsid w:val="00AC6C85"/>
    <w:rsid w:val="00AC7624"/>
    <w:rsid w:val="00AC7A5A"/>
    <w:rsid w:val="00AD064D"/>
    <w:rsid w:val="00AD0A6B"/>
    <w:rsid w:val="00AD0C53"/>
    <w:rsid w:val="00AD10AB"/>
    <w:rsid w:val="00AD139D"/>
    <w:rsid w:val="00AD1441"/>
    <w:rsid w:val="00AD17D6"/>
    <w:rsid w:val="00AD194A"/>
    <w:rsid w:val="00AD22EB"/>
    <w:rsid w:val="00AD2815"/>
    <w:rsid w:val="00AD29F4"/>
    <w:rsid w:val="00AD41FE"/>
    <w:rsid w:val="00AD4AE9"/>
    <w:rsid w:val="00AD58D5"/>
    <w:rsid w:val="00AD5DBF"/>
    <w:rsid w:val="00AD7B7F"/>
    <w:rsid w:val="00AE1511"/>
    <w:rsid w:val="00AE2B5A"/>
    <w:rsid w:val="00AE2E7F"/>
    <w:rsid w:val="00AE4205"/>
    <w:rsid w:val="00AE46BB"/>
    <w:rsid w:val="00AE4D4F"/>
    <w:rsid w:val="00AE59BA"/>
    <w:rsid w:val="00AE600D"/>
    <w:rsid w:val="00AE6119"/>
    <w:rsid w:val="00AE6D4B"/>
    <w:rsid w:val="00AE7279"/>
    <w:rsid w:val="00AE73D8"/>
    <w:rsid w:val="00AE7D0F"/>
    <w:rsid w:val="00AF0723"/>
    <w:rsid w:val="00AF0B46"/>
    <w:rsid w:val="00AF1273"/>
    <w:rsid w:val="00AF1FFB"/>
    <w:rsid w:val="00AF21FC"/>
    <w:rsid w:val="00AF4429"/>
    <w:rsid w:val="00AF4901"/>
    <w:rsid w:val="00AF49F7"/>
    <w:rsid w:val="00AF5EBB"/>
    <w:rsid w:val="00AF62F5"/>
    <w:rsid w:val="00AF70DC"/>
    <w:rsid w:val="00AF78BE"/>
    <w:rsid w:val="00AF7C52"/>
    <w:rsid w:val="00B00950"/>
    <w:rsid w:val="00B00AAC"/>
    <w:rsid w:val="00B00C5D"/>
    <w:rsid w:val="00B011B5"/>
    <w:rsid w:val="00B0183B"/>
    <w:rsid w:val="00B0208E"/>
    <w:rsid w:val="00B026CE"/>
    <w:rsid w:val="00B03227"/>
    <w:rsid w:val="00B03473"/>
    <w:rsid w:val="00B04519"/>
    <w:rsid w:val="00B052A8"/>
    <w:rsid w:val="00B05714"/>
    <w:rsid w:val="00B05C4A"/>
    <w:rsid w:val="00B0603B"/>
    <w:rsid w:val="00B06D5B"/>
    <w:rsid w:val="00B0733F"/>
    <w:rsid w:val="00B07532"/>
    <w:rsid w:val="00B076E9"/>
    <w:rsid w:val="00B10816"/>
    <w:rsid w:val="00B10D63"/>
    <w:rsid w:val="00B1182D"/>
    <w:rsid w:val="00B12D98"/>
    <w:rsid w:val="00B13BD3"/>
    <w:rsid w:val="00B13DC6"/>
    <w:rsid w:val="00B13E6B"/>
    <w:rsid w:val="00B14377"/>
    <w:rsid w:val="00B145C1"/>
    <w:rsid w:val="00B14B9B"/>
    <w:rsid w:val="00B14FDC"/>
    <w:rsid w:val="00B155BE"/>
    <w:rsid w:val="00B15C66"/>
    <w:rsid w:val="00B16187"/>
    <w:rsid w:val="00B16D58"/>
    <w:rsid w:val="00B173DE"/>
    <w:rsid w:val="00B176BE"/>
    <w:rsid w:val="00B203D1"/>
    <w:rsid w:val="00B20639"/>
    <w:rsid w:val="00B206FB"/>
    <w:rsid w:val="00B210FD"/>
    <w:rsid w:val="00B21B8A"/>
    <w:rsid w:val="00B22589"/>
    <w:rsid w:val="00B22C5B"/>
    <w:rsid w:val="00B22CA5"/>
    <w:rsid w:val="00B23423"/>
    <w:rsid w:val="00B24F18"/>
    <w:rsid w:val="00B259DE"/>
    <w:rsid w:val="00B26497"/>
    <w:rsid w:val="00B26540"/>
    <w:rsid w:val="00B265B4"/>
    <w:rsid w:val="00B26956"/>
    <w:rsid w:val="00B26BD3"/>
    <w:rsid w:val="00B27FEC"/>
    <w:rsid w:val="00B3038C"/>
    <w:rsid w:val="00B30482"/>
    <w:rsid w:val="00B3082B"/>
    <w:rsid w:val="00B3172D"/>
    <w:rsid w:val="00B3187E"/>
    <w:rsid w:val="00B3219C"/>
    <w:rsid w:val="00B32200"/>
    <w:rsid w:val="00B3398C"/>
    <w:rsid w:val="00B33B0A"/>
    <w:rsid w:val="00B3411B"/>
    <w:rsid w:val="00B34919"/>
    <w:rsid w:val="00B3517C"/>
    <w:rsid w:val="00B352AF"/>
    <w:rsid w:val="00B35ED3"/>
    <w:rsid w:val="00B36A4E"/>
    <w:rsid w:val="00B36C6A"/>
    <w:rsid w:val="00B401C1"/>
    <w:rsid w:val="00B412D0"/>
    <w:rsid w:val="00B41872"/>
    <w:rsid w:val="00B41CE2"/>
    <w:rsid w:val="00B420DC"/>
    <w:rsid w:val="00B42490"/>
    <w:rsid w:val="00B4375D"/>
    <w:rsid w:val="00B43EA8"/>
    <w:rsid w:val="00B44A9A"/>
    <w:rsid w:val="00B45AA1"/>
    <w:rsid w:val="00B45D17"/>
    <w:rsid w:val="00B46749"/>
    <w:rsid w:val="00B47C2B"/>
    <w:rsid w:val="00B47CDE"/>
    <w:rsid w:val="00B5076A"/>
    <w:rsid w:val="00B51114"/>
    <w:rsid w:val="00B51259"/>
    <w:rsid w:val="00B51F67"/>
    <w:rsid w:val="00B52118"/>
    <w:rsid w:val="00B52A88"/>
    <w:rsid w:val="00B52E5B"/>
    <w:rsid w:val="00B52FC2"/>
    <w:rsid w:val="00B5335A"/>
    <w:rsid w:val="00B53517"/>
    <w:rsid w:val="00B5386C"/>
    <w:rsid w:val="00B54571"/>
    <w:rsid w:val="00B55946"/>
    <w:rsid w:val="00B601CB"/>
    <w:rsid w:val="00B60EFA"/>
    <w:rsid w:val="00B615EE"/>
    <w:rsid w:val="00B62A42"/>
    <w:rsid w:val="00B63DF8"/>
    <w:rsid w:val="00B65240"/>
    <w:rsid w:val="00B65345"/>
    <w:rsid w:val="00B653FB"/>
    <w:rsid w:val="00B66D08"/>
    <w:rsid w:val="00B677FB"/>
    <w:rsid w:val="00B714B3"/>
    <w:rsid w:val="00B71721"/>
    <w:rsid w:val="00B71DE1"/>
    <w:rsid w:val="00B730D4"/>
    <w:rsid w:val="00B741B3"/>
    <w:rsid w:val="00B74A4D"/>
    <w:rsid w:val="00B74DCC"/>
    <w:rsid w:val="00B75044"/>
    <w:rsid w:val="00B75721"/>
    <w:rsid w:val="00B75F6A"/>
    <w:rsid w:val="00B76FAD"/>
    <w:rsid w:val="00B77198"/>
    <w:rsid w:val="00B77353"/>
    <w:rsid w:val="00B774B3"/>
    <w:rsid w:val="00B80038"/>
    <w:rsid w:val="00B80CB6"/>
    <w:rsid w:val="00B80F41"/>
    <w:rsid w:val="00B8187D"/>
    <w:rsid w:val="00B81AEB"/>
    <w:rsid w:val="00B82CF7"/>
    <w:rsid w:val="00B82DB0"/>
    <w:rsid w:val="00B8337C"/>
    <w:rsid w:val="00B83797"/>
    <w:rsid w:val="00B83814"/>
    <w:rsid w:val="00B83DF4"/>
    <w:rsid w:val="00B84162"/>
    <w:rsid w:val="00B84AA3"/>
    <w:rsid w:val="00B84E1C"/>
    <w:rsid w:val="00B855AE"/>
    <w:rsid w:val="00B85EAF"/>
    <w:rsid w:val="00B8692E"/>
    <w:rsid w:val="00B86D6D"/>
    <w:rsid w:val="00B8750F"/>
    <w:rsid w:val="00B9067C"/>
    <w:rsid w:val="00B9069B"/>
    <w:rsid w:val="00B90782"/>
    <w:rsid w:val="00B92FA1"/>
    <w:rsid w:val="00B93819"/>
    <w:rsid w:val="00B93A82"/>
    <w:rsid w:val="00B93F0E"/>
    <w:rsid w:val="00B940A0"/>
    <w:rsid w:val="00B946A0"/>
    <w:rsid w:val="00B95F7F"/>
    <w:rsid w:val="00B9612F"/>
    <w:rsid w:val="00B96AD8"/>
    <w:rsid w:val="00B977C3"/>
    <w:rsid w:val="00B97F15"/>
    <w:rsid w:val="00BA025B"/>
    <w:rsid w:val="00BA08B3"/>
    <w:rsid w:val="00BA09E1"/>
    <w:rsid w:val="00BA1DF7"/>
    <w:rsid w:val="00BA2502"/>
    <w:rsid w:val="00BA26B3"/>
    <w:rsid w:val="00BA29E1"/>
    <w:rsid w:val="00BA2D9F"/>
    <w:rsid w:val="00BA411D"/>
    <w:rsid w:val="00BA48D2"/>
    <w:rsid w:val="00BA5456"/>
    <w:rsid w:val="00BA5572"/>
    <w:rsid w:val="00BA5CBF"/>
    <w:rsid w:val="00BA6861"/>
    <w:rsid w:val="00BA6BC3"/>
    <w:rsid w:val="00BA7031"/>
    <w:rsid w:val="00BA7901"/>
    <w:rsid w:val="00BA7F39"/>
    <w:rsid w:val="00BB02CF"/>
    <w:rsid w:val="00BB02D1"/>
    <w:rsid w:val="00BB115E"/>
    <w:rsid w:val="00BB1F97"/>
    <w:rsid w:val="00BB203A"/>
    <w:rsid w:val="00BB2064"/>
    <w:rsid w:val="00BB3518"/>
    <w:rsid w:val="00BB3559"/>
    <w:rsid w:val="00BB5146"/>
    <w:rsid w:val="00BB5A86"/>
    <w:rsid w:val="00BB5AE8"/>
    <w:rsid w:val="00BB6AF7"/>
    <w:rsid w:val="00BB6BAF"/>
    <w:rsid w:val="00BB7844"/>
    <w:rsid w:val="00BC09AC"/>
    <w:rsid w:val="00BC267F"/>
    <w:rsid w:val="00BC2710"/>
    <w:rsid w:val="00BC2A99"/>
    <w:rsid w:val="00BC350B"/>
    <w:rsid w:val="00BC413D"/>
    <w:rsid w:val="00BC6766"/>
    <w:rsid w:val="00BC7D57"/>
    <w:rsid w:val="00BD1367"/>
    <w:rsid w:val="00BD1E0D"/>
    <w:rsid w:val="00BD2739"/>
    <w:rsid w:val="00BD2A9A"/>
    <w:rsid w:val="00BD344B"/>
    <w:rsid w:val="00BD4216"/>
    <w:rsid w:val="00BD430F"/>
    <w:rsid w:val="00BD4631"/>
    <w:rsid w:val="00BD4B36"/>
    <w:rsid w:val="00BD7135"/>
    <w:rsid w:val="00BD77F7"/>
    <w:rsid w:val="00BE09F2"/>
    <w:rsid w:val="00BE1002"/>
    <w:rsid w:val="00BE10D0"/>
    <w:rsid w:val="00BE10F6"/>
    <w:rsid w:val="00BE191D"/>
    <w:rsid w:val="00BE2149"/>
    <w:rsid w:val="00BE3A69"/>
    <w:rsid w:val="00BE3C46"/>
    <w:rsid w:val="00BE3E76"/>
    <w:rsid w:val="00BE4863"/>
    <w:rsid w:val="00BE4C65"/>
    <w:rsid w:val="00BE4FC2"/>
    <w:rsid w:val="00BE644D"/>
    <w:rsid w:val="00BE7E4F"/>
    <w:rsid w:val="00BF0659"/>
    <w:rsid w:val="00BF11F7"/>
    <w:rsid w:val="00BF16A3"/>
    <w:rsid w:val="00BF1816"/>
    <w:rsid w:val="00BF1919"/>
    <w:rsid w:val="00BF19DF"/>
    <w:rsid w:val="00BF284F"/>
    <w:rsid w:val="00BF304A"/>
    <w:rsid w:val="00BF35E1"/>
    <w:rsid w:val="00BF4040"/>
    <w:rsid w:val="00BF4B3A"/>
    <w:rsid w:val="00BF5B9F"/>
    <w:rsid w:val="00BF5D39"/>
    <w:rsid w:val="00BF6119"/>
    <w:rsid w:val="00BF67E9"/>
    <w:rsid w:val="00BF6BD8"/>
    <w:rsid w:val="00C0116C"/>
    <w:rsid w:val="00C01614"/>
    <w:rsid w:val="00C01D75"/>
    <w:rsid w:val="00C0200A"/>
    <w:rsid w:val="00C02160"/>
    <w:rsid w:val="00C024D9"/>
    <w:rsid w:val="00C0306E"/>
    <w:rsid w:val="00C031B5"/>
    <w:rsid w:val="00C03D51"/>
    <w:rsid w:val="00C03F4F"/>
    <w:rsid w:val="00C04820"/>
    <w:rsid w:val="00C048A3"/>
    <w:rsid w:val="00C04B90"/>
    <w:rsid w:val="00C052F2"/>
    <w:rsid w:val="00C05973"/>
    <w:rsid w:val="00C0641D"/>
    <w:rsid w:val="00C06DFD"/>
    <w:rsid w:val="00C07705"/>
    <w:rsid w:val="00C13B0D"/>
    <w:rsid w:val="00C13F88"/>
    <w:rsid w:val="00C14E04"/>
    <w:rsid w:val="00C1612B"/>
    <w:rsid w:val="00C1680A"/>
    <w:rsid w:val="00C1795B"/>
    <w:rsid w:val="00C17F62"/>
    <w:rsid w:val="00C20527"/>
    <w:rsid w:val="00C20571"/>
    <w:rsid w:val="00C20924"/>
    <w:rsid w:val="00C2140E"/>
    <w:rsid w:val="00C21E23"/>
    <w:rsid w:val="00C21EE4"/>
    <w:rsid w:val="00C22100"/>
    <w:rsid w:val="00C2225F"/>
    <w:rsid w:val="00C23409"/>
    <w:rsid w:val="00C23C07"/>
    <w:rsid w:val="00C243A4"/>
    <w:rsid w:val="00C2475D"/>
    <w:rsid w:val="00C24835"/>
    <w:rsid w:val="00C250A7"/>
    <w:rsid w:val="00C26B0C"/>
    <w:rsid w:val="00C27E1E"/>
    <w:rsid w:val="00C27E3A"/>
    <w:rsid w:val="00C300AA"/>
    <w:rsid w:val="00C300FE"/>
    <w:rsid w:val="00C30169"/>
    <w:rsid w:val="00C30217"/>
    <w:rsid w:val="00C30FE1"/>
    <w:rsid w:val="00C311EA"/>
    <w:rsid w:val="00C31740"/>
    <w:rsid w:val="00C31B09"/>
    <w:rsid w:val="00C31C1F"/>
    <w:rsid w:val="00C31C4A"/>
    <w:rsid w:val="00C32BB8"/>
    <w:rsid w:val="00C32E1C"/>
    <w:rsid w:val="00C330FC"/>
    <w:rsid w:val="00C33A9B"/>
    <w:rsid w:val="00C40207"/>
    <w:rsid w:val="00C40F63"/>
    <w:rsid w:val="00C41F27"/>
    <w:rsid w:val="00C4229F"/>
    <w:rsid w:val="00C42DA3"/>
    <w:rsid w:val="00C42F80"/>
    <w:rsid w:val="00C43147"/>
    <w:rsid w:val="00C431BD"/>
    <w:rsid w:val="00C43B58"/>
    <w:rsid w:val="00C43D4A"/>
    <w:rsid w:val="00C4491B"/>
    <w:rsid w:val="00C46D30"/>
    <w:rsid w:val="00C46FDA"/>
    <w:rsid w:val="00C477AC"/>
    <w:rsid w:val="00C47944"/>
    <w:rsid w:val="00C508FF"/>
    <w:rsid w:val="00C50A7C"/>
    <w:rsid w:val="00C50D47"/>
    <w:rsid w:val="00C5125A"/>
    <w:rsid w:val="00C5162B"/>
    <w:rsid w:val="00C51B26"/>
    <w:rsid w:val="00C52421"/>
    <w:rsid w:val="00C525F9"/>
    <w:rsid w:val="00C52C55"/>
    <w:rsid w:val="00C54035"/>
    <w:rsid w:val="00C5427F"/>
    <w:rsid w:val="00C55D35"/>
    <w:rsid w:val="00C56895"/>
    <w:rsid w:val="00C5790A"/>
    <w:rsid w:val="00C61512"/>
    <w:rsid w:val="00C6187A"/>
    <w:rsid w:val="00C6343C"/>
    <w:rsid w:val="00C63644"/>
    <w:rsid w:val="00C63CFE"/>
    <w:rsid w:val="00C6477B"/>
    <w:rsid w:val="00C647DB"/>
    <w:rsid w:val="00C64B6D"/>
    <w:rsid w:val="00C64F20"/>
    <w:rsid w:val="00C65DF2"/>
    <w:rsid w:val="00C65FFA"/>
    <w:rsid w:val="00C663BC"/>
    <w:rsid w:val="00C6655C"/>
    <w:rsid w:val="00C667C2"/>
    <w:rsid w:val="00C6702A"/>
    <w:rsid w:val="00C67199"/>
    <w:rsid w:val="00C67C83"/>
    <w:rsid w:val="00C708AA"/>
    <w:rsid w:val="00C717B0"/>
    <w:rsid w:val="00C72557"/>
    <w:rsid w:val="00C72635"/>
    <w:rsid w:val="00C73154"/>
    <w:rsid w:val="00C750EA"/>
    <w:rsid w:val="00C77710"/>
    <w:rsid w:val="00C80600"/>
    <w:rsid w:val="00C808AB"/>
    <w:rsid w:val="00C81A2C"/>
    <w:rsid w:val="00C81BDB"/>
    <w:rsid w:val="00C82234"/>
    <w:rsid w:val="00C826CE"/>
    <w:rsid w:val="00C8418E"/>
    <w:rsid w:val="00C8432D"/>
    <w:rsid w:val="00C845E7"/>
    <w:rsid w:val="00C85096"/>
    <w:rsid w:val="00C86723"/>
    <w:rsid w:val="00C86E44"/>
    <w:rsid w:val="00C871B0"/>
    <w:rsid w:val="00C9114C"/>
    <w:rsid w:val="00C913B6"/>
    <w:rsid w:val="00C93A9C"/>
    <w:rsid w:val="00C94F63"/>
    <w:rsid w:val="00C95CC5"/>
    <w:rsid w:val="00C960AD"/>
    <w:rsid w:val="00C964D0"/>
    <w:rsid w:val="00C965D0"/>
    <w:rsid w:val="00C96D75"/>
    <w:rsid w:val="00C97007"/>
    <w:rsid w:val="00C97634"/>
    <w:rsid w:val="00C97D35"/>
    <w:rsid w:val="00CA0354"/>
    <w:rsid w:val="00CA0AE0"/>
    <w:rsid w:val="00CA1512"/>
    <w:rsid w:val="00CA2249"/>
    <w:rsid w:val="00CA2C8F"/>
    <w:rsid w:val="00CA4B94"/>
    <w:rsid w:val="00CA5A35"/>
    <w:rsid w:val="00CA5B3D"/>
    <w:rsid w:val="00CA5D01"/>
    <w:rsid w:val="00CA5E35"/>
    <w:rsid w:val="00CA61E9"/>
    <w:rsid w:val="00CA726A"/>
    <w:rsid w:val="00CA727F"/>
    <w:rsid w:val="00CA784C"/>
    <w:rsid w:val="00CA7864"/>
    <w:rsid w:val="00CB14D1"/>
    <w:rsid w:val="00CB14E5"/>
    <w:rsid w:val="00CB165F"/>
    <w:rsid w:val="00CB196D"/>
    <w:rsid w:val="00CB1A3A"/>
    <w:rsid w:val="00CB1B5D"/>
    <w:rsid w:val="00CB2437"/>
    <w:rsid w:val="00CB2A87"/>
    <w:rsid w:val="00CB3AC8"/>
    <w:rsid w:val="00CB3CF2"/>
    <w:rsid w:val="00CB48E4"/>
    <w:rsid w:val="00CB5059"/>
    <w:rsid w:val="00CB5627"/>
    <w:rsid w:val="00CB5954"/>
    <w:rsid w:val="00CB5FFF"/>
    <w:rsid w:val="00CB6E58"/>
    <w:rsid w:val="00CB72E3"/>
    <w:rsid w:val="00CB7FAE"/>
    <w:rsid w:val="00CC0295"/>
    <w:rsid w:val="00CC11FF"/>
    <w:rsid w:val="00CC14CC"/>
    <w:rsid w:val="00CC1C6B"/>
    <w:rsid w:val="00CC2120"/>
    <w:rsid w:val="00CC222A"/>
    <w:rsid w:val="00CC387B"/>
    <w:rsid w:val="00CC3FF3"/>
    <w:rsid w:val="00CC415D"/>
    <w:rsid w:val="00CC425C"/>
    <w:rsid w:val="00CC5649"/>
    <w:rsid w:val="00CC62CA"/>
    <w:rsid w:val="00CC738F"/>
    <w:rsid w:val="00CC7A49"/>
    <w:rsid w:val="00CC7B8C"/>
    <w:rsid w:val="00CC7E09"/>
    <w:rsid w:val="00CD00D6"/>
    <w:rsid w:val="00CD02E0"/>
    <w:rsid w:val="00CD037E"/>
    <w:rsid w:val="00CD0CDE"/>
    <w:rsid w:val="00CD1E8A"/>
    <w:rsid w:val="00CD2858"/>
    <w:rsid w:val="00CD2A71"/>
    <w:rsid w:val="00CD2BB9"/>
    <w:rsid w:val="00CD334C"/>
    <w:rsid w:val="00CD35DE"/>
    <w:rsid w:val="00CD7173"/>
    <w:rsid w:val="00CD7887"/>
    <w:rsid w:val="00CE03DA"/>
    <w:rsid w:val="00CE0BA1"/>
    <w:rsid w:val="00CE1749"/>
    <w:rsid w:val="00CE1FE6"/>
    <w:rsid w:val="00CE208D"/>
    <w:rsid w:val="00CE26BC"/>
    <w:rsid w:val="00CE2970"/>
    <w:rsid w:val="00CE3646"/>
    <w:rsid w:val="00CE3A2F"/>
    <w:rsid w:val="00CE3C17"/>
    <w:rsid w:val="00CE4923"/>
    <w:rsid w:val="00CE4975"/>
    <w:rsid w:val="00CE4E6C"/>
    <w:rsid w:val="00CE6823"/>
    <w:rsid w:val="00CE6E7F"/>
    <w:rsid w:val="00CE71DE"/>
    <w:rsid w:val="00CE75C5"/>
    <w:rsid w:val="00CE7BCA"/>
    <w:rsid w:val="00CF097B"/>
    <w:rsid w:val="00CF3289"/>
    <w:rsid w:val="00CF374C"/>
    <w:rsid w:val="00CF3D1A"/>
    <w:rsid w:val="00CF3FD0"/>
    <w:rsid w:val="00CF4C69"/>
    <w:rsid w:val="00CF5290"/>
    <w:rsid w:val="00CF52A8"/>
    <w:rsid w:val="00CF6A3C"/>
    <w:rsid w:val="00CF6B03"/>
    <w:rsid w:val="00CF6C73"/>
    <w:rsid w:val="00CF6D22"/>
    <w:rsid w:val="00CF6F8F"/>
    <w:rsid w:val="00CF7399"/>
    <w:rsid w:val="00CF75B2"/>
    <w:rsid w:val="00D001CB"/>
    <w:rsid w:val="00D00D99"/>
    <w:rsid w:val="00D01237"/>
    <w:rsid w:val="00D014DB"/>
    <w:rsid w:val="00D01DEE"/>
    <w:rsid w:val="00D02D7C"/>
    <w:rsid w:val="00D03CAD"/>
    <w:rsid w:val="00D0400A"/>
    <w:rsid w:val="00D04E8D"/>
    <w:rsid w:val="00D05772"/>
    <w:rsid w:val="00D06056"/>
    <w:rsid w:val="00D111C0"/>
    <w:rsid w:val="00D1151F"/>
    <w:rsid w:val="00D116C3"/>
    <w:rsid w:val="00D1179C"/>
    <w:rsid w:val="00D11E67"/>
    <w:rsid w:val="00D12795"/>
    <w:rsid w:val="00D13351"/>
    <w:rsid w:val="00D165C7"/>
    <w:rsid w:val="00D1712E"/>
    <w:rsid w:val="00D17235"/>
    <w:rsid w:val="00D1799F"/>
    <w:rsid w:val="00D17D3A"/>
    <w:rsid w:val="00D17E78"/>
    <w:rsid w:val="00D17ED1"/>
    <w:rsid w:val="00D2098B"/>
    <w:rsid w:val="00D20EAB"/>
    <w:rsid w:val="00D20F98"/>
    <w:rsid w:val="00D21035"/>
    <w:rsid w:val="00D21621"/>
    <w:rsid w:val="00D22255"/>
    <w:rsid w:val="00D22A7E"/>
    <w:rsid w:val="00D23520"/>
    <w:rsid w:val="00D23932"/>
    <w:rsid w:val="00D24D2C"/>
    <w:rsid w:val="00D25AF3"/>
    <w:rsid w:val="00D26107"/>
    <w:rsid w:val="00D301E1"/>
    <w:rsid w:val="00D303C3"/>
    <w:rsid w:val="00D30856"/>
    <w:rsid w:val="00D30DDF"/>
    <w:rsid w:val="00D31B56"/>
    <w:rsid w:val="00D31EE7"/>
    <w:rsid w:val="00D32E50"/>
    <w:rsid w:val="00D338CA"/>
    <w:rsid w:val="00D340E1"/>
    <w:rsid w:val="00D34CCA"/>
    <w:rsid w:val="00D369F3"/>
    <w:rsid w:val="00D378DF"/>
    <w:rsid w:val="00D37E94"/>
    <w:rsid w:val="00D407F5"/>
    <w:rsid w:val="00D4120A"/>
    <w:rsid w:val="00D41554"/>
    <w:rsid w:val="00D419B6"/>
    <w:rsid w:val="00D42A92"/>
    <w:rsid w:val="00D43F3F"/>
    <w:rsid w:val="00D44B45"/>
    <w:rsid w:val="00D45344"/>
    <w:rsid w:val="00D45782"/>
    <w:rsid w:val="00D45A66"/>
    <w:rsid w:val="00D47488"/>
    <w:rsid w:val="00D474F2"/>
    <w:rsid w:val="00D477F3"/>
    <w:rsid w:val="00D47945"/>
    <w:rsid w:val="00D5092D"/>
    <w:rsid w:val="00D515C8"/>
    <w:rsid w:val="00D52DF3"/>
    <w:rsid w:val="00D53340"/>
    <w:rsid w:val="00D53411"/>
    <w:rsid w:val="00D54138"/>
    <w:rsid w:val="00D56270"/>
    <w:rsid w:val="00D56AA3"/>
    <w:rsid w:val="00D573D6"/>
    <w:rsid w:val="00D5743C"/>
    <w:rsid w:val="00D57C13"/>
    <w:rsid w:val="00D60187"/>
    <w:rsid w:val="00D6020A"/>
    <w:rsid w:val="00D60728"/>
    <w:rsid w:val="00D60A1D"/>
    <w:rsid w:val="00D61C9E"/>
    <w:rsid w:val="00D61D47"/>
    <w:rsid w:val="00D633CF"/>
    <w:rsid w:val="00D636B5"/>
    <w:rsid w:val="00D63882"/>
    <w:rsid w:val="00D640B6"/>
    <w:rsid w:val="00D6444C"/>
    <w:rsid w:val="00D64988"/>
    <w:rsid w:val="00D64AD5"/>
    <w:rsid w:val="00D65FE3"/>
    <w:rsid w:val="00D66830"/>
    <w:rsid w:val="00D6687C"/>
    <w:rsid w:val="00D66F1E"/>
    <w:rsid w:val="00D672FC"/>
    <w:rsid w:val="00D70F4E"/>
    <w:rsid w:val="00D70F64"/>
    <w:rsid w:val="00D71418"/>
    <w:rsid w:val="00D71592"/>
    <w:rsid w:val="00D71901"/>
    <w:rsid w:val="00D71EE0"/>
    <w:rsid w:val="00D7214F"/>
    <w:rsid w:val="00D7265A"/>
    <w:rsid w:val="00D72939"/>
    <w:rsid w:val="00D72D00"/>
    <w:rsid w:val="00D73E9B"/>
    <w:rsid w:val="00D74FFA"/>
    <w:rsid w:val="00D758A2"/>
    <w:rsid w:val="00D75A97"/>
    <w:rsid w:val="00D7601C"/>
    <w:rsid w:val="00D7605C"/>
    <w:rsid w:val="00D7644B"/>
    <w:rsid w:val="00D76482"/>
    <w:rsid w:val="00D770DC"/>
    <w:rsid w:val="00D82C08"/>
    <w:rsid w:val="00D83A0E"/>
    <w:rsid w:val="00D84762"/>
    <w:rsid w:val="00D8498E"/>
    <w:rsid w:val="00D85C5F"/>
    <w:rsid w:val="00D86073"/>
    <w:rsid w:val="00D8677B"/>
    <w:rsid w:val="00D86B97"/>
    <w:rsid w:val="00D86C02"/>
    <w:rsid w:val="00D87312"/>
    <w:rsid w:val="00D87367"/>
    <w:rsid w:val="00D87C5C"/>
    <w:rsid w:val="00D90141"/>
    <w:rsid w:val="00D90227"/>
    <w:rsid w:val="00D9041A"/>
    <w:rsid w:val="00D904EF"/>
    <w:rsid w:val="00D91096"/>
    <w:rsid w:val="00D9180B"/>
    <w:rsid w:val="00D927E8"/>
    <w:rsid w:val="00D928C1"/>
    <w:rsid w:val="00D92B94"/>
    <w:rsid w:val="00D9331F"/>
    <w:rsid w:val="00D93DBE"/>
    <w:rsid w:val="00D93F09"/>
    <w:rsid w:val="00D95214"/>
    <w:rsid w:val="00D978A3"/>
    <w:rsid w:val="00D97929"/>
    <w:rsid w:val="00D97978"/>
    <w:rsid w:val="00D97BC2"/>
    <w:rsid w:val="00DA0BC7"/>
    <w:rsid w:val="00DA0E75"/>
    <w:rsid w:val="00DA1BC6"/>
    <w:rsid w:val="00DA4242"/>
    <w:rsid w:val="00DA4246"/>
    <w:rsid w:val="00DA529C"/>
    <w:rsid w:val="00DA5AFA"/>
    <w:rsid w:val="00DA68DD"/>
    <w:rsid w:val="00DA6A5E"/>
    <w:rsid w:val="00DB00E3"/>
    <w:rsid w:val="00DB0B43"/>
    <w:rsid w:val="00DB2295"/>
    <w:rsid w:val="00DB257E"/>
    <w:rsid w:val="00DB2A65"/>
    <w:rsid w:val="00DB2DEF"/>
    <w:rsid w:val="00DB2F59"/>
    <w:rsid w:val="00DB36AF"/>
    <w:rsid w:val="00DB42A7"/>
    <w:rsid w:val="00DB498E"/>
    <w:rsid w:val="00DB530D"/>
    <w:rsid w:val="00DB5459"/>
    <w:rsid w:val="00DB5CC1"/>
    <w:rsid w:val="00DB5FEE"/>
    <w:rsid w:val="00DB647C"/>
    <w:rsid w:val="00DB69B9"/>
    <w:rsid w:val="00DB71CD"/>
    <w:rsid w:val="00DB7C9E"/>
    <w:rsid w:val="00DB7EEA"/>
    <w:rsid w:val="00DC1190"/>
    <w:rsid w:val="00DC26EE"/>
    <w:rsid w:val="00DC275D"/>
    <w:rsid w:val="00DC374C"/>
    <w:rsid w:val="00DC4034"/>
    <w:rsid w:val="00DC46BF"/>
    <w:rsid w:val="00DC5105"/>
    <w:rsid w:val="00DC5693"/>
    <w:rsid w:val="00DC70D7"/>
    <w:rsid w:val="00DC70EA"/>
    <w:rsid w:val="00DC7CA3"/>
    <w:rsid w:val="00DC7E27"/>
    <w:rsid w:val="00DD04B6"/>
    <w:rsid w:val="00DD0E54"/>
    <w:rsid w:val="00DD1C6D"/>
    <w:rsid w:val="00DD258F"/>
    <w:rsid w:val="00DD2E93"/>
    <w:rsid w:val="00DD381B"/>
    <w:rsid w:val="00DD3C8C"/>
    <w:rsid w:val="00DD4854"/>
    <w:rsid w:val="00DD4A4E"/>
    <w:rsid w:val="00DD54A2"/>
    <w:rsid w:val="00DD65FC"/>
    <w:rsid w:val="00DD69D5"/>
    <w:rsid w:val="00DD7048"/>
    <w:rsid w:val="00DD7999"/>
    <w:rsid w:val="00DE09A6"/>
    <w:rsid w:val="00DE0B02"/>
    <w:rsid w:val="00DE0CB2"/>
    <w:rsid w:val="00DE1270"/>
    <w:rsid w:val="00DE20D7"/>
    <w:rsid w:val="00DE347D"/>
    <w:rsid w:val="00DE3BEB"/>
    <w:rsid w:val="00DE4282"/>
    <w:rsid w:val="00DE496E"/>
    <w:rsid w:val="00DE4FE1"/>
    <w:rsid w:val="00DE616C"/>
    <w:rsid w:val="00DE619A"/>
    <w:rsid w:val="00DE6AE9"/>
    <w:rsid w:val="00DE6BD4"/>
    <w:rsid w:val="00DE7301"/>
    <w:rsid w:val="00DE78A9"/>
    <w:rsid w:val="00DF0334"/>
    <w:rsid w:val="00DF071B"/>
    <w:rsid w:val="00DF0B94"/>
    <w:rsid w:val="00DF0D8B"/>
    <w:rsid w:val="00DF1493"/>
    <w:rsid w:val="00DF14EB"/>
    <w:rsid w:val="00DF1540"/>
    <w:rsid w:val="00DF15F1"/>
    <w:rsid w:val="00DF2569"/>
    <w:rsid w:val="00DF27DB"/>
    <w:rsid w:val="00DF306F"/>
    <w:rsid w:val="00DF39E5"/>
    <w:rsid w:val="00DF3B18"/>
    <w:rsid w:val="00DF3FFB"/>
    <w:rsid w:val="00DF428A"/>
    <w:rsid w:val="00DF44A2"/>
    <w:rsid w:val="00DF4584"/>
    <w:rsid w:val="00DF4767"/>
    <w:rsid w:val="00DF581E"/>
    <w:rsid w:val="00DF5D3D"/>
    <w:rsid w:val="00DF66BC"/>
    <w:rsid w:val="00DF6C65"/>
    <w:rsid w:val="00DF706C"/>
    <w:rsid w:val="00DF7D89"/>
    <w:rsid w:val="00E0095D"/>
    <w:rsid w:val="00E00DF4"/>
    <w:rsid w:val="00E0165C"/>
    <w:rsid w:val="00E038A7"/>
    <w:rsid w:val="00E039AC"/>
    <w:rsid w:val="00E03BD3"/>
    <w:rsid w:val="00E04756"/>
    <w:rsid w:val="00E04DEC"/>
    <w:rsid w:val="00E0599D"/>
    <w:rsid w:val="00E065AD"/>
    <w:rsid w:val="00E06637"/>
    <w:rsid w:val="00E06660"/>
    <w:rsid w:val="00E07011"/>
    <w:rsid w:val="00E07046"/>
    <w:rsid w:val="00E0776D"/>
    <w:rsid w:val="00E077EF"/>
    <w:rsid w:val="00E078F8"/>
    <w:rsid w:val="00E07B05"/>
    <w:rsid w:val="00E07C07"/>
    <w:rsid w:val="00E07CFF"/>
    <w:rsid w:val="00E10E75"/>
    <w:rsid w:val="00E119C6"/>
    <w:rsid w:val="00E121DB"/>
    <w:rsid w:val="00E12523"/>
    <w:rsid w:val="00E127E0"/>
    <w:rsid w:val="00E12FAE"/>
    <w:rsid w:val="00E13229"/>
    <w:rsid w:val="00E136B2"/>
    <w:rsid w:val="00E14ECF"/>
    <w:rsid w:val="00E15176"/>
    <w:rsid w:val="00E158A6"/>
    <w:rsid w:val="00E16538"/>
    <w:rsid w:val="00E17104"/>
    <w:rsid w:val="00E178BA"/>
    <w:rsid w:val="00E20EAB"/>
    <w:rsid w:val="00E21B2C"/>
    <w:rsid w:val="00E21DAC"/>
    <w:rsid w:val="00E2458D"/>
    <w:rsid w:val="00E25B0C"/>
    <w:rsid w:val="00E26072"/>
    <w:rsid w:val="00E31513"/>
    <w:rsid w:val="00E322F6"/>
    <w:rsid w:val="00E32718"/>
    <w:rsid w:val="00E33C7A"/>
    <w:rsid w:val="00E33DA7"/>
    <w:rsid w:val="00E35373"/>
    <w:rsid w:val="00E3556E"/>
    <w:rsid w:val="00E363EA"/>
    <w:rsid w:val="00E364E6"/>
    <w:rsid w:val="00E40F40"/>
    <w:rsid w:val="00E41BCE"/>
    <w:rsid w:val="00E42573"/>
    <w:rsid w:val="00E42BC2"/>
    <w:rsid w:val="00E43825"/>
    <w:rsid w:val="00E442F4"/>
    <w:rsid w:val="00E444D2"/>
    <w:rsid w:val="00E44589"/>
    <w:rsid w:val="00E44F6E"/>
    <w:rsid w:val="00E45390"/>
    <w:rsid w:val="00E4555F"/>
    <w:rsid w:val="00E45700"/>
    <w:rsid w:val="00E4688E"/>
    <w:rsid w:val="00E5003A"/>
    <w:rsid w:val="00E51CAA"/>
    <w:rsid w:val="00E533B9"/>
    <w:rsid w:val="00E5406E"/>
    <w:rsid w:val="00E560E7"/>
    <w:rsid w:val="00E57780"/>
    <w:rsid w:val="00E60110"/>
    <w:rsid w:val="00E6032D"/>
    <w:rsid w:val="00E612E2"/>
    <w:rsid w:val="00E61CA6"/>
    <w:rsid w:val="00E61CD0"/>
    <w:rsid w:val="00E62508"/>
    <w:rsid w:val="00E62DE3"/>
    <w:rsid w:val="00E63DA0"/>
    <w:rsid w:val="00E6474D"/>
    <w:rsid w:val="00E6492D"/>
    <w:rsid w:val="00E64A3F"/>
    <w:rsid w:val="00E6585F"/>
    <w:rsid w:val="00E66CD0"/>
    <w:rsid w:val="00E67F1E"/>
    <w:rsid w:val="00E7016B"/>
    <w:rsid w:val="00E71A36"/>
    <w:rsid w:val="00E72AD2"/>
    <w:rsid w:val="00E72DE7"/>
    <w:rsid w:val="00E73D7F"/>
    <w:rsid w:val="00E745F6"/>
    <w:rsid w:val="00E74BBF"/>
    <w:rsid w:val="00E7616A"/>
    <w:rsid w:val="00E76F67"/>
    <w:rsid w:val="00E771ED"/>
    <w:rsid w:val="00E77A4A"/>
    <w:rsid w:val="00E80795"/>
    <w:rsid w:val="00E808A6"/>
    <w:rsid w:val="00E80B1A"/>
    <w:rsid w:val="00E80B2B"/>
    <w:rsid w:val="00E8225A"/>
    <w:rsid w:val="00E8372F"/>
    <w:rsid w:val="00E84359"/>
    <w:rsid w:val="00E8444A"/>
    <w:rsid w:val="00E845DC"/>
    <w:rsid w:val="00E847ED"/>
    <w:rsid w:val="00E85064"/>
    <w:rsid w:val="00E8591B"/>
    <w:rsid w:val="00E85DE6"/>
    <w:rsid w:val="00E86C4A"/>
    <w:rsid w:val="00E87460"/>
    <w:rsid w:val="00E9006C"/>
    <w:rsid w:val="00E90AC2"/>
    <w:rsid w:val="00E91FA7"/>
    <w:rsid w:val="00E92D8B"/>
    <w:rsid w:val="00E9412E"/>
    <w:rsid w:val="00E95BCE"/>
    <w:rsid w:val="00E95DE2"/>
    <w:rsid w:val="00E95F86"/>
    <w:rsid w:val="00E96CF7"/>
    <w:rsid w:val="00E96D0D"/>
    <w:rsid w:val="00E96FA6"/>
    <w:rsid w:val="00E972C3"/>
    <w:rsid w:val="00E9741F"/>
    <w:rsid w:val="00E978E3"/>
    <w:rsid w:val="00E97C5C"/>
    <w:rsid w:val="00EA0009"/>
    <w:rsid w:val="00EA1F26"/>
    <w:rsid w:val="00EA2974"/>
    <w:rsid w:val="00EA315A"/>
    <w:rsid w:val="00EA3808"/>
    <w:rsid w:val="00EA478D"/>
    <w:rsid w:val="00EA49F0"/>
    <w:rsid w:val="00EA52F6"/>
    <w:rsid w:val="00EA5DFC"/>
    <w:rsid w:val="00EA6061"/>
    <w:rsid w:val="00EA6F9B"/>
    <w:rsid w:val="00EA77C3"/>
    <w:rsid w:val="00EB0864"/>
    <w:rsid w:val="00EB139B"/>
    <w:rsid w:val="00EB152D"/>
    <w:rsid w:val="00EB2438"/>
    <w:rsid w:val="00EB2885"/>
    <w:rsid w:val="00EB28CE"/>
    <w:rsid w:val="00EB35BA"/>
    <w:rsid w:val="00EB36FF"/>
    <w:rsid w:val="00EB3837"/>
    <w:rsid w:val="00EB41BB"/>
    <w:rsid w:val="00EB4BC1"/>
    <w:rsid w:val="00EB4E21"/>
    <w:rsid w:val="00EB57AE"/>
    <w:rsid w:val="00EB636E"/>
    <w:rsid w:val="00EB77FB"/>
    <w:rsid w:val="00EC0C5A"/>
    <w:rsid w:val="00EC1012"/>
    <w:rsid w:val="00EC10BC"/>
    <w:rsid w:val="00EC182A"/>
    <w:rsid w:val="00EC1C28"/>
    <w:rsid w:val="00EC26B3"/>
    <w:rsid w:val="00EC2D28"/>
    <w:rsid w:val="00EC34F9"/>
    <w:rsid w:val="00EC3BAC"/>
    <w:rsid w:val="00EC3D17"/>
    <w:rsid w:val="00EC4300"/>
    <w:rsid w:val="00EC44AD"/>
    <w:rsid w:val="00EC47FC"/>
    <w:rsid w:val="00EC667F"/>
    <w:rsid w:val="00EC6F06"/>
    <w:rsid w:val="00EC6FF2"/>
    <w:rsid w:val="00EC7426"/>
    <w:rsid w:val="00EC7558"/>
    <w:rsid w:val="00ED0076"/>
    <w:rsid w:val="00ED05F6"/>
    <w:rsid w:val="00ED0CED"/>
    <w:rsid w:val="00ED124E"/>
    <w:rsid w:val="00ED1365"/>
    <w:rsid w:val="00ED17BD"/>
    <w:rsid w:val="00ED325D"/>
    <w:rsid w:val="00ED3A64"/>
    <w:rsid w:val="00ED43BC"/>
    <w:rsid w:val="00ED5070"/>
    <w:rsid w:val="00ED528A"/>
    <w:rsid w:val="00ED53F5"/>
    <w:rsid w:val="00ED621E"/>
    <w:rsid w:val="00ED621F"/>
    <w:rsid w:val="00ED634C"/>
    <w:rsid w:val="00ED6899"/>
    <w:rsid w:val="00ED6CFC"/>
    <w:rsid w:val="00ED75E2"/>
    <w:rsid w:val="00ED7900"/>
    <w:rsid w:val="00EE0FB7"/>
    <w:rsid w:val="00EE1799"/>
    <w:rsid w:val="00EE2EE9"/>
    <w:rsid w:val="00EE4380"/>
    <w:rsid w:val="00EE43DA"/>
    <w:rsid w:val="00EE605B"/>
    <w:rsid w:val="00EE6571"/>
    <w:rsid w:val="00EE6A1D"/>
    <w:rsid w:val="00EE7069"/>
    <w:rsid w:val="00EE7DEC"/>
    <w:rsid w:val="00EF03D8"/>
    <w:rsid w:val="00EF04AF"/>
    <w:rsid w:val="00EF0639"/>
    <w:rsid w:val="00EF12D7"/>
    <w:rsid w:val="00EF2385"/>
    <w:rsid w:val="00EF3D42"/>
    <w:rsid w:val="00EF3D96"/>
    <w:rsid w:val="00EF3E29"/>
    <w:rsid w:val="00EF5643"/>
    <w:rsid w:val="00EF56EE"/>
    <w:rsid w:val="00EF5B45"/>
    <w:rsid w:val="00EF5EC3"/>
    <w:rsid w:val="00EF6666"/>
    <w:rsid w:val="00EF6DE7"/>
    <w:rsid w:val="00EF77E4"/>
    <w:rsid w:val="00F00BA1"/>
    <w:rsid w:val="00F00CA5"/>
    <w:rsid w:val="00F00DFF"/>
    <w:rsid w:val="00F00F05"/>
    <w:rsid w:val="00F0107F"/>
    <w:rsid w:val="00F01149"/>
    <w:rsid w:val="00F013C0"/>
    <w:rsid w:val="00F02824"/>
    <w:rsid w:val="00F02AC2"/>
    <w:rsid w:val="00F061A6"/>
    <w:rsid w:val="00F071FD"/>
    <w:rsid w:val="00F109BB"/>
    <w:rsid w:val="00F10C3E"/>
    <w:rsid w:val="00F11C11"/>
    <w:rsid w:val="00F11D8A"/>
    <w:rsid w:val="00F12501"/>
    <w:rsid w:val="00F12A41"/>
    <w:rsid w:val="00F13A14"/>
    <w:rsid w:val="00F13CC8"/>
    <w:rsid w:val="00F15E0E"/>
    <w:rsid w:val="00F163DC"/>
    <w:rsid w:val="00F16850"/>
    <w:rsid w:val="00F1706E"/>
    <w:rsid w:val="00F17D41"/>
    <w:rsid w:val="00F2039A"/>
    <w:rsid w:val="00F205DC"/>
    <w:rsid w:val="00F21156"/>
    <w:rsid w:val="00F217DD"/>
    <w:rsid w:val="00F22217"/>
    <w:rsid w:val="00F22729"/>
    <w:rsid w:val="00F22F7A"/>
    <w:rsid w:val="00F23837"/>
    <w:rsid w:val="00F23B10"/>
    <w:rsid w:val="00F23E29"/>
    <w:rsid w:val="00F251F4"/>
    <w:rsid w:val="00F252C0"/>
    <w:rsid w:val="00F2566F"/>
    <w:rsid w:val="00F25B9D"/>
    <w:rsid w:val="00F26CCD"/>
    <w:rsid w:val="00F272CB"/>
    <w:rsid w:val="00F27B7E"/>
    <w:rsid w:val="00F30023"/>
    <w:rsid w:val="00F30CD2"/>
    <w:rsid w:val="00F313EE"/>
    <w:rsid w:val="00F32063"/>
    <w:rsid w:val="00F32951"/>
    <w:rsid w:val="00F33C0F"/>
    <w:rsid w:val="00F34A3E"/>
    <w:rsid w:val="00F35A3B"/>
    <w:rsid w:val="00F36468"/>
    <w:rsid w:val="00F36B67"/>
    <w:rsid w:val="00F371AA"/>
    <w:rsid w:val="00F37A6A"/>
    <w:rsid w:val="00F40390"/>
    <w:rsid w:val="00F40612"/>
    <w:rsid w:val="00F41775"/>
    <w:rsid w:val="00F41899"/>
    <w:rsid w:val="00F4220F"/>
    <w:rsid w:val="00F42E82"/>
    <w:rsid w:val="00F43505"/>
    <w:rsid w:val="00F43B0D"/>
    <w:rsid w:val="00F457C6"/>
    <w:rsid w:val="00F45C43"/>
    <w:rsid w:val="00F45F5B"/>
    <w:rsid w:val="00F46E34"/>
    <w:rsid w:val="00F4710A"/>
    <w:rsid w:val="00F4743D"/>
    <w:rsid w:val="00F47535"/>
    <w:rsid w:val="00F478ED"/>
    <w:rsid w:val="00F47E58"/>
    <w:rsid w:val="00F50658"/>
    <w:rsid w:val="00F50820"/>
    <w:rsid w:val="00F50B0D"/>
    <w:rsid w:val="00F51682"/>
    <w:rsid w:val="00F52768"/>
    <w:rsid w:val="00F5344B"/>
    <w:rsid w:val="00F53C54"/>
    <w:rsid w:val="00F5580C"/>
    <w:rsid w:val="00F55DFF"/>
    <w:rsid w:val="00F564EE"/>
    <w:rsid w:val="00F5652C"/>
    <w:rsid w:val="00F567D2"/>
    <w:rsid w:val="00F56B19"/>
    <w:rsid w:val="00F56F85"/>
    <w:rsid w:val="00F57341"/>
    <w:rsid w:val="00F57EE8"/>
    <w:rsid w:val="00F57F28"/>
    <w:rsid w:val="00F613AA"/>
    <w:rsid w:val="00F61945"/>
    <w:rsid w:val="00F61970"/>
    <w:rsid w:val="00F619EE"/>
    <w:rsid w:val="00F627DE"/>
    <w:rsid w:val="00F62E11"/>
    <w:rsid w:val="00F631A9"/>
    <w:rsid w:val="00F63258"/>
    <w:rsid w:val="00F63E79"/>
    <w:rsid w:val="00F64348"/>
    <w:rsid w:val="00F6687F"/>
    <w:rsid w:val="00F7003D"/>
    <w:rsid w:val="00F708F5"/>
    <w:rsid w:val="00F7096E"/>
    <w:rsid w:val="00F70976"/>
    <w:rsid w:val="00F718E8"/>
    <w:rsid w:val="00F73A6D"/>
    <w:rsid w:val="00F73B0D"/>
    <w:rsid w:val="00F7434D"/>
    <w:rsid w:val="00F7486E"/>
    <w:rsid w:val="00F74E69"/>
    <w:rsid w:val="00F771EC"/>
    <w:rsid w:val="00F802E1"/>
    <w:rsid w:val="00F80BE5"/>
    <w:rsid w:val="00F80D91"/>
    <w:rsid w:val="00F813B9"/>
    <w:rsid w:val="00F8148A"/>
    <w:rsid w:val="00F815DC"/>
    <w:rsid w:val="00F819AB"/>
    <w:rsid w:val="00F81B04"/>
    <w:rsid w:val="00F82045"/>
    <w:rsid w:val="00F8259D"/>
    <w:rsid w:val="00F82788"/>
    <w:rsid w:val="00F82958"/>
    <w:rsid w:val="00F82D9B"/>
    <w:rsid w:val="00F8406C"/>
    <w:rsid w:val="00F84A26"/>
    <w:rsid w:val="00F84CE8"/>
    <w:rsid w:val="00F84DD1"/>
    <w:rsid w:val="00F875D1"/>
    <w:rsid w:val="00F87E2E"/>
    <w:rsid w:val="00F90FD8"/>
    <w:rsid w:val="00F91BA2"/>
    <w:rsid w:val="00F95EAB"/>
    <w:rsid w:val="00F961ED"/>
    <w:rsid w:val="00F9717A"/>
    <w:rsid w:val="00F977EB"/>
    <w:rsid w:val="00FA0017"/>
    <w:rsid w:val="00FA052F"/>
    <w:rsid w:val="00FA0B66"/>
    <w:rsid w:val="00FA0CA1"/>
    <w:rsid w:val="00FA0EB6"/>
    <w:rsid w:val="00FA1123"/>
    <w:rsid w:val="00FA1236"/>
    <w:rsid w:val="00FA1BE7"/>
    <w:rsid w:val="00FA2568"/>
    <w:rsid w:val="00FA378D"/>
    <w:rsid w:val="00FA37AD"/>
    <w:rsid w:val="00FA3A23"/>
    <w:rsid w:val="00FA3AAF"/>
    <w:rsid w:val="00FA404D"/>
    <w:rsid w:val="00FA47A2"/>
    <w:rsid w:val="00FA4DD1"/>
    <w:rsid w:val="00FA5033"/>
    <w:rsid w:val="00FA52C6"/>
    <w:rsid w:val="00FA5463"/>
    <w:rsid w:val="00FA59ED"/>
    <w:rsid w:val="00FA62AA"/>
    <w:rsid w:val="00FA67C3"/>
    <w:rsid w:val="00FA67D8"/>
    <w:rsid w:val="00FA6ED7"/>
    <w:rsid w:val="00FA73A7"/>
    <w:rsid w:val="00FB007C"/>
    <w:rsid w:val="00FB0587"/>
    <w:rsid w:val="00FB118F"/>
    <w:rsid w:val="00FB169B"/>
    <w:rsid w:val="00FB3902"/>
    <w:rsid w:val="00FB3B14"/>
    <w:rsid w:val="00FB3B7C"/>
    <w:rsid w:val="00FB415A"/>
    <w:rsid w:val="00FB51E5"/>
    <w:rsid w:val="00FB6F89"/>
    <w:rsid w:val="00FB7284"/>
    <w:rsid w:val="00FB77E6"/>
    <w:rsid w:val="00FB7A17"/>
    <w:rsid w:val="00FC0187"/>
    <w:rsid w:val="00FC0FDF"/>
    <w:rsid w:val="00FC16FC"/>
    <w:rsid w:val="00FC1753"/>
    <w:rsid w:val="00FC3C39"/>
    <w:rsid w:val="00FC3EAA"/>
    <w:rsid w:val="00FC4534"/>
    <w:rsid w:val="00FC51EE"/>
    <w:rsid w:val="00FC64D4"/>
    <w:rsid w:val="00FC67DF"/>
    <w:rsid w:val="00FC7806"/>
    <w:rsid w:val="00FC7832"/>
    <w:rsid w:val="00FC7C8B"/>
    <w:rsid w:val="00FD4B86"/>
    <w:rsid w:val="00FD5111"/>
    <w:rsid w:val="00FD5A16"/>
    <w:rsid w:val="00FD700E"/>
    <w:rsid w:val="00FD75D3"/>
    <w:rsid w:val="00FD7A8E"/>
    <w:rsid w:val="00FD7B24"/>
    <w:rsid w:val="00FE074B"/>
    <w:rsid w:val="00FE0A50"/>
    <w:rsid w:val="00FE1166"/>
    <w:rsid w:val="00FE26C3"/>
    <w:rsid w:val="00FE2A43"/>
    <w:rsid w:val="00FE2FF9"/>
    <w:rsid w:val="00FE3209"/>
    <w:rsid w:val="00FE3602"/>
    <w:rsid w:val="00FE3ED3"/>
    <w:rsid w:val="00FE4652"/>
    <w:rsid w:val="00FE4A75"/>
    <w:rsid w:val="00FE681A"/>
    <w:rsid w:val="00FE6C2D"/>
    <w:rsid w:val="00FE74BA"/>
    <w:rsid w:val="00FE75B2"/>
    <w:rsid w:val="00FF084D"/>
    <w:rsid w:val="00FF1731"/>
    <w:rsid w:val="00FF1F77"/>
    <w:rsid w:val="00FF2075"/>
    <w:rsid w:val="00FF2D39"/>
    <w:rsid w:val="00FF3518"/>
    <w:rsid w:val="00FF3957"/>
    <w:rsid w:val="00FF3EC9"/>
    <w:rsid w:val="00FF43D3"/>
    <w:rsid w:val="00FF4595"/>
    <w:rsid w:val="00FF4EE8"/>
    <w:rsid w:val="00FF51F8"/>
    <w:rsid w:val="00FF52F3"/>
    <w:rsid w:val="01858F50"/>
    <w:rsid w:val="03CC6C4B"/>
    <w:rsid w:val="03D75A31"/>
    <w:rsid w:val="0429A43E"/>
    <w:rsid w:val="05415571"/>
    <w:rsid w:val="07916A5E"/>
    <w:rsid w:val="08129403"/>
    <w:rsid w:val="082B5224"/>
    <w:rsid w:val="0BE140EA"/>
    <w:rsid w:val="0DE57915"/>
    <w:rsid w:val="0E8373C2"/>
    <w:rsid w:val="0F41B7FA"/>
    <w:rsid w:val="10992AF8"/>
    <w:rsid w:val="10EE87C7"/>
    <w:rsid w:val="1332FEFA"/>
    <w:rsid w:val="14DAEB02"/>
    <w:rsid w:val="16BE9D4F"/>
    <w:rsid w:val="16C2814B"/>
    <w:rsid w:val="174C0BE1"/>
    <w:rsid w:val="17B2D8AC"/>
    <w:rsid w:val="1875CBAC"/>
    <w:rsid w:val="19BBB4C0"/>
    <w:rsid w:val="1A380547"/>
    <w:rsid w:val="1C21CE50"/>
    <w:rsid w:val="1FCC368C"/>
    <w:rsid w:val="1FED5723"/>
    <w:rsid w:val="2125AC59"/>
    <w:rsid w:val="21688920"/>
    <w:rsid w:val="21C1EABC"/>
    <w:rsid w:val="2264EDD5"/>
    <w:rsid w:val="2373D66D"/>
    <w:rsid w:val="23C4EA31"/>
    <w:rsid w:val="2518D776"/>
    <w:rsid w:val="2553AEC8"/>
    <w:rsid w:val="2683A1EF"/>
    <w:rsid w:val="26C00095"/>
    <w:rsid w:val="276FAB6C"/>
    <w:rsid w:val="2865F852"/>
    <w:rsid w:val="2BEF5FA7"/>
    <w:rsid w:val="2C2C32C7"/>
    <w:rsid w:val="2D80D389"/>
    <w:rsid w:val="2E57DAB6"/>
    <w:rsid w:val="2F9F733A"/>
    <w:rsid w:val="302E271C"/>
    <w:rsid w:val="31793D18"/>
    <w:rsid w:val="32913FCF"/>
    <w:rsid w:val="36FFF5ED"/>
    <w:rsid w:val="378C2C19"/>
    <w:rsid w:val="38DC357C"/>
    <w:rsid w:val="3993AAB6"/>
    <w:rsid w:val="3A04D2E3"/>
    <w:rsid w:val="3A33563B"/>
    <w:rsid w:val="3C5F09E9"/>
    <w:rsid w:val="41D12599"/>
    <w:rsid w:val="42FC9425"/>
    <w:rsid w:val="46AE235E"/>
    <w:rsid w:val="4712AC1A"/>
    <w:rsid w:val="47679F4B"/>
    <w:rsid w:val="4B289D88"/>
    <w:rsid w:val="4C542E3C"/>
    <w:rsid w:val="4C94D360"/>
    <w:rsid w:val="4E783EF3"/>
    <w:rsid w:val="544FA4D5"/>
    <w:rsid w:val="5462264D"/>
    <w:rsid w:val="54C2A180"/>
    <w:rsid w:val="56671F0F"/>
    <w:rsid w:val="5687088D"/>
    <w:rsid w:val="56C9B092"/>
    <w:rsid w:val="577E2B23"/>
    <w:rsid w:val="5836B363"/>
    <w:rsid w:val="587CE31E"/>
    <w:rsid w:val="59441AEA"/>
    <w:rsid w:val="5A60549A"/>
    <w:rsid w:val="5B563824"/>
    <w:rsid w:val="5B5E90FA"/>
    <w:rsid w:val="5D3AB44C"/>
    <w:rsid w:val="5DC1BF1D"/>
    <w:rsid w:val="5EC33133"/>
    <w:rsid w:val="6007B902"/>
    <w:rsid w:val="606CCF17"/>
    <w:rsid w:val="60FBDCFF"/>
    <w:rsid w:val="66D9B94B"/>
    <w:rsid w:val="66ECB725"/>
    <w:rsid w:val="67C9B9B0"/>
    <w:rsid w:val="69514798"/>
    <w:rsid w:val="69F8A95B"/>
    <w:rsid w:val="6B542DE8"/>
    <w:rsid w:val="6D0B704A"/>
    <w:rsid w:val="6D6E7002"/>
    <w:rsid w:val="70AFEF21"/>
    <w:rsid w:val="7168EA36"/>
    <w:rsid w:val="71AAB7A2"/>
    <w:rsid w:val="720C25F2"/>
    <w:rsid w:val="7B990B67"/>
    <w:rsid w:val="7CA2100D"/>
    <w:rsid w:val="7EB6B8EA"/>
    <w:rsid w:val="7FC6A4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FACA1"/>
  <w15:docId w15:val="{684CFB43-7E55-4988-931E-06F81B16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line="300" w:lineRule="auto"/>
      <w:ind w:left="720"/>
      <w:jc w:val="both"/>
    </w:pPr>
    <w:rPr>
      <w:rFonts w:ascii="Times New Roman" w:eastAsia="Times New Roman" w:hAnsi="Times New Roman" w:cs="Times New Roman"/>
      <w:b/>
      <w:i/>
      <w:sz w:val="26"/>
      <w:szCs w:val="26"/>
    </w:rPr>
  </w:style>
  <w:style w:type="table" w:customStyle="1" w:styleId="a">
    <w:basedOn w:val="TableNormal"/>
    <w:rPr>
      <w:rFonts w:ascii="Calibri" w:eastAsia="Calibri" w:hAnsi="Calibri" w:cs="Calibri"/>
      <w:sz w:val="20"/>
      <w:szCs w:val="20"/>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8B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938B8"/>
    <w:rPr>
      <w:b/>
      <w:bCs/>
    </w:rPr>
  </w:style>
  <w:style w:type="character" w:customStyle="1" w:styleId="CommentSubjectChar">
    <w:name w:val="Comment Subject Char"/>
    <w:basedOn w:val="CommentTextChar"/>
    <w:link w:val="CommentSubject"/>
    <w:uiPriority w:val="99"/>
    <w:semiHidden/>
    <w:rsid w:val="002938B8"/>
    <w:rPr>
      <w:b/>
      <w:bCs/>
      <w:sz w:val="20"/>
      <w:szCs w:val="20"/>
    </w:rPr>
  </w:style>
  <w:style w:type="paragraph" w:customStyle="1" w:styleId="Bodytext">
    <w:name w:val="*Body text"/>
    <w:basedOn w:val="Normal"/>
    <w:uiPriority w:val="99"/>
    <w:rsid w:val="002938B8"/>
    <w:pPr>
      <w:widowControl w:val="0"/>
      <w:autoSpaceDE w:val="0"/>
      <w:autoSpaceDN w:val="0"/>
      <w:adjustRightInd w:val="0"/>
      <w:spacing w:after="0" w:line="220" w:lineRule="atLeast"/>
      <w:ind w:firstLine="227"/>
      <w:jc w:val="both"/>
      <w:textAlignment w:val="baseline"/>
    </w:pPr>
    <w:rPr>
      <w:rFonts w:ascii="Minion Pro" w:eastAsiaTheme="minorEastAsia" w:hAnsi="Minion Pro" w:cs="MinionPro-Regular"/>
      <w:color w:val="000000"/>
      <w:spacing w:val="-1"/>
      <w:sz w:val="18"/>
      <w:szCs w:val="18"/>
      <w:lang w:val="en-GB"/>
    </w:rPr>
  </w:style>
  <w:style w:type="paragraph" w:customStyle="1" w:styleId="REFS">
    <w:name w:val="REFS"/>
    <w:basedOn w:val="Normal"/>
    <w:uiPriority w:val="99"/>
    <w:rsid w:val="002938B8"/>
    <w:pPr>
      <w:widowControl w:val="0"/>
      <w:suppressAutoHyphens/>
      <w:autoSpaceDE w:val="0"/>
      <w:autoSpaceDN w:val="0"/>
      <w:adjustRightInd w:val="0"/>
      <w:spacing w:after="0" w:line="147" w:lineRule="atLeast"/>
      <w:ind w:left="295" w:hanging="295"/>
      <w:textAlignment w:val="baseline"/>
    </w:pPr>
    <w:rPr>
      <w:rFonts w:ascii="ITCSymbolStd-Medium" w:eastAsiaTheme="minorEastAsia" w:hAnsi="ITCSymbolStd-Medium" w:cs="ITCSymbolStd-Medium"/>
      <w:color w:val="000000"/>
      <w:spacing w:val="-1"/>
      <w:sz w:val="12"/>
      <w:szCs w:val="12"/>
      <w:lang w:val="en-GB"/>
    </w:rPr>
  </w:style>
  <w:style w:type="character" w:styleId="Hyperlink">
    <w:name w:val="Hyperlink"/>
    <w:basedOn w:val="DefaultParagraphFont"/>
    <w:uiPriority w:val="99"/>
    <w:rsid w:val="002938B8"/>
    <w:rPr>
      <w:rFonts w:cs="Times New Roman"/>
      <w:color w:val="4C4C4B"/>
      <w:u w:val="single"/>
    </w:rPr>
  </w:style>
  <w:style w:type="paragraph" w:styleId="ListParagraph">
    <w:name w:val="List Paragraph"/>
    <w:basedOn w:val="Normal"/>
    <w:uiPriority w:val="34"/>
    <w:qFormat/>
    <w:rsid w:val="00AC4580"/>
    <w:pPr>
      <w:ind w:left="720"/>
      <w:contextualSpacing/>
    </w:pPr>
  </w:style>
  <w:style w:type="paragraph" w:styleId="NormalWeb">
    <w:name w:val="Normal (Web)"/>
    <w:basedOn w:val="Normal"/>
    <w:uiPriority w:val="99"/>
    <w:unhideWhenUsed/>
    <w:rsid w:val="003C6FC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700B4"/>
    <w:rPr>
      <w:color w:val="605E5C"/>
      <w:shd w:val="clear" w:color="auto" w:fill="E1DFDD"/>
    </w:rPr>
  </w:style>
  <w:style w:type="paragraph" w:styleId="Bibliography">
    <w:name w:val="Bibliography"/>
    <w:basedOn w:val="Normal"/>
    <w:next w:val="Normal"/>
    <w:uiPriority w:val="37"/>
    <w:unhideWhenUsed/>
    <w:rsid w:val="0050605A"/>
  </w:style>
  <w:style w:type="table" w:styleId="TableGrid">
    <w:name w:val="Table Grid"/>
    <w:basedOn w:val="TableNormal"/>
    <w:uiPriority w:val="39"/>
    <w:rsid w:val="0007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14273"/>
    <w:rPr>
      <w:i/>
      <w:iCs/>
    </w:rPr>
  </w:style>
  <w:style w:type="character" w:styleId="Strong">
    <w:name w:val="Strong"/>
    <w:basedOn w:val="DefaultParagraphFont"/>
    <w:uiPriority w:val="22"/>
    <w:qFormat/>
    <w:rsid w:val="00914273"/>
    <w:rPr>
      <w:b/>
      <w:bCs/>
    </w:rPr>
  </w:style>
  <w:style w:type="paragraph" w:styleId="Header">
    <w:name w:val="header"/>
    <w:basedOn w:val="Normal"/>
    <w:link w:val="HeaderChar"/>
    <w:uiPriority w:val="99"/>
    <w:unhideWhenUsed/>
    <w:rsid w:val="006A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1F2"/>
  </w:style>
  <w:style w:type="paragraph" w:styleId="Footer">
    <w:name w:val="footer"/>
    <w:basedOn w:val="Normal"/>
    <w:link w:val="FooterChar"/>
    <w:uiPriority w:val="99"/>
    <w:unhideWhenUsed/>
    <w:rsid w:val="006A2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1F2"/>
  </w:style>
  <w:style w:type="paragraph" w:styleId="Caption">
    <w:name w:val="caption"/>
    <w:basedOn w:val="Normal"/>
    <w:next w:val="Normal"/>
    <w:unhideWhenUsed/>
    <w:qFormat/>
    <w:rsid w:val="00A6363F"/>
    <w:pPr>
      <w:spacing w:after="200" w:line="240" w:lineRule="auto"/>
    </w:pPr>
    <w:rPr>
      <w:rFonts w:asciiTheme="minorHAnsi" w:eastAsiaTheme="minorHAnsi" w:hAnsiTheme="minorHAnsi" w:cstheme="minorBidi"/>
      <w:i/>
      <w:iCs/>
      <w:color w:val="1F497D" w:themeColor="text2"/>
      <w:sz w:val="18"/>
      <w:szCs w:val="18"/>
      <w:lang w:eastAsia="en-US"/>
    </w:rPr>
  </w:style>
  <w:style w:type="paragraph" w:customStyle="1" w:styleId="references">
    <w:name w:val="references"/>
    <w:rsid w:val="00A6363F"/>
    <w:pPr>
      <w:numPr>
        <w:numId w:val="1"/>
      </w:numPr>
      <w:spacing w:after="50" w:line="180" w:lineRule="exact"/>
      <w:jc w:val="both"/>
    </w:pPr>
    <w:rPr>
      <w:rFonts w:ascii="Times New Roman" w:eastAsia="MS Mincho" w:hAnsi="Times New Roman" w:cs="Times New Roman"/>
      <w:noProof/>
      <w:sz w:val="16"/>
      <w:szCs w:val="16"/>
      <w:lang w:eastAsia="en-US"/>
    </w:rPr>
  </w:style>
  <w:style w:type="character" w:customStyle="1" w:styleId="normaltextrun">
    <w:name w:val="normaltextrun"/>
    <w:basedOn w:val="DefaultParagraphFont"/>
    <w:rsid w:val="00A6363F"/>
  </w:style>
  <w:style w:type="paragraph" w:styleId="Revision">
    <w:name w:val="Revision"/>
    <w:hidden/>
    <w:uiPriority w:val="99"/>
    <w:semiHidden/>
    <w:rsid w:val="002F4979"/>
    <w:pPr>
      <w:spacing w:after="0" w:line="240" w:lineRule="auto"/>
    </w:pPr>
  </w:style>
  <w:style w:type="character" w:styleId="PlaceholderText">
    <w:name w:val="Placeholder Text"/>
    <w:basedOn w:val="DefaultParagraphFont"/>
    <w:uiPriority w:val="99"/>
    <w:semiHidden/>
    <w:rsid w:val="008346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887">
      <w:bodyDiv w:val="1"/>
      <w:marLeft w:val="0"/>
      <w:marRight w:val="0"/>
      <w:marTop w:val="0"/>
      <w:marBottom w:val="0"/>
      <w:divBdr>
        <w:top w:val="none" w:sz="0" w:space="0" w:color="auto"/>
        <w:left w:val="none" w:sz="0" w:space="0" w:color="auto"/>
        <w:bottom w:val="none" w:sz="0" w:space="0" w:color="auto"/>
        <w:right w:val="none" w:sz="0" w:space="0" w:color="auto"/>
      </w:divBdr>
      <w:divsChild>
        <w:div w:id="1785149694">
          <w:marLeft w:val="0"/>
          <w:marRight w:val="0"/>
          <w:marTop w:val="0"/>
          <w:marBottom w:val="0"/>
          <w:divBdr>
            <w:top w:val="none" w:sz="0" w:space="0" w:color="auto"/>
            <w:left w:val="none" w:sz="0" w:space="0" w:color="auto"/>
            <w:bottom w:val="none" w:sz="0" w:space="0" w:color="auto"/>
            <w:right w:val="none" w:sz="0" w:space="0" w:color="auto"/>
          </w:divBdr>
          <w:divsChild>
            <w:div w:id="837890791">
              <w:marLeft w:val="0"/>
              <w:marRight w:val="0"/>
              <w:marTop w:val="0"/>
              <w:marBottom w:val="0"/>
              <w:divBdr>
                <w:top w:val="none" w:sz="0" w:space="0" w:color="auto"/>
                <w:left w:val="none" w:sz="0" w:space="0" w:color="auto"/>
                <w:bottom w:val="none" w:sz="0" w:space="0" w:color="auto"/>
                <w:right w:val="none" w:sz="0" w:space="0" w:color="auto"/>
              </w:divBdr>
              <w:divsChild>
                <w:div w:id="181667855">
                  <w:marLeft w:val="0"/>
                  <w:marRight w:val="0"/>
                  <w:marTop w:val="0"/>
                  <w:marBottom w:val="0"/>
                  <w:divBdr>
                    <w:top w:val="none" w:sz="0" w:space="0" w:color="auto"/>
                    <w:left w:val="none" w:sz="0" w:space="0" w:color="auto"/>
                    <w:bottom w:val="none" w:sz="0" w:space="0" w:color="auto"/>
                    <w:right w:val="none" w:sz="0" w:space="0" w:color="auto"/>
                  </w:divBdr>
                  <w:divsChild>
                    <w:div w:id="1011032744">
                      <w:marLeft w:val="0"/>
                      <w:marRight w:val="0"/>
                      <w:marTop w:val="0"/>
                      <w:marBottom w:val="0"/>
                      <w:divBdr>
                        <w:top w:val="none" w:sz="0" w:space="0" w:color="auto"/>
                        <w:left w:val="none" w:sz="0" w:space="0" w:color="auto"/>
                        <w:bottom w:val="none" w:sz="0" w:space="0" w:color="auto"/>
                        <w:right w:val="none" w:sz="0" w:space="0" w:color="auto"/>
                      </w:divBdr>
                      <w:divsChild>
                        <w:div w:id="1008367192">
                          <w:marLeft w:val="0"/>
                          <w:marRight w:val="0"/>
                          <w:marTop w:val="0"/>
                          <w:marBottom w:val="0"/>
                          <w:divBdr>
                            <w:top w:val="none" w:sz="0" w:space="0" w:color="auto"/>
                            <w:left w:val="none" w:sz="0" w:space="0" w:color="auto"/>
                            <w:bottom w:val="none" w:sz="0" w:space="0" w:color="auto"/>
                            <w:right w:val="none" w:sz="0" w:space="0" w:color="auto"/>
                          </w:divBdr>
                          <w:divsChild>
                            <w:div w:id="2110392866">
                              <w:marLeft w:val="0"/>
                              <w:marRight w:val="0"/>
                              <w:marTop w:val="0"/>
                              <w:marBottom w:val="0"/>
                              <w:divBdr>
                                <w:top w:val="none" w:sz="0" w:space="0" w:color="auto"/>
                                <w:left w:val="none" w:sz="0" w:space="0" w:color="auto"/>
                                <w:bottom w:val="none" w:sz="0" w:space="0" w:color="auto"/>
                                <w:right w:val="none" w:sz="0" w:space="0" w:color="auto"/>
                              </w:divBdr>
                              <w:divsChild>
                                <w:div w:id="878318910">
                                  <w:marLeft w:val="0"/>
                                  <w:marRight w:val="0"/>
                                  <w:marTop w:val="0"/>
                                  <w:marBottom w:val="0"/>
                                  <w:divBdr>
                                    <w:top w:val="none" w:sz="0" w:space="0" w:color="auto"/>
                                    <w:left w:val="none" w:sz="0" w:space="0" w:color="auto"/>
                                    <w:bottom w:val="none" w:sz="0" w:space="0" w:color="auto"/>
                                    <w:right w:val="none" w:sz="0" w:space="0" w:color="auto"/>
                                  </w:divBdr>
                                  <w:divsChild>
                                    <w:div w:id="11539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5214">
      <w:bodyDiv w:val="1"/>
      <w:marLeft w:val="0"/>
      <w:marRight w:val="0"/>
      <w:marTop w:val="0"/>
      <w:marBottom w:val="0"/>
      <w:divBdr>
        <w:top w:val="none" w:sz="0" w:space="0" w:color="auto"/>
        <w:left w:val="none" w:sz="0" w:space="0" w:color="auto"/>
        <w:bottom w:val="none" w:sz="0" w:space="0" w:color="auto"/>
        <w:right w:val="none" w:sz="0" w:space="0" w:color="auto"/>
      </w:divBdr>
    </w:div>
    <w:div w:id="7564821">
      <w:bodyDiv w:val="1"/>
      <w:marLeft w:val="0"/>
      <w:marRight w:val="0"/>
      <w:marTop w:val="0"/>
      <w:marBottom w:val="0"/>
      <w:divBdr>
        <w:top w:val="none" w:sz="0" w:space="0" w:color="auto"/>
        <w:left w:val="none" w:sz="0" w:space="0" w:color="auto"/>
        <w:bottom w:val="none" w:sz="0" w:space="0" w:color="auto"/>
        <w:right w:val="none" w:sz="0" w:space="0" w:color="auto"/>
      </w:divBdr>
    </w:div>
    <w:div w:id="11734899">
      <w:bodyDiv w:val="1"/>
      <w:marLeft w:val="0"/>
      <w:marRight w:val="0"/>
      <w:marTop w:val="0"/>
      <w:marBottom w:val="0"/>
      <w:divBdr>
        <w:top w:val="none" w:sz="0" w:space="0" w:color="auto"/>
        <w:left w:val="none" w:sz="0" w:space="0" w:color="auto"/>
        <w:bottom w:val="none" w:sz="0" w:space="0" w:color="auto"/>
        <w:right w:val="none" w:sz="0" w:space="0" w:color="auto"/>
      </w:divBdr>
    </w:div>
    <w:div w:id="17512208">
      <w:bodyDiv w:val="1"/>
      <w:marLeft w:val="0"/>
      <w:marRight w:val="0"/>
      <w:marTop w:val="0"/>
      <w:marBottom w:val="0"/>
      <w:divBdr>
        <w:top w:val="none" w:sz="0" w:space="0" w:color="auto"/>
        <w:left w:val="none" w:sz="0" w:space="0" w:color="auto"/>
        <w:bottom w:val="none" w:sz="0" w:space="0" w:color="auto"/>
        <w:right w:val="none" w:sz="0" w:space="0" w:color="auto"/>
      </w:divBdr>
    </w:div>
    <w:div w:id="18822968">
      <w:bodyDiv w:val="1"/>
      <w:marLeft w:val="0"/>
      <w:marRight w:val="0"/>
      <w:marTop w:val="0"/>
      <w:marBottom w:val="0"/>
      <w:divBdr>
        <w:top w:val="none" w:sz="0" w:space="0" w:color="auto"/>
        <w:left w:val="none" w:sz="0" w:space="0" w:color="auto"/>
        <w:bottom w:val="none" w:sz="0" w:space="0" w:color="auto"/>
        <w:right w:val="none" w:sz="0" w:space="0" w:color="auto"/>
      </w:divBdr>
    </w:div>
    <w:div w:id="27536357">
      <w:bodyDiv w:val="1"/>
      <w:marLeft w:val="0"/>
      <w:marRight w:val="0"/>
      <w:marTop w:val="0"/>
      <w:marBottom w:val="0"/>
      <w:divBdr>
        <w:top w:val="none" w:sz="0" w:space="0" w:color="auto"/>
        <w:left w:val="none" w:sz="0" w:space="0" w:color="auto"/>
        <w:bottom w:val="none" w:sz="0" w:space="0" w:color="auto"/>
        <w:right w:val="none" w:sz="0" w:space="0" w:color="auto"/>
      </w:divBdr>
    </w:div>
    <w:div w:id="33620290">
      <w:bodyDiv w:val="1"/>
      <w:marLeft w:val="0"/>
      <w:marRight w:val="0"/>
      <w:marTop w:val="0"/>
      <w:marBottom w:val="0"/>
      <w:divBdr>
        <w:top w:val="none" w:sz="0" w:space="0" w:color="auto"/>
        <w:left w:val="none" w:sz="0" w:space="0" w:color="auto"/>
        <w:bottom w:val="none" w:sz="0" w:space="0" w:color="auto"/>
        <w:right w:val="none" w:sz="0" w:space="0" w:color="auto"/>
      </w:divBdr>
    </w:div>
    <w:div w:id="42682847">
      <w:bodyDiv w:val="1"/>
      <w:marLeft w:val="0"/>
      <w:marRight w:val="0"/>
      <w:marTop w:val="0"/>
      <w:marBottom w:val="0"/>
      <w:divBdr>
        <w:top w:val="none" w:sz="0" w:space="0" w:color="auto"/>
        <w:left w:val="none" w:sz="0" w:space="0" w:color="auto"/>
        <w:bottom w:val="none" w:sz="0" w:space="0" w:color="auto"/>
        <w:right w:val="none" w:sz="0" w:space="0" w:color="auto"/>
      </w:divBdr>
    </w:div>
    <w:div w:id="73287431">
      <w:bodyDiv w:val="1"/>
      <w:marLeft w:val="0"/>
      <w:marRight w:val="0"/>
      <w:marTop w:val="0"/>
      <w:marBottom w:val="0"/>
      <w:divBdr>
        <w:top w:val="none" w:sz="0" w:space="0" w:color="auto"/>
        <w:left w:val="none" w:sz="0" w:space="0" w:color="auto"/>
        <w:bottom w:val="none" w:sz="0" w:space="0" w:color="auto"/>
        <w:right w:val="none" w:sz="0" w:space="0" w:color="auto"/>
      </w:divBdr>
    </w:div>
    <w:div w:id="83572828">
      <w:bodyDiv w:val="1"/>
      <w:marLeft w:val="0"/>
      <w:marRight w:val="0"/>
      <w:marTop w:val="0"/>
      <w:marBottom w:val="0"/>
      <w:divBdr>
        <w:top w:val="none" w:sz="0" w:space="0" w:color="auto"/>
        <w:left w:val="none" w:sz="0" w:space="0" w:color="auto"/>
        <w:bottom w:val="none" w:sz="0" w:space="0" w:color="auto"/>
        <w:right w:val="none" w:sz="0" w:space="0" w:color="auto"/>
      </w:divBdr>
    </w:div>
    <w:div w:id="106773313">
      <w:bodyDiv w:val="1"/>
      <w:marLeft w:val="0"/>
      <w:marRight w:val="0"/>
      <w:marTop w:val="0"/>
      <w:marBottom w:val="0"/>
      <w:divBdr>
        <w:top w:val="none" w:sz="0" w:space="0" w:color="auto"/>
        <w:left w:val="none" w:sz="0" w:space="0" w:color="auto"/>
        <w:bottom w:val="none" w:sz="0" w:space="0" w:color="auto"/>
        <w:right w:val="none" w:sz="0" w:space="0" w:color="auto"/>
      </w:divBdr>
    </w:div>
    <w:div w:id="121770844">
      <w:bodyDiv w:val="1"/>
      <w:marLeft w:val="0"/>
      <w:marRight w:val="0"/>
      <w:marTop w:val="0"/>
      <w:marBottom w:val="0"/>
      <w:divBdr>
        <w:top w:val="none" w:sz="0" w:space="0" w:color="auto"/>
        <w:left w:val="none" w:sz="0" w:space="0" w:color="auto"/>
        <w:bottom w:val="none" w:sz="0" w:space="0" w:color="auto"/>
        <w:right w:val="none" w:sz="0" w:space="0" w:color="auto"/>
      </w:divBdr>
    </w:div>
    <w:div w:id="126241159">
      <w:bodyDiv w:val="1"/>
      <w:marLeft w:val="0"/>
      <w:marRight w:val="0"/>
      <w:marTop w:val="0"/>
      <w:marBottom w:val="0"/>
      <w:divBdr>
        <w:top w:val="none" w:sz="0" w:space="0" w:color="auto"/>
        <w:left w:val="none" w:sz="0" w:space="0" w:color="auto"/>
        <w:bottom w:val="none" w:sz="0" w:space="0" w:color="auto"/>
        <w:right w:val="none" w:sz="0" w:space="0" w:color="auto"/>
      </w:divBdr>
    </w:div>
    <w:div w:id="133764027">
      <w:bodyDiv w:val="1"/>
      <w:marLeft w:val="0"/>
      <w:marRight w:val="0"/>
      <w:marTop w:val="0"/>
      <w:marBottom w:val="0"/>
      <w:divBdr>
        <w:top w:val="none" w:sz="0" w:space="0" w:color="auto"/>
        <w:left w:val="none" w:sz="0" w:space="0" w:color="auto"/>
        <w:bottom w:val="none" w:sz="0" w:space="0" w:color="auto"/>
        <w:right w:val="none" w:sz="0" w:space="0" w:color="auto"/>
      </w:divBdr>
    </w:div>
    <w:div w:id="160238561">
      <w:bodyDiv w:val="1"/>
      <w:marLeft w:val="0"/>
      <w:marRight w:val="0"/>
      <w:marTop w:val="0"/>
      <w:marBottom w:val="0"/>
      <w:divBdr>
        <w:top w:val="none" w:sz="0" w:space="0" w:color="auto"/>
        <w:left w:val="none" w:sz="0" w:space="0" w:color="auto"/>
        <w:bottom w:val="none" w:sz="0" w:space="0" w:color="auto"/>
        <w:right w:val="none" w:sz="0" w:space="0" w:color="auto"/>
      </w:divBdr>
    </w:div>
    <w:div w:id="162941387">
      <w:bodyDiv w:val="1"/>
      <w:marLeft w:val="0"/>
      <w:marRight w:val="0"/>
      <w:marTop w:val="0"/>
      <w:marBottom w:val="0"/>
      <w:divBdr>
        <w:top w:val="none" w:sz="0" w:space="0" w:color="auto"/>
        <w:left w:val="none" w:sz="0" w:space="0" w:color="auto"/>
        <w:bottom w:val="none" w:sz="0" w:space="0" w:color="auto"/>
        <w:right w:val="none" w:sz="0" w:space="0" w:color="auto"/>
      </w:divBdr>
    </w:div>
    <w:div w:id="169417963">
      <w:bodyDiv w:val="1"/>
      <w:marLeft w:val="0"/>
      <w:marRight w:val="0"/>
      <w:marTop w:val="0"/>
      <w:marBottom w:val="0"/>
      <w:divBdr>
        <w:top w:val="none" w:sz="0" w:space="0" w:color="auto"/>
        <w:left w:val="none" w:sz="0" w:space="0" w:color="auto"/>
        <w:bottom w:val="none" w:sz="0" w:space="0" w:color="auto"/>
        <w:right w:val="none" w:sz="0" w:space="0" w:color="auto"/>
      </w:divBdr>
    </w:div>
    <w:div w:id="181477569">
      <w:bodyDiv w:val="1"/>
      <w:marLeft w:val="0"/>
      <w:marRight w:val="0"/>
      <w:marTop w:val="0"/>
      <w:marBottom w:val="0"/>
      <w:divBdr>
        <w:top w:val="none" w:sz="0" w:space="0" w:color="auto"/>
        <w:left w:val="none" w:sz="0" w:space="0" w:color="auto"/>
        <w:bottom w:val="none" w:sz="0" w:space="0" w:color="auto"/>
        <w:right w:val="none" w:sz="0" w:space="0" w:color="auto"/>
      </w:divBdr>
      <w:divsChild>
        <w:div w:id="1208226924">
          <w:marLeft w:val="0"/>
          <w:marRight w:val="0"/>
          <w:marTop w:val="0"/>
          <w:marBottom w:val="0"/>
          <w:divBdr>
            <w:top w:val="none" w:sz="0" w:space="0" w:color="auto"/>
            <w:left w:val="none" w:sz="0" w:space="0" w:color="auto"/>
            <w:bottom w:val="none" w:sz="0" w:space="0" w:color="auto"/>
            <w:right w:val="none" w:sz="0" w:space="0" w:color="auto"/>
          </w:divBdr>
          <w:divsChild>
            <w:div w:id="534461796">
              <w:marLeft w:val="-164"/>
              <w:marRight w:val="-164"/>
              <w:marTop w:val="0"/>
              <w:marBottom w:val="0"/>
              <w:divBdr>
                <w:top w:val="none" w:sz="0" w:space="0" w:color="auto"/>
                <w:left w:val="none" w:sz="0" w:space="0" w:color="auto"/>
                <w:bottom w:val="none" w:sz="0" w:space="0" w:color="auto"/>
                <w:right w:val="none" w:sz="0" w:space="0" w:color="auto"/>
              </w:divBdr>
              <w:divsChild>
                <w:div w:id="1317105312">
                  <w:marLeft w:val="0"/>
                  <w:marRight w:val="0"/>
                  <w:marTop w:val="0"/>
                  <w:marBottom w:val="0"/>
                  <w:divBdr>
                    <w:top w:val="none" w:sz="0" w:space="0" w:color="auto"/>
                    <w:left w:val="none" w:sz="0" w:space="0" w:color="auto"/>
                    <w:bottom w:val="none" w:sz="0" w:space="0" w:color="auto"/>
                    <w:right w:val="none" w:sz="0" w:space="0" w:color="auto"/>
                  </w:divBdr>
                  <w:divsChild>
                    <w:div w:id="126900793">
                      <w:marLeft w:val="0"/>
                      <w:marRight w:val="0"/>
                      <w:marTop w:val="0"/>
                      <w:marBottom w:val="0"/>
                      <w:divBdr>
                        <w:top w:val="single" w:sz="6" w:space="0" w:color="D1D1D1"/>
                        <w:left w:val="none" w:sz="0" w:space="0" w:color="F5F5F5"/>
                        <w:bottom w:val="single" w:sz="6" w:space="0" w:color="D1D1D1"/>
                        <w:right w:val="none" w:sz="0" w:space="0" w:color="F5F5F5"/>
                      </w:divBdr>
                      <w:divsChild>
                        <w:div w:id="596519472">
                          <w:marLeft w:val="0"/>
                          <w:marRight w:val="0"/>
                          <w:marTop w:val="0"/>
                          <w:marBottom w:val="0"/>
                          <w:divBdr>
                            <w:top w:val="none" w:sz="0" w:space="0" w:color="auto"/>
                            <w:left w:val="none" w:sz="0" w:space="0" w:color="auto"/>
                            <w:bottom w:val="none" w:sz="0" w:space="0" w:color="auto"/>
                            <w:right w:val="none" w:sz="0" w:space="0" w:color="auto"/>
                          </w:divBdr>
                        </w:div>
                        <w:div w:id="1354451753">
                          <w:marLeft w:val="0"/>
                          <w:marRight w:val="0"/>
                          <w:marTop w:val="0"/>
                          <w:marBottom w:val="0"/>
                          <w:divBdr>
                            <w:top w:val="none" w:sz="0" w:space="0" w:color="auto"/>
                            <w:left w:val="none" w:sz="0" w:space="0" w:color="auto"/>
                            <w:bottom w:val="none" w:sz="0" w:space="0" w:color="auto"/>
                            <w:right w:val="none" w:sz="0" w:space="0" w:color="auto"/>
                          </w:divBdr>
                          <w:divsChild>
                            <w:div w:id="340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78942">
              <w:marLeft w:val="0"/>
              <w:marRight w:val="0"/>
              <w:marTop w:val="0"/>
              <w:marBottom w:val="0"/>
              <w:divBdr>
                <w:top w:val="none" w:sz="0" w:space="0" w:color="auto"/>
                <w:left w:val="none" w:sz="0" w:space="0" w:color="auto"/>
                <w:bottom w:val="none" w:sz="0" w:space="0" w:color="auto"/>
                <w:right w:val="none" w:sz="0" w:space="0" w:color="auto"/>
              </w:divBdr>
              <w:divsChild>
                <w:div w:id="509756079">
                  <w:marLeft w:val="0"/>
                  <w:marRight w:val="0"/>
                  <w:marTop w:val="0"/>
                  <w:marBottom w:val="0"/>
                  <w:divBdr>
                    <w:top w:val="none" w:sz="0" w:space="0" w:color="auto"/>
                    <w:left w:val="none" w:sz="0" w:space="0" w:color="auto"/>
                    <w:bottom w:val="none" w:sz="0" w:space="0" w:color="auto"/>
                    <w:right w:val="none" w:sz="0" w:space="0" w:color="auto"/>
                  </w:divBdr>
                  <w:divsChild>
                    <w:div w:id="450712032">
                      <w:marLeft w:val="0"/>
                      <w:marRight w:val="0"/>
                      <w:marTop w:val="0"/>
                      <w:marBottom w:val="0"/>
                      <w:divBdr>
                        <w:top w:val="none" w:sz="0" w:space="0" w:color="auto"/>
                        <w:left w:val="none" w:sz="0" w:space="0" w:color="auto"/>
                        <w:bottom w:val="none" w:sz="0" w:space="0" w:color="auto"/>
                        <w:right w:val="none" w:sz="0" w:space="0" w:color="auto"/>
                      </w:divBdr>
                      <w:divsChild>
                        <w:div w:id="58794767">
                          <w:marLeft w:val="0"/>
                          <w:marRight w:val="0"/>
                          <w:marTop w:val="0"/>
                          <w:marBottom w:val="0"/>
                          <w:divBdr>
                            <w:top w:val="none" w:sz="0" w:space="0" w:color="auto"/>
                            <w:left w:val="none" w:sz="0" w:space="0" w:color="auto"/>
                            <w:bottom w:val="none" w:sz="0" w:space="0" w:color="auto"/>
                            <w:right w:val="none" w:sz="0" w:space="0" w:color="auto"/>
                          </w:divBdr>
                          <w:divsChild>
                            <w:div w:id="1895267036">
                              <w:marLeft w:val="0"/>
                              <w:marRight w:val="0"/>
                              <w:marTop w:val="0"/>
                              <w:marBottom w:val="0"/>
                              <w:divBdr>
                                <w:top w:val="none" w:sz="0" w:space="0" w:color="auto"/>
                                <w:left w:val="none" w:sz="0" w:space="0" w:color="auto"/>
                                <w:bottom w:val="none" w:sz="0" w:space="0" w:color="auto"/>
                                <w:right w:val="none" w:sz="0" w:space="0" w:color="auto"/>
                              </w:divBdr>
                              <w:divsChild>
                                <w:div w:id="20932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3813">
                          <w:marLeft w:val="0"/>
                          <w:marRight w:val="0"/>
                          <w:marTop w:val="0"/>
                          <w:marBottom w:val="0"/>
                          <w:divBdr>
                            <w:top w:val="none" w:sz="0" w:space="0" w:color="auto"/>
                            <w:left w:val="none" w:sz="0" w:space="0" w:color="auto"/>
                            <w:bottom w:val="none" w:sz="0" w:space="0" w:color="auto"/>
                            <w:right w:val="none" w:sz="0" w:space="0" w:color="auto"/>
                          </w:divBdr>
                          <w:divsChild>
                            <w:div w:id="1911884694">
                              <w:marLeft w:val="0"/>
                              <w:marRight w:val="0"/>
                              <w:marTop w:val="0"/>
                              <w:marBottom w:val="0"/>
                              <w:divBdr>
                                <w:top w:val="none" w:sz="0" w:space="0" w:color="auto"/>
                                <w:left w:val="none" w:sz="0" w:space="0" w:color="auto"/>
                                <w:bottom w:val="none" w:sz="0" w:space="0" w:color="auto"/>
                                <w:right w:val="none" w:sz="0" w:space="0" w:color="auto"/>
                              </w:divBdr>
                              <w:divsChild>
                                <w:div w:id="3661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0275">
                          <w:marLeft w:val="0"/>
                          <w:marRight w:val="0"/>
                          <w:marTop w:val="0"/>
                          <w:marBottom w:val="0"/>
                          <w:divBdr>
                            <w:top w:val="none" w:sz="0" w:space="0" w:color="auto"/>
                            <w:left w:val="none" w:sz="0" w:space="0" w:color="auto"/>
                            <w:bottom w:val="none" w:sz="0" w:space="0" w:color="auto"/>
                            <w:right w:val="none" w:sz="0" w:space="0" w:color="auto"/>
                          </w:divBdr>
                          <w:divsChild>
                            <w:div w:id="1581716766">
                              <w:marLeft w:val="0"/>
                              <w:marRight w:val="0"/>
                              <w:marTop w:val="0"/>
                              <w:marBottom w:val="0"/>
                              <w:divBdr>
                                <w:top w:val="none" w:sz="0" w:space="0" w:color="auto"/>
                                <w:left w:val="none" w:sz="0" w:space="0" w:color="auto"/>
                                <w:bottom w:val="none" w:sz="0" w:space="0" w:color="auto"/>
                                <w:right w:val="none" w:sz="0" w:space="0" w:color="auto"/>
                              </w:divBdr>
                            </w:div>
                          </w:divsChild>
                        </w:div>
                        <w:div w:id="692148267">
                          <w:marLeft w:val="0"/>
                          <w:marRight w:val="0"/>
                          <w:marTop w:val="0"/>
                          <w:marBottom w:val="0"/>
                          <w:divBdr>
                            <w:top w:val="none" w:sz="0" w:space="0" w:color="auto"/>
                            <w:left w:val="none" w:sz="0" w:space="0" w:color="auto"/>
                            <w:bottom w:val="none" w:sz="0" w:space="0" w:color="auto"/>
                            <w:right w:val="none" w:sz="0" w:space="0" w:color="auto"/>
                          </w:divBdr>
                          <w:divsChild>
                            <w:div w:id="1963146048">
                              <w:marLeft w:val="0"/>
                              <w:marRight w:val="0"/>
                              <w:marTop w:val="0"/>
                              <w:marBottom w:val="0"/>
                              <w:divBdr>
                                <w:top w:val="none" w:sz="0" w:space="0" w:color="auto"/>
                                <w:left w:val="none" w:sz="0" w:space="0" w:color="auto"/>
                                <w:bottom w:val="none" w:sz="0" w:space="0" w:color="auto"/>
                                <w:right w:val="none" w:sz="0" w:space="0" w:color="auto"/>
                              </w:divBdr>
                              <w:divsChild>
                                <w:div w:id="15701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9983">
                          <w:marLeft w:val="0"/>
                          <w:marRight w:val="0"/>
                          <w:marTop w:val="0"/>
                          <w:marBottom w:val="0"/>
                          <w:divBdr>
                            <w:top w:val="none" w:sz="0" w:space="0" w:color="auto"/>
                            <w:left w:val="none" w:sz="0" w:space="0" w:color="auto"/>
                            <w:bottom w:val="none" w:sz="0" w:space="0" w:color="auto"/>
                            <w:right w:val="none" w:sz="0" w:space="0" w:color="auto"/>
                          </w:divBdr>
                          <w:divsChild>
                            <w:div w:id="2076776254">
                              <w:marLeft w:val="0"/>
                              <w:marRight w:val="0"/>
                              <w:marTop w:val="0"/>
                              <w:marBottom w:val="0"/>
                              <w:divBdr>
                                <w:top w:val="none" w:sz="0" w:space="0" w:color="auto"/>
                                <w:left w:val="none" w:sz="0" w:space="0" w:color="auto"/>
                                <w:bottom w:val="none" w:sz="0" w:space="0" w:color="auto"/>
                                <w:right w:val="none" w:sz="0" w:space="0" w:color="auto"/>
                              </w:divBdr>
                              <w:divsChild>
                                <w:div w:id="5730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963">
                          <w:marLeft w:val="0"/>
                          <w:marRight w:val="0"/>
                          <w:marTop w:val="0"/>
                          <w:marBottom w:val="0"/>
                          <w:divBdr>
                            <w:top w:val="none" w:sz="0" w:space="0" w:color="auto"/>
                            <w:left w:val="none" w:sz="0" w:space="0" w:color="auto"/>
                            <w:bottom w:val="none" w:sz="0" w:space="0" w:color="auto"/>
                            <w:right w:val="none" w:sz="0" w:space="0" w:color="auto"/>
                          </w:divBdr>
                          <w:divsChild>
                            <w:div w:id="1965847282">
                              <w:marLeft w:val="0"/>
                              <w:marRight w:val="0"/>
                              <w:marTop w:val="0"/>
                              <w:marBottom w:val="0"/>
                              <w:divBdr>
                                <w:top w:val="none" w:sz="0" w:space="0" w:color="auto"/>
                                <w:left w:val="none" w:sz="0" w:space="0" w:color="auto"/>
                                <w:bottom w:val="none" w:sz="0" w:space="0" w:color="auto"/>
                                <w:right w:val="none" w:sz="0" w:space="0" w:color="auto"/>
                              </w:divBdr>
                              <w:divsChild>
                                <w:div w:id="17420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7617">
                          <w:marLeft w:val="0"/>
                          <w:marRight w:val="0"/>
                          <w:marTop w:val="0"/>
                          <w:marBottom w:val="0"/>
                          <w:divBdr>
                            <w:top w:val="none" w:sz="0" w:space="0" w:color="auto"/>
                            <w:left w:val="none" w:sz="0" w:space="0" w:color="auto"/>
                            <w:bottom w:val="none" w:sz="0" w:space="0" w:color="auto"/>
                            <w:right w:val="none" w:sz="0" w:space="0" w:color="auto"/>
                          </w:divBdr>
                          <w:divsChild>
                            <w:div w:id="155457227">
                              <w:marLeft w:val="0"/>
                              <w:marRight w:val="0"/>
                              <w:marTop w:val="0"/>
                              <w:marBottom w:val="0"/>
                              <w:divBdr>
                                <w:top w:val="none" w:sz="0" w:space="0" w:color="auto"/>
                                <w:left w:val="none" w:sz="0" w:space="0" w:color="auto"/>
                                <w:bottom w:val="none" w:sz="0" w:space="0" w:color="auto"/>
                                <w:right w:val="none" w:sz="0" w:space="0" w:color="auto"/>
                              </w:divBdr>
                              <w:divsChild>
                                <w:div w:id="20983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6323">
                          <w:marLeft w:val="0"/>
                          <w:marRight w:val="0"/>
                          <w:marTop w:val="0"/>
                          <w:marBottom w:val="0"/>
                          <w:divBdr>
                            <w:top w:val="none" w:sz="0" w:space="0" w:color="auto"/>
                            <w:left w:val="none" w:sz="0" w:space="0" w:color="auto"/>
                            <w:bottom w:val="none" w:sz="0" w:space="0" w:color="auto"/>
                            <w:right w:val="none" w:sz="0" w:space="0" w:color="auto"/>
                          </w:divBdr>
                          <w:divsChild>
                            <w:div w:id="419374669">
                              <w:marLeft w:val="0"/>
                              <w:marRight w:val="0"/>
                              <w:marTop w:val="0"/>
                              <w:marBottom w:val="0"/>
                              <w:divBdr>
                                <w:top w:val="none" w:sz="0" w:space="0" w:color="auto"/>
                                <w:left w:val="none" w:sz="0" w:space="0" w:color="auto"/>
                                <w:bottom w:val="none" w:sz="0" w:space="0" w:color="auto"/>
                                <w:right w:val="none" w:sz="0" w:space="0" w:color="auto"/>
                              </w:divBdr>
                              <w:divsChild>
                                <w:div w:id="7737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29224">
                  <w:marLeft w:val="0"/>
                  <w:marRight w:val="0"/>
                  <w:marTop w:val="0"/>
                  <w:marBottom w:val="0"/>
                  <w:divBdr>
                    <w:top w:val="none" w:sz="0" w:space="0" w:color="auto"/>
                    <w:left w:val="none" w:sz="0" w:space="0" w:color="auto"/>
                    <w:bottom w:val="none" w:sz="0" w:space="0" w:color="auto"/>
                    <w:right w:val="none" w:sz="0" w:space="0" w:color="auto"/>
                  </w:divBdr>
                  <w:divsChild>
                    <w:div w:id="285737130">
                      <w:marLeft w:val="60"/>
                      <w:marRight w:val="0"/>
                      <w:marTop w:val="0"/>
                      <w:marBottom w:val="60"/>
                      <w:divBdr>
                        <w:top w:val="none" w:sz="0" w:space="0" w:color="auto"/>
                        <w:left w:val="none" w:sz="0" w:space="0" w:color="auto"/>
                        <w:bottom w:val="none" w:sz="0" w:space="0" w:color="auto"/>
                        <w:right w:val="none" w:sz="0" w:space="0" w:color="auto"/>
                      </w:divBdr>
                      <w:divsChild>
                        <w:div w:id="222373381">
                          <w:marLeft w:val="0"/>
                          <w:marRight w:val="0"/>
                          <w:marTop w:val="0"/>
                          <w:marBottom w:val="0"/>
                          <w:divBdr>
                            <w:top w:val="none" w:sz="0" w:space="0" w:color="auto"/>
                            <w:left w:val="none" w:sz="0" w:space="0" w:color="auto"/>
                            <w:bottom w:val="none" w:sz="0" w:space="0" w:color="auto"/>
                            <w:right w:val="none" w:sz="0" w:space="0" w:color="auto"/>
                          </w:divBdr>
                          <w:divsChild>
                            <w:div w:id="16866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47094">
              <w:marLeft w:val="480"/>
              <w:marRight w:val="0"/>
              <w:marTop w:val="0"/>
              <w:marBottom w:val="0"/>
              <w:divBdr>
                <w:top w:val="none" w:sz="0" w:space="0" w:color="auto"/>
                <w:left w:val="none" w:sz="0" w:space="0" w:color="auto"/>
                <w:bottom w:val="none" w:sz="0" w:space="0" w:color="auto"/>
                <w:right w:val="none" w:sz="0" w:space="0" w:color="auto"/>
              </w:divBdr>
              <w:divsChild>
                <w:div w:id="916597222">
                  <w:marLeft w:val="270"/>
                  <w:marRight w:val="150"/>
                  <w:marTop w:val="0"/>
                  <w:marBottom w:val="0"/>
                  <w:divBdr>
                    <w:top w:val="none" w:sz="0" w:space="0" w:color="auto"/>
                    <w:left w:val="none" w:sz="0" w:space="0" w:color="auto"/>
                    <w:bottom w:val="none" w:sz="0" w:space="0" w:color="auto"/>
                    <w:right w:val="none" w:sz="0" w:space="0" w:color="auto"/>
                  </w:divBdr>
                </w:div>
                <w:div w:id="1354765318">
                  <w:marLeft w:val="0"/>
                  <w:marRight w:val="0"/>
                  <w:marTop w:val="0"/>
                  <w:marBottom w:val="0"/>
                  <w:divBdr>
                    <w:top w:val="none" w:sz="0" w:space="0" w:color="auto"/>
                    <w:left w:val="none" w:sz="0" w:space="0" w:color="auto"/>
                    <w:bottom w:val="none" w:sz="0" w:space="0" w:color="auto"/>
                    <w:right w:val="none" w:sz="0" w:space="0" w:color="auto"/>
                  </w:divBdr>
                  <w:divsChild>
                    <w:div w:id="1030952023">
                      <w:marLeft w:val="0"/>
                      <w:marRight w:val="0"/>
                      <w:marTop w:val="0"/>
                      <w:marBottom w:val="0"/>
                      <w:divBdr>
                        <w:top w:val="none" w:sz="0" w:space="0" w:color="auto"/>
                        <w:left w:val="none" w:sz="0" w:space="0" w:color="auto"/>
                        <w:bottom w:val="none" w:sz="0" w:space="0" w:color="auto"/>
                        <w:right w:val="none" w:sz="0" w:space="0" w:color="auto"/>
                      </w:divBdr>
                      <w:divsChild>
                        <w:div w:id="190578769">
                          <w:marLeft w:val="0"/>
                          <w:marRight w:val="0"/>
                          <w:marTop w:val="0"/>
                          <w:marBottom w:val="0"/>
                          <w:divBdr>
                            <w:top w:val="none" w:sz="0" w:space="0" w:color="auto"/>
                            <w:left w:val="none" w:sz="0" w:space="0" w:color="auto"/>
                            <w:bottom w:val="none" w:sz="0" w:space="0" w:color="auto"/>
                            <w:right w:val="none" w:sz="0" w:space="0" w:color="auto"/>
                          </w:divBdr>
                          <w:divsChild>
                            <w:div w:id="1413359869">
                              <w:marLeft w:val="0"/>
                              <w:marRight w:val="0"/>
                              <w:marTop w:val="0"/>
                              <w:marBottom w:val="0"/>
                              <w:divBdr>
                                <w:top w:val="none" w:sz="0" w:space="0" w:color="auto"/>
                                <w:left w:val="none" w:sz="0" w:space="0" w:color="auto"/>
                                <w:bottom w:val="none" w:sz="0" w:space="0" w:color="auto"/>
                                <w:right w:val="none" w:sz="0" w:space="0" w:color="auto"/>
                              </w:divBdr>
                              <w:divsChild>
                                <w:div w:id="1205482779">
                                  <w:marLeft w:val="0"/>
                                  <w:marRight w:val="0"/>
                                  <w:marTop w:val="15"/>
                                  <w:marBottom w:val="0"/>
                                  <w:divBdr>
                                    <w:top w:val="none" w:sz="0" w:space="0" w:color="auto"/>
                                    <w:left w:val="none" w:sz="0" w:space="0" w:color="auto"/>
                                    <w:bottom w:val="none" w:sz="0" w:space="0" w:color="auto"/>
                                    <w:right w:val="none" w:sz="0" w:space="0" w:color="auto"/>
                                  </w:divBdr>
                                  <w:divsChild>
                                    <w:div w:id="84652885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441388">
          <w:marLeft w:val="540"/>
          <w:marRight w:val="240"/>
          <w:marTop w:val="0"/>
          <w:marBottom w:val="0"/>
          <w:divBdr>
            <w:top w:val="none" w:sz="0" w:space="0" w:color="auto"/>
            <w:left w:val="none" w:sz="0" w:space="0" w:color="auto"/>
            <w:bottom w:val="none" w:sz="0" w:space="0" w:color="auto"/>
            <w:right w:val="none" w:sz="0" w:space="0" w:color="auto"/>
          </w:divBdr>
          <w:divsChild>
            <w:div w:id="1338575235">
              <w:marLeft w:val="0"/>
              <w:marRight w:val="0"/>
              <w:marTop w:val="150"/>
              <w:marBottom w:val="0"/>
              <w:divBdr>
                <w:top w:val="none" w:sz="0" w:space="0" w:color="auto"/>
                <w:left w:val="none" w:sz="0" w:space="0" w:color="auto"/>
                <w:bottom w:val="none" w:sz="0" w:space="0" w:color="auto"/>
                <w:right w:val="none" w:sz="0" w:space="0" w:color="auto"/>
              </w:divBdr>
              <w:divsChild>
                <w:div w:id="1798528729">
                  <w:marLeft w:val="0"/>
                  <w:marRight w:val="0"/>
                  <w:marTop w:val="0"/>
                  <w:marBottom w:val="0"/>
                  <w:divBdr>
                    <w:top w:val="none" w:sz="0" w:space="0" w:color="auto"/>
                    <w:left w:val="none" w:sz="0" w:space="0" w:color="auto"/>
                    <w:bottom w:val="none" w:sz="0" w:space="0" w:color="auto"/>
                    <w:right w:val="none" w:sz="0" w:space="0" w:color="auto"/>
                  </w:divBdr>
                  <w:divsChild>
                    <w:div w:id="1273631691">
                      <w:marLeft w:val="0"/>
                      <w:marRight w:val="180"/>
                      <w:marTop w:val="0"/>
                      <w:marBottom w:val="180"/>
                      <w:divBdr>
                        <w:top w:val="none" w:sz="0" w:space="0" w:color="auto"/>
                        <w:left w:val="none" w:sz="0" w:space="0" w:color="auto"/>
                        <w:bottom w:val="none" w:sz="0" w:space="0" w:color="auto"/>
                        <w:right w:val="none" w:sz="0" w:space="0" w:color="auto"/>
                      </w:divBdr>
                      <w:divsChild>
                        <w:div w:id="537469096">
                          <w:marLeft w:val="0"/>
                          <w:marRight w:val="0"/>
                          <w:marTop w:val="0"/>
                          <w:marBottom w:val="0"/>
                          <w:divBdr>
                            <w:top w:val="single" w:sz="6" w:space="0" w:color="auto"/>
                            <w:left w:val="single" w:sz="6" w:space="0" w:color="auto"/>
                            <w:bottom w:val="single" w:sz="6" w:space="0" w:color="auto"/>
                            <w:right w:val="single" w:sz="6" w:space="0" w:color="auto"/>
                          </w:divBdr>
                          <w:divsChild>
                            <w:div w:id="281616344">
                              <w:marLeft w:val="0"/>
                              <w:marRight w:val="0"/>
                              <w:marTop w:val="0"/>
                              <w:marBottom w:val="0"/>
                              <w:divBdr>
                                <w:top w:val="none" w:sz="0" w:space="0" w:color="auto"/>
                                <w:left w:val="none" w:sz="0" w:space="0" w:color="auto"/>
                                <w:bottom w:val="none" w:sz="0" w:space="0" w:color="auto"/>
                                <w:right w:val="none" w:sz="0" w:space="0" w:color="auto"/>
                              </w:divBdr>
                              <w:divsChild>
                                <w:div w:id="646664758">
                                  <w:marLeft w:val="0"/>
                                  <w:marRight w:val="0"/>
                                  <w:marTop w:val="0"/>
                                  <w:marBottom w:val="0"/>
                                  <w:divBdr>
                                    <w:top w:val="none" w:sz="0" w:space="0" w:color="auto"/>
                                    <w:left w:val="none" w:sz="0" w:space="0" w:color="auto"/>
                                    <w:bottom w:val="none" w:sz="0" w:space="0" w:color="auto"/>
                                    <w:right w:val="none" w:sz="0" w:space="0" w:color="auto"/>
                                  </w:divBdr>
                                  <w:divsChild>
                                    <w:div w:id="892929249">
                                      <w:marLeft w:val="0"/>
                                      <w:marRight w:val="-15"/>
                                      <w:marTop w:val="0"/>
                                      <w:marBottom w:val="0"/>
                                      <w:divBdr>
                                        <w:top w:val="none" w:sz="0" w:space="0" w:color="auto"/>
                                        <w:left w:val="none" w:sz="0" w:space="0" w:color="auto"/>
                                        <w:bottom w:val="none" w:sz="0" w:space="0" w:color="auto"/>
                                        <w:right w:val="none" w:sz="0" w:space="0" w:color="auto"/>
                                      </w:divBdr>
                                    </w:div>
                                    <w:div w:id="1094134121">
                                      <w:marLeft w:val="0"/>
                                      <w:marRight w:val="0"/>
                                      <w:marTop w:val="0"/>
                                      <w:marBottom w:val="0"/>
                                      <w:divBdr>
                                        <w:top w:val="none" w:sz="0" w:space="0" w:color="auto"/>
                                        <w:left w:val="none" w:sz="0" w:space="0" w:color="auto"/>
                                        <w:bottom w:val="none" w:sz="0" w:space="0" w:color="auto"/>
                                        <w:right w:val="none" w:sz="0" w:space="0" w:color="auto"/>
                                      </w:divBdr>
                                      <w:divsChild>
                                        <w:div w:id="28457820">
                                          <w:marLeft w:val="0"/>
                                          <w:marRight w:val="0"/>
                                          <w:marTop w:val="0"/>
                                          <w:marBottom w:val="0"/>
                                          <w:divBdr>
                                            <w:top w:val="none" w:sz="0" w:space="0" w:color="auto"/>
                                            <w:left w:val="none" w:sz="0" w:space="0" w:color="auto"/>
                                            <w:bottom w:val="none" w:sz="0" w:space="0" w:color="auto"/>
                                            <w:right w:val="none" w:sz="0" w:space="0" w:color="auto"/>
                                          </w:divBdr>
                                          <w:divsChild>
                                            <w:div w:id="176116974">
                                              <w:marLeft w:val="0"/>
                                              <w:marRight w:val="0"/>
                                              <w:marTop w:val="0"/>
                                              <w:marBottom w:val="0"/>
                                              <w:divBdr>
                                                <w:top w:val="none" w:sz="0" w:space="0" w:color="auto"/>
                                                <w:left w:val="none" w:sz="0" w:space="0" w:color="auto"/>
                                                <w:bottom w:val="none" w:sz="0" w:space="0" w:color="auto"/>
                                                <w:right w:val="none" w:sz="0" w:space="0" w:color="auto"/>
                                              </w:divBdr>
                                            </w:div>
                                            <w:div w:id="12301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088269">
          <w:marLeft w:val="0"/>
          <w:marRight w:val="0"/>
          <w:marTop w:val="0"/>
          <w:marBottom w:val="0"/>
          <w:divBdr>
            <w:top w:val="none" w:sz="0" w:space="0" w:color="auto"/>
            <w:left w:val="none" w:sz="0" w:space="0" w:color="auto"/>
            <w:bottom w:val="none" w:sz="0" w:space="0" w:color="auto"/>
            <w:right w:val="none" w:sz="0" w:space="0" w:color="auto"/>
          </w:divBdr>
          <w:divsChild>
            <w:div w:id="1959070233">
              <w:marLeft w:val="540"/>
              <w:marRight w:val="240"/>
              <w:marTop w:val="180"/>
              <w:marBottom w:val="0"/>
              <w:divBdr>
                <w:top w:val="none" w:sz="0" w:space="0" w:color="auto"/>
                <w:left w:val="none" w:sz="0" w:space="0" w:color="auto"/>
                <w:bottom w:val="none" w:sz="0" w:space="0" w:color="auto"/>
                <w:right w:val="none" w:sz="0" w:space="0" w:color="auto"/>
              </w:divBdr>
              <w:divsChild>
                <w:div w:id="957486058">
                  <w:marLeft w:val="0"/>
                  <w:marRight w:val="0"/>
                  <w:marTop w:val="0"/>
                  <w:marBottom w:val="0"/>
                  <w:divBdr>
                    <w:top w:val="none" w:sz="0" w:space="0" w:color="auto"/>
                    <w:left w:val="none" w:sz="0" w:space="0" w:color="auto"/>
                    <w:bottom w:val="none" w:sz="0" w:space="0" w:color="auto"/>
                    <w:right w:val="none" w:sz="0" w:space="0" w:color="auto"/>
                  </w:divBdr>
                  <w:divsChild>
                    <w:div w:id="2009094906">
                      <w:marLeft w:val="0"/>
                      <w:marRight w:val="0"/>
                      <w:marTop w:val="0"/>
                      <w:marBottom w:val="0"/>
                      <w:divBdr>
                        <w:top w:val="none" w:sz="0" w:space="0" w:color="auto"/>
                        <w:left w:val="none" w:sz="0" w:space="0" w:color="auto"/>
                        <w:bottom w:val="none" w:sz="0" w:space="0" w:color="auto"/>
                        <w:right w:val="none" w:sz="0" w:space="0" w:color="auto"/>
                      </w:divBdr>
                      <w:divsChild>
                        <w:div w:id="1939870591">
                          <w:marLeft w:val="0"/>
                          <w:marRight w:val="0"/>
                          <w:marTop w:val="0"/>
                          <w:marBottom w:val="0"/>
                          <w:divBdr>
                            <w:top w:val="none" w:sz="0" w:space="0" w:color="auto"/>
                            <w:left w:val="none" w:sz="0" w:space="0" w:color="auto"/>
                            <w:bottom w:val="none" w:sz="0" w:space="0" w:color="auto"/>
                            <w:right w:val="none" w:sz="0" w:space="0" w:color="auto"/>
                          </w:divBdr>
                          <w:divsChild>
                            <w:div w:id="551768004">
                              <w:marLeft w:val="0"/>
                              <w:marRight w:val="0"/>
                              <w:marTop w:val="0"/>
                              <w:marBottom w:val="0"/>
                              <w:divBdr>
                                <w:top w:val="single" w:sz="8" w:space="0" w:color="808080"/>
                                <w:left w:val="single" w:sz="8" w:space="0" w:color="808080"/>
                                <w:bottom w:val="single" w:sz="8" w:space="0" w:color="808080"/>
                                <w:right w:val="single" w:sz="8" w:space="0" w:color="808080"/>
                              </w:divBdr>
                            </w:div>
                            <w:div w:id="1197768456">
                              <w:marLeft w:val="0"/>
                              <w:marRight w:val="0"/>
                              <w:marTop w:val="0"/>
                              <w:marBottom w:val="0"/>
                              <w:divBdr>
                                <w:top w:val="none" w:sz="0" w:space="0" w:color="auto"/>
                                <w:left w:val="none" w:sz="0" w:space="0" w:color="auto"/>
                                <w:bottom w:val="none" w:sz="0" w:space="0" w:color="auto"/>
                                <w:right w:val="none" w:sz="0" w:space="0" w:color="auto"/>
                              </w:divBdr>
                              <w:divsChild>
                                <w:div w:id="6183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56481">
      <w:bodyDiv w:val="1"/>
      <w:marLeft w:val="0"/>
      <w:marRight w:val="0"/>
      <w:marTop w:val="0"/>
      <w:marBottom w:val="0"/>
      <w:divBdr>
        <w:top w:val="none" w:sz="0" w:space="0" w:color="auto"/>
        <w:left w:val="none" w:sz="0" w:space="0" w:color="auto"/>
        <w:bottom w:val="none" w:sz="0" w:space="0" w:color="auto"/>
        <w:right w:val="none" w:sz="0" w:space="0" w:color="auto"/>
      </w:divBdr>
    </w:div>
    <w:div w:id="196819739">
      <w:bodyDiv w:val="1"/>
      <w:marLeft w:val="0"/>
      <w:marRight w:val="0"/>
      <w:marTop w:val="0"/>
      <w:marBottom w:val="0"/>
      <w:divBdr>
        <w:top w:val="none" w:sz="0" w:space="0" w:color="auto"/>
        <w:left w:val="none" w:sz="0" w:space="0" w:color="auto"/>
        <w:bottom w:val="none" w:sz="0" w:space="0" w:color="auto"/>
        <w:right w:val="none" w:sz="0" w:space="0" w:color="auto"/>
      </w:divBdr>
    </w:div>
    <w:div w:id="197746842">
      <w:bodyDiv w:val="1"/>
      <w:marLeft w:val="0"/>
      <w:marRight w:val="0"/>
      <w:marTop w:val="0"/>
      <w:marBottom w:val="0"/>
      <w:divBdr>
        <w:top w:val="none" w:sz="0" w:space="0" w:color="auto"/>
        <w:left w:val="none" w:sz="0" w:space="0" w:color="auto"/>
        <w:bottom w:val="none" w:sz="0" w:space="0" w:color="auto"/>
        <w:right w:val="none" w:sz="0" w:space="0" w:color="auto"/>
      </w:divBdr>
    </w:div>
    <w:div w:id="205335253">
      <w:bodyDiv w:val="1"/>
      <w:marLeft w:val="0"/>
      <w:marRight w:val="0"/>
      <w:marTop w:val="0"/>
      <w:marBottom w:val="0"/>
      <w:divBdr>
        <w:top w:val="none" w:sz="0" w:space="0" w:color="auto"/>
        <w:left w:val="none" w:sz="0" w:space="0" w:color="auto"/>
        <w:bottom w:val="none" w:sz="0" w:space="0" w:color="auto"/>
        <w:right w:val="none" w:sz="0" w:space="0" w:color="auto"/>
      </w:divBdr>
    </w:div>
    <w:div w:id="207649690">
      <w:bodyDiv w:val="1"/>
      <w:marLeft w:val="0"/>
      <w:marRight w:val="0"/>
      <w:marTop w:val="0"/>
      <w:marBottom w:val="0"/>
      <w:divBdr>
        <w:top w:val="none" w:sz="0" w:space="0" w:color="auto"/>
        <w:left w:val="none" w:sz="0" w:space="0" w:color="auto"/>
        <w:bottom w:val="none" w:sz="0" w:space="0" w:color="auto"/>
        <w:right w:val="none" w:sz="0" w:space="0" w:color="auto"/>
      </w:divBdr>
    </w:div>
    <w:div w:id="210579377">
      <w:bodyDiv w:val="1"/>
      <w:marLeft w:val="0"/>
      <w:marRight w:val="0"/>
      <w:marTop w:val="0"/>
      <w:marBottom w:val="0"/>
      <w:divBdr>
        <w:top w:val="none" w:sz="0" w:space="0" w:color="auto"/>
        <w:left w:val="none" w:sz="0" w:space="0" w:color="auto"/>
        <w:bottom w:val="none" w:sz="0" w:space="0" w:color="auto"/>
        <w:right w:val="none" w:sz="0" w:space="0" w:color="auto"/>
      </w:divBdr>
    </w:div>
    <w:div w:id="229049302">
      <w:bodyDiv w:val="1"/>
      <w:marLeft w:val="0"/>
      <w:marRight w:val="0"/>
      <w:marTop w:val="0"/>
      <w:marBottom w:val="0"/>
      <w:divBdr>
        <w:top w:val="none" w:sz="0" w:space="0" w:color="auto"/>
        <w:left w:val="none" w:sz="0" w:space="0" w:color="auto"/>
        <w:bottom w:val="none" w:sz="0" w:space="0" w:color="auto"/>
        <w:right w:val="none" w:sz="0" w:space="0" w:color="auto"/>
      </w:divBdr>
    </w:div>
    <w:div w:id="242883592">
      <w:bodyDiv w:val="1"/>
      <w:marLeft w:val="0"/>
      <w:marRight w:val="0"/>
      <w:marTop w:val="0"/>
      <w:marBottom w:val="0"/>
      <w:divBdr>
        <w:top w:val="none" w:sz="0" w:space="0" w:color="auto"/>
        <w:left w:val="none" w:sz="0" w:space="0" w:color="auto"/>
        <w:bottom w:val="none" w:sz="0" w:space="0" w:color="auto"/>
        <w:right w:val="none" w:sz="0" w:space="0" w:color="auto"/>
      </w:divBdr>
    </w:div>
    <w:div w:id="251595598">
      <w:bodyDiv w:val="1"/>
      <w:marLeft w:val="0"/>
      <w:marRight w:val="0"/>
      <w:marTop w:val="0"/>
      <w:marBottom w:val="0"/>
      <w:divBdr>
        <w:top w:val="none" w:sz="0" w:space="0" w:color="auto"/>
        <w:left w:val="none" w:sz="0" w:space="0" w:color="auto"/>
        <w:bottom w:val="none" w:sz="0" w:space="0" w:color="auto"/>
        <w:right w:val="none" w:sz="0" w:space="0" w:color="auto"/>
      </w:divBdr>
    </w:div>
    <w:div w:id="257566157">
      <w:bodyDiv w:val="1"/>
      <w:marLeft w:val="0"/>
      <w:marRight w:val="0"/>
      <w:marTop w:val="0"/>
      <w:marBottom w:val="0"/>
      <w:divBdr>
        <w:top w:val="none" w:sz="0" w:space="0" w:color="auto"/>
        <w:left w:val="none" w:sz="0" w:space="0" w:color="auto"/>
        <w:bottom w:val="none" w:sz="0" w:space="0" w:color="auto"/>
        <w:right w:val="none" w:sz="0" w:space="0" w:color="auto"/>
      </w:divBdr>
    </w:div>
    <w:div w:id="279387056">
      <w:bodyDiv w:val="1"/>
      <w:marLeft w:val="0"/>
      <w:marRight w:val="0"/>
      <w:marTop w:val="0"/>
      <w:marBottom w:val="0"/>
      <w:divBdr>
        <w:top w:val="none" w:sz="0" w:space="0" w:color="auto"/>
        <w:left w:val="none" w:sz="0" w:space="0" w:color="auto"/>
        <w:bottom w:val="none" w:sz="0" w:space="0" w:color="auto"/>
        <w:right w:val="none" w:sz="0" w:space="0" w:color="auto"/>
      </w:divBdr>
    </w:div>
    <w:div w:id="302004042">
      <w:bodyDiv w:val="1"/>
      <w:marLeft w:val="0"/>
      <w:marRight w:val="0"/>
      <w:marTop w:val="0"/>
      <w:marBottom w:val="0"/>
      <w:divBdr>
        <w:top w:val="none" w:sz="0" w:space="0" w:color="auto"/>
        <w:left w:val="none" w:sz="0" w:space="0" w:color="auto"/>
        <w:bottom w:val="none" w:sz="0" w:space="0" w:color="auto"/>
        <w:right w:val="none" w:sz="0" w:space="0" w:color="auto"/>
      </w:divBdr>
    </w:div>
    <w:div w:id="311718862">
      <w:bodyDiv w:val="1"/>
      <w:marLeft w:val="0"/>
      <w:marRight w:val="0"/>
      <w:marTop w:val="0"/>
      <w:marBottom w:val="0"/>
      <w:divBdr>
        <w:top w:val="none" w:sz="0" w:space="0" w:color="auto"/>
        <w:left w:val="none" w:sz="0" w:space="0" w:color="auto"/>
        <w:bottom w:val="none" w:sz="0" w:space="0" w:color="auto"/>
        <w:right w:val="none" w:sz="0" w:space="0" w:color="auto"/>
      </w:divBdr>
    </w:div>
    <w:div w:id="349643071">
      <w:bodyDiv w:val="1"/>
      <w:marLeft w:val="0"/>
      <w:marRight w:val="0"/>
      <w:marTop w:val="0"/>
      <w:marBottom w:val="0"/>
      <w:divBdr>
        <w:top w:val="none" w:sz="0" w:space="0" w:color="auto"/>
        <w:left w:val="none" w:sz="0" w:space="0" w:color="auto"/>
        <w:bottom w:val="none" w:sz="0" w:space="0" w:color="auto"/>
        <w:right w:val="none" w:sz="0" w:space="0" w:color="auto"/>
      </w:divBdr>
    </w:div>
    <w:div w:id="355664040">
      <w:bodyDiv w:val="1"/>
      <w:marLeft w:val="0"/>
      <w:marRight w:val="0"/>
      <w:marTop w:val="0"/>
      <w:marBottom w:val="0"/>
      <w:divBdr>
        <w:top w:val="none" w:sz="0" w:space="0" w:color="auto"/>
        <w:left w:val="none" w:sz="0" w:space="0" w:color="auto"/>
        <w:bottom w:val="none" w:sz="0" w:space="0" w:color="auto"/>
        <w:right w:val="none" w:sz="0" w:space="0" w:color="auto"/>
      </w:divBdr>
    </w:div>
    <w:div w:id="362292499">
      <w:bodyDiv w:val="1"/>
      <w:marLeft w:val="0"/>
      <w:marRight w:val="0"/>
      <w:marTop w:val="0"/>
      <w:marBottom w:val="0"/>
      <w:divBdr>
        <w:top w:val="none" w:sz="0" w:space="0" w:color="auto"/>
        <w:left w:val="none" w:sz="0" w:space="0" w:color="auto"/>
        <w:bottom w:val="none" w:sz="0" w:space="0" w:color="auto"/>
        <w:right w:val="none" w:sz="0" w:space="0" w:color="auto"/>
      </w:divBdr>
    </w:div>
    <w:div w:id="367221469">
      <w:bodyDiv w:val="1"/>
      <w:marLeft w:val="0"/>
      <w:marRight w:val="0"/>
      <w:marTop w:val="0"/>
      <w:marBottom w:val="0"/>
      <w:divBdr>
        <w:top w:val="none" w:sz="0" w:space="0" w:color="auto"/>
        <w:left w:val="none" w:sz="0" w:space="0" w:color="auto"/>
        <w:bottom w:val="none" w:sz="0" w:space="0" w:color="auto"/>
        <w:right w:val="none" w:sz="0" w:space="0" w:color="auto"/>
      </w:divBdr>
    </w:div>
    <w:div w:id="394082690">
      <w:bodyDiv w:val="1"/>
      <w:marLeft w:val="0"/>
      <w:marRight w:val="0"/>
      <w:marTop w:val="0"/>
      <w:marBottom w:val="0"/>
      <w:divBdr>
        <w:top w:val="none" w:sz="0" w:space="0" w:color="auto"/>
        <w:left w:val="none" w:sz="0" w:space="0" w:color="auto"/>
        <w:bottom w:val="none" w:sz="0" w:space="0" w:color="auto"/>
        <w:right w:val="none" w:sz="0" w:space="0" w:color="auto"/>
      </w:divBdr>
    </w:div>
    <w:div w:id="411587414">
      <w:bodyDiv w:val="1"/>
      <w:marLeft w:val="0"/>
      <w:marRight w:val="0"/>
      <w:marTop w:val="0"/>
      <w:marBottom w:val="0"/>
      <w:divBdr>
        <w:top w:val="none" w:sz="0" w:space="0" w:color="auto"/>
        <w:left w:val="none" w:sz="0" w:space="0" w:color="auto"/>
        <w:bottom w:val="none" w:sz="0" w:space="0" w:color="auto"/>
        <w:right w:val="none" w:sz="0" w:space="0" w:color="auto"/>
      </w:divBdr>
    </w:div>
    <w:div w:id="423109082">
      <w:bodyDiv w:val="1"/>
      <w:marLeft w:val="0"/>
      <w:marRight w:val="0"/>
      <w:marTop w:val="0"/>
      <w:marBottom w:val="0"/>
      <w:divBdr>
        <w:top w:val="none" w:sz="0" w:space="0" w:color="auto"/>
        <w:left w:val="none" w:sz="0" w:space="0" w:color="auto"/>
        <w:bottom w:val="none" w:sz="0" w:space="0" w:color="auto"/>
        <w:right w:val="none" w:sz="0" w:space="0" w:color="auto"/>
      </w:divBdr>
    </w:div>
    <w:div w:id="428433083">
      <w:bodyDiv w:val="1"/>
      <w:marLeft w:val="0"/>
      <w:marRight w:val="0"/>
      <w:marTop w:val="0"/>
      <w:marBottom w:val="0"/>
      <w:divBdr>
        <w:top w:val="none" w:sz="0" w:space="0" w:color="auto"/>
        <w:left w:val="none" w:sz="0" w:space="0" w:color="auto"/>
        <w:bottom w:val="none" w:sz="0" w:space="0" w:color="auto"/>
        <w:right w:val="none" w:sz="0" w:space="0" w:color="auto"/>
      </w:divBdr>
    </w:div>
    <w:div w:id="428434864">
      <w:bodyDiv w:val="1"/>
      <w:marLeft w:val="0"/>
      <w:marRight w:val="0"/>
      <w:marTop w:val="0"/>
      <w:marBottom w:val="0"/>
      <w:divBdr>
        <w:top w:val="none" w:sz="0" w:space="0" w:color="auto"/>
        <w:left w:val="none" w:sz="0" w:space="0" w:color="auto"/>
        <w:bottom w:val="none" w:sz="0" w:space="0" w:color="auto"/>
        <w:right w:val="none" w:sz="0" w:space="0" w:color="auto"/>
      </w:divBdr>
    </w:div>
    <w:div w:id="435102476">
      <w:bodyDiv w:val="1"/>
      <w:marLeft w:val="0"/>
      <w:marRight w:val="0"/>
      <w:marTop w:val="0"/>
      <w:marBottom w:val="0"/>
      <w:divBdr>
        <w:top w:val="none" w:sz="0" w:space="0" w:color="auto"/>
        <w:left w:val="none" w:sz="0" w:space="0" w:color="auto"/>
        <w:bottom w:val="none" w:sz="0" w:space="0" w:color="auto"/>
        <w:right w:val="none" w:sz="0" w:space="0" w:color="auto"/>
      </w:divBdr>
    </w:div>
    <w:div w:id="448355788">
      <w:bodyDiv w:val="1"/>
      <w:marLeft w:val="0"/>
      <w:marRight w:val="0"/>
      <w:marTop w:val="0"/>
      <w:marBottom w:val="0"/>
      <w:divBdr>
        <w:top w:val="none" w:sz="0" w:space="0" w:color="auto"/>
        <w:left w:val="none" w:sz="0" w:space="0" w:color="auto"/>
        <w:bottom w:val="none" w:sz="0" w:space="0" w:color="auto"/>
        <w:right w:val="none" w:sz="0" w:space="0" w:color="auto"/>
      </w:divBdr>
    </w:div>
    <w:div w:id="460001782">
      <w:bodyDiv w:val="1"/>
      <w:marLeft w:val="0"/>
      <w:marRight w:val="0"/>
      <w:marTop w:val="0"/>
      <w:marBottom w:val="0"/>
      <w:divBdr>
        <w:top w:val="none" w:sz="0" w:space="0" w:color="auto"/>
        <w:left w:val="none" w:sz="0" w:space="0" w:color="auto"/>
        <w:bottom w:val="none" w:sz="0" w:space="0" w:color="auto"/>
        <w:right w:val="none" w:sz="0" w:space="0" w:color="auto"/>
      </w:divBdr>
    </w:div>
    <w:div w:id="486676725">
      <w:bodyDiv w:val="1"/>
      <w:marLeft w:val="0"/>
      <w:marRight w:val="0"/>
      <w:marTop w:val="0"/>
      <w:marBottom w:val="0"/>
      <w:divBdr>
        <w:top w:val="none" w:sz="0" w:space="0" w:color="auto"/>
        <w:left w:val="none" w:sz="0" w:space="0" w:color="auto"/>
        <w:bottom w:val="none" w:sz="0" w:space="0" w:color="auto"/>
        <w:right w:val="none" w:sz="0" w:space="0" w:color="auto"/>
      </w:divBdr>
    </w:div>
    <w:div w:id="495147696">
      <w:bodyDiv w:val="1"/>
      <w:marLeft w:val="0"/>
      <w:marRight w:val="0"/>
      <w:marTop w:val="0"/>
      <w:marBottom w:val="0"/>
      <w:divBdr>
        <w:top w:val="none" w:sz="0" w:space="0" w:color="auto"/>
        <w:left w:val="none" w:sz="0" w:space="0" w:color="auto"/>
        <w:bottom w:val="none" w:sz="0" w:space="0" w:color="auto"/>
        <w:right w:val="none" w:sz="0" w:space="0" w:color="auto"/>
      </w:divBdr>
    </w:div>
    <w:div w:id="513493213">
      <w:bodyDiv w:val="1"/>
      <w:marLeft w:val="0"/>
      <w:marRight w:val="0"/>
      <w:marTop w:val="0"/>
      <w:marBottom w:val="0"/>
      <w:divBdr>
        <w:top w:val="none" w:sz="0" w:space="0" w:color="auto"/>
        <w:left w:val="none" w:sz="0" w:space="0" w:color="auto"/>
        <w:bottom w:val="none" w:sz="0" w:space="0" w:color="auto"/>
        <w:right w:val="none" w:sz="0" w:space="0" w:color="auto"/>
      </w:divBdr>
    </w:div>
    <w:div w:id="519853601">
      <w:bodyDiv w:val="1"/>
      <w:marLeft w:val="0"/>
      <w:marRight w:val="0"/>
      <w:marTop w:val="0"/>
      <w:marBottom w:val="0"/>
      <w:divBdr>
        <w:top w:val="none" w:sz="0" w:space="0" w:color="auto"/>
        <w:left w:val="none" w:sz="0" w:space="0" w:color="auto"/>
        <w:bottom w:val="none" w:sz="0" w:space="0" w:color="auto"/>
        <w:right w:val="none" w:sz="0" w:space="0" w:color="auto"/>
      </w:divBdr>
    </w:div>
    <w:div w:id="537359590">
      <w:bodyDiv w:val="1"/>
      <w:marLeft w:val="0"/>
      <w:marRight w:val="0"/>
      <w:marTop w:val="0"/>
      <w:marBottom w:val="0"/>
      <w:divBdr>
        <w:top w:val="none" w:sz="0" w:space="0" w:color="auto"/>
        <w:left w:val="none" w:sz="0" w:space="0" w:color="auto"/>
        <w:bottom w:val="none" w:sz="0" w:space="0" w:color="auto"/>
        <w:right w:val="none" w:sz="0" w:space="0" w:color="auto"/>
      </w:divBdr>
    </w:div>
    <w:div w:id="554005621">
      <w:bodyDiv w:val="1"/>
      <w:marLeft w:val="0"/>
      <w:marRight w:val="0"/>
      <w:marTop w:val="0"/>
      <w:marBottom w:val="0"/>
      <w:divBdr>
        <w:top w:val="none" w:sz="0" w:space="0" w:color="auto"/>
        <w:left w:val="none" w:sz="0" w:space="0" w:color="auto"/>
        <w:bottom w:val="none" w:sz="0" w:space="0" w:color="auto"/>
        <w:right w:val="none" w:sz="0" w:space="0" w:color="auto"/>
      </w:divBdr>
    </w:div>
    <w:div w:id="567426993">
      <w:bodyDiv w:val="1"/>
      <w:marLeft w:val="0"/>
      <w:marRight w:val="0"/>
      <w:marTop w:val="0"/>
      <w:marBottom w:val="0"/>
      <w:divBdr>
        <w:top w:val="none" w:sz="0" w:space="0" w:color="auto"/>
        <w:left w:val="none" w:sz="0" w:space="0" w:color="auto"/>
        <w:bottom w:val="none" w:sz="0" w:space="0" w:color="auto"/>
        <w:right w:val="none" w:sz="0" w:space="0" w:color="auto"/>
      </w:divBdr>
    </w:div>
    <w:div w:id="570122701">
      <w:bodyDiv w:val="1"/>
      <w:marLeft w:val="0"/>
      <w:marRight w:val="0"/>
      <w:marTop w:val="0"/>
      <w:marBottom w:val="0"/>
      <w:divBdr>
        <w:top w:val="none" w:sz="0" w:space="0" w:color="auto"/>
        <w:left w:val="none" w:sz="0" w:space="0" w:color="auto"/>
        <w:bottom w:val="none" w:sz="0" w:space="0" w:color="auto"/>
        <w:right w:val="none" w:sz="0" w:space="0" w:color="auto"/>
      </w:divBdr>
    </w:div>
    <w:div w:id="579145614">
      <w:bodyDiv w:val="1"/>
      <w:marLeft w:val="0"/>
      <w:marRight w:val="0"/>
      <w:marTop w:val="0"/>
      <w:marBottom w:val="0"/>
      <w:divBdr>
        <w:top w:val="none" w:sz="0" w:space="0" w:color="auto"/>
        <w:left w:val="none" w:sz="0" w:space="0" w:color="auto"/>
        <w:bottom w:val="none" w:sz="0" w:space="0" w:color="auto"/>
        <w:right w:val="none" w:sz="0" w:space="0" w:color="auto"/>
      </w:divBdr>
    </w:div>
    <w:div w:id="605038728">
      <w:bodyDiv w:val="1"/>
      <w:marLeft w:val="0"/>
      <w:marRight w:val="0"/>
      <w:marTop w:val="0"/>
      <w:marBottom w:val="0"/>
      <w:divBdr>
        <w:top w:val="none" w:sz="0" w:space="0" w:color="auto"/>
        <w:left w:val="none" w:sz="0" w:space="0" w:color="auto"/>
        <w:bottom w:val="none" w:sz="0" w:space="0" w:color="auto"/>
        <w:right w:val="none" w:sz="0" w:space="0" w:color="auto"/>
      </w:divBdr>
    </w:div>
    <w:div w:id="606280804">
      <w:bodyDiv w:val="1"/>
      <w:marLeft w:val="0"/>
      <w:marRight w:val="0"/>
      <w:marTop w:val="0"/>
      <w:marBottom w:val="0"/>
      <w:divBdr>
        <w:top w:val="none" w:sz="0" w:space="0" w:color="auto"/>
        <w:left w:val="none" w:sz="0" w:space="0" w:color="auto"/>
        <w:bottom w:val="none" w:sz="0" w:space="0" w:color="auto"/>
        <w:right w:val="none" w:sz="0" w:space="0" w:color="auto"/>
      </w:divBdr>
    </w:div>
    <w:div w:id="612715733">
      <w:bodyDiv w:val="1"/>
      <w:marLeft w:val="0"/>
      <w:marRight w:val="0"/>
      <w:marTop w:val="0"/>
      <w:marBottom w:val="0"/>
      <w:divBdr>
        <w:top w:val="none" w:sz="0" w:space="0" w:color="auto"/>
        <w:left w:val="none" w:sz="0" w:space="0" w:color="auto"/>
        <w:bottom w:val="none" w:sz="0" w:space="0" w:color="auto"/>
        <w:right w:val="none" w:sz="0" w:space="0" w:color="auto"/>
      </w:divBdr>
    </w:div>
    <w:div w:id="628364134">
      <w:bodyDiv w:val="1"/>
      <w:marLeft w:val="0"/>
      <w:marRight w:val="0"/>
      <w:marTop w:val="0"/>
      <w:marBottom w:val="0"/>
      <w:divBdr>
        <w:top w:val="none" w:sz="0" w:space="0" w:color="auto"/>
        <w:left w:val="none" w:sz="0" w:space="0" w:color="auto"/>
        <w:bottom w:val="none" w:sz="0" w:space="0" w:color="auto"/>
        <w:right w:val="none" w:sz="0" w:space="0" w:color="auto"/>
      </w:divBdr>
    </w:div>
    <w:div w:id="637762466">
      <w:bodyDiv w:val="1"/>
      <w:marLeft w:val="0"/>
      <w:marRight w:val="0"/>
      <w:marTop w:val="0"/>
      <w:marBottom w:val="0"/>
      <w:divBdr>
        <w:top w:val="none" w:sz="0" w:space="0" w:color="auto"/>
        <w:left w:val="none" w:sz="0" w:space="0" w:color="auto"/>
        <w:bottom w:val="none" w:sz="0" w:space="0" w:color="auto"/>
        <w:right w:val="none" w:sz="0" w:space="0" w:color="auto"/>
      </w:divBdr>
    </w:div>
    <w:div w:id="652375418">
      <w:bodyDiv w:val="1"/>
      <w:marLeft w:val="0"/>
      <w:marRight w:val="0"/>
      <w:marTop w:val="0"/>
      <w:marBottom w:val="0"/>
      <w:divBdr>
        <w:top w:val="none" w:sz="0" w:space="0" w:color="auto"/>
        <w:left w:val="none" w:sz="0" w:space="0" w:color="auto"/>
        <w:bottom w:val="none" w:sz="0" w:space="0" w:color="auto"/>
        <w:right w:val="none" w:sz="0" w:space="0" w:color="auto"/>
      </w:divBdr>
    </w:div>
    <w:div w:id="653679046">
      <w:bodyDiv w:val="1"/>
      <w:marLeft w:val="0"/>
      <w:marRight w:val="0"/>
      <w:marTop w:val="0"/>
      <w:marBottom w:val="0"/>
      <w:divBdr>
        <w:top w:val="none" w:sz="0" w:space="0" w:color="auto"/>
        <w:left w:val="none" w:sz="0" w:space="0" w:color="auto"/>
        <w:bottom w:val="none" w:sz="0" w:space="0" w:color="auto"/>
        <w:right w:val="none" w:sz="0" w:space="0" w:color="auto"/>
      </w:divBdr>
    </w:div>
    <w:div w:id="657733964">
      <w:bodyDiv w:val="1"/>
      <w:marLeft w:val="0"/>
      <w:marRight w:val="0"/>
      <w:marTop w:val="0"/>
      <w:marBottom w:val="0"/>
      <w:divBdr>
        <w:top w:val="none" w:sz="0" w:space="0" w:color="auto"/>
        <w:left w:val="none" w:sz="0" w:space="0" w:color="auto"/>
        <w:bottom w:val="none" w:sz="0" w:space="0" w:color="auto"/>
        <w:right w:val="none" w:sz="0" w:space="0" w:color="auto"/>
      </w:divBdr>
    </w:div>
    <w:div w:id="674305747">
      <w:bodyDiv w:val="1"/>
      <w:marLeft w:val="0"/>
      <w:marRight w:val="0"/>
      <w:marTop w:val="0"/>
      <w:marBottom w:val="0"/>
      <w:divBdr>
        <w:top w:val="none" w:sz="0" w:space="0" w:color="auto"/>
        <w:left w:val="none" w:sz="0" w:space="0" w:color="auto"/>
        <w:bottom w:val="none" w:sz="0" w:space="0" w:color="auto"/>
        <w:right w:val="none" w:sz="0" w:space="0" w:color="auto"/>
      </w:divBdr>
    </w:div>
    <w:div w:id="695737112">
      <w:bodyDiv w:val="1"/>
      <w:marLeft w:val="0"/>
      <w:marRight w:val="0"/>
      <w:marTop w:val="0"/>
      <w:marBottom w:val="0"/>
      <w:divBdr>
        <w:top w:val="none" w:sz="0" w:space="0" w:color="auto"/>
        <w:left w:val="none" w:sz="0" w:space="0" w:color="auto"/>
        <w:bottom w:val="none" w:sz="0" w:space="0" w:color="auto"/>
        <w:right w:val="none" w:sz="0" w:space="0" w:color="auto"/>
      </w:divBdr>
    </w:div>
    <w:div w:id="717316267">
      <w:bodyDiv w:val="1"/>
      <w:marLeft w:val="0"/>
      <w:marRight w:val="0"/>
      <w:marTop w:val="0"/>
      <w:marBottom w:val="0"/>
      <w:divBdr>
        <w:top w:val="none" w:sz="0" w:space="0" w:color="auto"/>
        <w:left w:val="none" w:sz="0" w:space="0" w:color="auto"/>
        <w:bottom w:val="none" w:sz="0" w:space="0" w:color="auto"/>
        <w:right w:val="none" w:sz="0" w:space="0" w:color="auto"/>
      </w:divBdr>
    </w:div>
    <w:div w:id="744687082">
      <w:bodyDiv w:val="1"/>
      <w:marLeft w:val="0"/>
      <w:marRight w:val="0"/>
      <w:marTop w:val="0"/>
      <w:marBottom w:val="0"/>
      <w:divBdr>
        <w:top w:val="none" w:sz="0" w:space="0" w:color="auto"/>
        <w:left w:val="none" w:sz="0" w:space="0" w:color="auto"/>
        <w:bottom w:val="none" w:sz="0" w:space="0" w:color="auto"/>
        <w:right w:val="none" w:sz="0" w:space="0" w:color="auto"/>
      </w:divBdr>
    </w:div>
    <w:div w:id="751702340">
      <w:bodyDiv w:val="1"/>
      <w:marLeft w:val="0"/>
      <w:marRight w:val="0"/>
      <w:marTop w:val="0"/>
      <w:marBottom w:val="0"/>
      <w:divBdr>
        <w:top w:val="none" w:sz="0" w:space="0" w:color="auto"/>
        <w:left w:val="none" w:sz="0" w:space="0" w:color="auto"/>
        <w:bottom w:val="none" w:sz="0" w:space="0" w:color="auto"/>
        <w:right w:val="none" w:sz="0" w:space="0" w:color="auto"/>
      </w:divBdr>
    </w:div>
    <w:div w:id="780302316">
      <w:bodyDiv w:val="1"/>
      <w:marLeft w:val="0"/>
      <w:marRight w:val="0"/>
      <w:marTop w:val="0"/>
      <w:marBottom w:val="0"/>
      <w:divBdr>
        <w:top w:val="none" w:sz="0" w:space="0" w:color="auto"/>
        <w:left w:val="none" w:sz="0" w:space="0" w:color="auto"/>
        <w:bottom w:val="none" w:sz="0" w:space="0" w:color="auto"/>
        <w:right w:val="none" w:sz="0" w:space="0" w:color="auto"/>
      </w:divBdr>
    </w:div>
    <w:div w:id="801928120">
      <w:bodyDiv w:val="1"/>
      <w:marLeft w:val="0"/>
      <w:marRight w:val="0"/>
      <w:marTop w:val="0"/>
      <w:marBottom w:val="0"/>
      <w:divBdr>
        <w:top w:val="none" w:sz="0" w:space="0" w:color="auto"/>
        <w:left w:val="none" w:sz="0" w:space="0" w:color="auto"/>
        <w:bottom w:val="none" w:sz="0" w:space="0" w:color="auto"/>
        <w:right w:val="none" w:sz="0" w:space="0" w:color="auto"/>
      </w:divBdr>
    </w:div>
    <w:div w:id="808280241">
      <w:bodyDiv w:val="1"/>
      <w:marLeft w:val="0"/>
      <w:marRight w:val="0"/>
      <w:marTop w:val="0"/>
      <w:marBottom w:val="0"/>
      <w:divBdr>
        <w:top w:val="none" w:sz="0" w:space="0" w:color="auto"/>
        <w:left w:val="none" w:sz="0" w:space="0" w:color="auto"/>
        <w:bottom w:val="none" w:sz="0" w:space="0" w:color="auto"/>
        <w:right w:val="none" w:sz="0" w:space="0" w:color="auto"/>
      </w:divBdr>
    </w:div>
    <w:div w:id="820118168">
      <w:bodyDiv w:val="1"/>
      <w:marLeft w:val="0"/>
      <w:marRight w:val="0"/>
      <w:marTop w:val="0"/>
      <w:marBottom w:val="0"/>
      <w:divBdr>
        <w:top w:val="none" w:sz="0" w:space="0" w:color="auto"/>
        <w:left w:val="none" w:sz="0" w:space="0" w:color="auto"/>
        <w:bottom w:val="none" w:sz="0" w:space="0" w:color="auto"/>
        <w:right w:val="none" w:sz="0" w:space="0" w:color="auto"/>
      </w:divBdr>
    </w:div>
    <w:div w:id="824322337">
      <w:bodyDiv w:val="1"/>
      <w:marLeft w:val="0"/>
      <w:marRight w:val="0"/>
      <w:marTop w:val="0"/>
      <w:marBottom w:val="0"/>
      <w:divBdr>
        <w:top w:val="none" w:sz="0" w:space="0" w:color="auto"/>
        <w:left w:val="none" w:sz="0" w:space="0" w:color="auto"/>
        <w:bottom w:val="none" w:sz="0" w:space="0" w:color="auto"/>
        <w:right w:val="none" w:sz="0" w:space="0" w:color="auto"/>
      </w:divBdr>
    </w:div>
    <w:div w:id="826436162">
      <w:bodyDiv w:val="1"/>
      <w:marLeft w:val="0"/>
      <w:marRight w:val="0"/>
      <w:marTop w:val="0"/>
      <w:marBottom w:val="0"/>
      <w:divBdr>
        <w:top w:val="none" w:sz="0" w:space="0" w:color="auto"/>
        <w:left w:val="none" w:sz="0" w:space="0" w:color="auto"/>
        <w:bottom w:val="none" w:sz="0" w:space="0" w:color="auto"/>
        <w:right w:val="none" w:sz="0" w:space="0" w:color="auto"/>
      </w:divBdr>
    </w:div>
    <w:div w:id="852761478">
      <w:bodyDiv w:val="1"/>
      <w:marLeft w:val="0"/>
      <w:marRight w:val="0"/>
      <w:marTop w:val="0"/>
      <w:marBottom w:val="0"/>
      <w:divBdr>
        <w:top w:val="none" w:sz="0" w:space="0" w:color="auto"/>
        <w:left w:val="none" w:sz="0" w:space="0" w:color="auto"/>
        <w:bottom w:val="none" w:sz="0" w:space="0" w:color="auto"/>
        <w:right w:val="none" w:sz="0" w:space="0" w:color="auto"/>
      </w:divBdr>
    </w:div>
    <w:div w:id="858354964">
      <w:bodyDiv w:val="1"/>
      <w:marLeft w:val="0"/>
      <w:marRight w:val="0"/>
      <w:marTop w:val="0"/>
      <w:marBottom w:val="0"/>
      <w:divBdr>
        <w:top w:val="none" w:sz="0" w:space="0" w:color="auto"/>
        <w:left w:val="none" w:sz="0" w:space="0" w:color="auto"/>
        <w:bottom w:val="none" w:sz="0" w:space="0" w:color="auto"/>
        <w:right w:val="none" w:sz="0" w:space="0" w:color="auto"/>
      </w:divBdr>
    </w:div>
    <w:div w:id="858547418">
      <w:bodyDiv w:val="1"/>
      <w:marLeft w:val="0"/>
      <w:marRight w:val="0"/>
      <w:marTop w:val="0"/>
      <w:marBottom w:val="0"/>
      <w:divBdr>
        <w:top w:val="none" w:sz="0" w:space="0" w:color="auto"/>
        <w:left w:val="none" w:sz="0" w:space="0" w:color="auto"/>
        <w:bottom w:val="none" w:sz="0" w:space="0" w:color="auto"/>
        <w:right w:val="none" w:sz="0" w:space="0" w:color="auto"/>
      </w:divBdr>
    </w:div>
    <w:div w:id="901868531">
      <w:bodyDiv w:val="1"/>
      <w:marLeft w:val="0"/>
      <w:marRight w:val="0"/>
      <w:marTop w:val="0"/>
      <w:marBottom w:val="0"/>
      <w:divBdr>
        <w:top w:val="none" w:sz="0" w:space="0" w:color="auto"/>
        <w:left w:val="none" w:sz="0" w:space="0" w:color="auto"/>
        <w:bottom w:val="none" w:sz="0" w:space="0" w:color="auto"/>
        <w:right w:val="none" w:sz="0" w:space="0" w:color="auto"/>
      </w:divBdr>
    </w:div>
    <w:div w:id="919875221">
      <w:bodyDiv w:val="1"/>
      <w:marLeft w:val="0"/>
      <w:marRight w:val="0"/>
      <w:marTop w:val="0"/>
      <w:marBottom w:val="0"/>
      <w:divBdr>
        <w:top w:val="none" w:sz="0" w:space="0" w:color="auto"/>
        <w:left w:val="none" w:sz="0" w:space="0" w:color="auto"/>
        <w:bottom w:val="none" w:sz="0" w:space="0" w:color="auto"/>
        <w:right w:val="none" w:sz="0" w:space="0" w:color="auto"/>
      </w:divBdr>
    </w:div>
    <w:div w:id="980421013">
      <w:bodyDiv w:val="1"/>
      <w:marLeft w:val="0"/>
      <w:marRight w:val="0"/>
      <w:marTop w:val="0"/>
      <w:marBottom w:val="0"/>
      <w:divBdr>
        <w:top w:val="none" w:sz="0" w:space="0" w:color="auto"/>
        <w:left w:val="none" w:sz="0" w:space="0" w:color="auto"/>
        <w:bottom w:val="none" w:sz="0" w:space="0" w:color="auto"/>
        <w:right w:val="none" w:sz="0" w:space="0" w:color="auto"/>
      </w:divBdr>
    </w:div>
    <w:div w:id="1017342262">
      <w:bodyDiv w:val="1"/>
      <w:marLeft w:val="0"/>
      <w:marRight w:val="0"/>
      <w:marTop w:val="0"/>
      <w:marBottom w:val="0"/>
      <w:divBdr>
        <w:top w:val="none" w:sz="0" w:space="0" w:color="auto"/>
        <w:left w:val="none" w:sz="0" w:space="0" w:color="auto"/>
        <w:bottom w:val="none" w:sz="0" w:space="0" w:color="auto"/>
        <w:right w:val="none" w:sz="0" w:space="0" w:color="auto"/>
      </w:divBdr>
      <w:divsChild>
        <w:div w:id="2072656978">
          <w:marLeft w:val="0"/>
          <w:marRight w:val="0"/>
          <w:marTop w:val="0"/>
          <w:marBottom w:val="0"/>
          <w:divBdr>
            <w:top w:val="none" w:sz="0" w:space="0" w:color="auto"/>
            <w:left w:val="none" w:sz="0" w:space="0" w:color="auto"/>
            <w:bottom w:val="none" w:sz="0" w:space="0" w:color="auto"/>
            <w:right w:val="none" w:sz="0" w:space="0" w:color="auto"/>
          </w:divBdr>
        </w:div>
      </w:divsChild>
    </w:div>
    <w:div w:id="1038965464">
      <w:bodyDiv w:val="1"/>
      <w:marLeft w:val="0"/>
      <w:marRight w:val="0"/>
      <w:marTop w:val="0"/>
      <w:marBottom w:val="0"/>
      <w:divBdr>
        <w:top w:val="none" w:sz="0" w:space="0" w:color="auto"/>
        <w:left w:val="none" w:sz="0" w:space="0" w:color="auto"/>
        <w:bottom w:val="none" w:sz="0" w:space="0" w:color="auto"/>
        <w:right w:val="none" w:sz="0" w:space="0" w:color="auto"/>
      </w:divBdr>
    </w:div>
    <w:div w:id="1050035042">
      <w:bodyDiv w:val="1"/>
      <w:marLeft w:val="0"/>
      <w:marRight w:val="0"/>
      <w:marTop w:val="0"/>
      <w:marBottom w:val="0"/>
      <w:divBdr>
        <w:top w:val="none" w:sz="0" w:space="0" w:color="auto"/>
        <w:left w:val="none" w:sz="0" w:space="0" w:color="auto"/>
        <w:bottom w:val="none" w:sz="0" w:space="0" w:color="auto"/>
        <w:right w:val="none" w:sz="0" w:space="0" w:color="auto"/>
      </w:divBdr>
    </w:div>
    <w:div w:id="1055618692">
      <w:bodyDiv w:val="1"/>
      <w:marLeft w:val="0"/>
      <w:marRight w:val="0"/>
      <w:marTop w:val="0"/>
      <w:marBottom w:val="0"/>
      <w:divBdr>
        <w:top w:val="none" w:sz="0" w:space="0" w:color="auto"/>
        <w:left w:val="none" w:sz="0" w:space="0" w:color="auto"/>
        <w:bottom w:val="none" w:sz="0" w:space="0" w:color="auto"/>
        <w:right w:val="none" w:sz="0" w:space="0" w:color="auto"/>
      </w:divBdr>
    </w:div>
    <w:div w:id="1075008206">
      <w:bodyDiv w:val="1"/>
      <w:marLeft w:val="0"/>
      <w:marRight w:val="0"/>
      <w:marTop w:val="0"/>
      <w:marBottom w:val="0"/>
      <w:divBdr>
        <w:top w:val="none" w:sz="0" w:space="0" w:color="auto"/>
        <w:left w:val="none" w:sz="0" w:space="0" w:color="auto"/>
        <w:bottom w:val="none" w:sz="0" w:space="0" w:color="auto"/>
        <w:right w:val="none" w:sz="0" w:space="0" w:color="auto"/>
      </w:divBdr>
      <w:divsChild>
        <w:div w:id="172574747">
          <w:marLeft w:val="72"/>
          <w:marRight w:val="0"/>
          <w:marTop w:val="0"/>
          <w:marBottom w:val="0"/>
          <w:divBdr>
            <w:top w:val="none" w:sz="0" w:space="0" w:color="auto"/>
            <w:left w:val="none" w:sz="0" w:space="0" w:color="auto"/>
            <w:bottom w:val="none" w:sz="0" w:space="0" w:color="auto"/>
            <w:right w:val="none" w:sz="0" w:space="0" w:color="auto"/>
          </w:divBdr>
        </w:div>
        <w:div w:id="320472209">
          <w:marLeft w:val="1454"/>
          <w:marRight w:val="0"/>
          <w:marTop w:val="0"/>
          <w:marBottom w:val="0"/>
          <w:divBdr>
            <w:top w:val="none" w:sz="0" w:space="0" w:color="auto"/>
            <w:left w:val="none" w:sz="0" w:space="0" w:color="auto"/>
            <w:bottom w:val="none" w:sz="0" w:space="0" w:color="auto"/>
            <w:right w:val="none" w:sz="0" w:space="0" w:color="auto"/>
          </w:divBdr>
        </w:div>
        <w:div w:id="537396852">
          <w:marLeft w:val="72"/>
          <w:marRight w:val="0"/>
          <w:marTop w:val="0"/>
          <w:marBottom w:val="0"/>
          <w:divBdr>
            <w:top w:val="none" w:sz="0" w:space="0" w:color="auto"/>
            <w:left w:val="none" w:sz="0" w:space="0" w:color="auto"/>
            <w:bottom w:val="none" w:sz="0" w:space="0" w:color="auto"/>
            <w:right w:val="none" w:sz="0" w:space="0" w:color="auto"/>
          </w:divBdr>
        </w:div>
        <w:div w:id="556668034">
          <w:marLeft w:val="1454"/>
          <w:marRight w:val="0"/>
          <w:marTop w:val="0"/>
          <w:marBottom w:val="0"/>
          <w:divBdr>
            <w:top w:val="none" w:sz="0" w:space="0" w:color="auto"/>
            <w:left w:val="none" w:sz="0" w:space="0" w:color="auto"/>
            <w:bottom w:val="none" w:sz="0" w:space="0" w:color="auto"/>
            <w:right w:val="none" w:sz="0" w:space="0" w:color="auto"/>
          </w:divBdr>
        </w:div>
        <w:div w:id="673143059">
          <w:marLeft w:val="1454"/>
          <w:marRight w:val="0"/>
          <w:marTop w:val="0"/>
          <w:marBottom w:val="0"/>
          <w:divBdr>
            <w:top w:val="none" w:sz="0" w:space="0" w:color="auto"/>
            <w:left w:val="none" w:sz="0" w:space="0" w:color="auto"/>
            <w:bottom w:val="none" w:sz="0" w:space="0" w:color="auto"/>
            <w:right w:val="none" w:sz="0" w:space="0" w:color="auto"/>
          </w:divBdr>
        </w:div>
        <w:div w:id="678853199">
          <w:marLeft w:val="72"/>
          <w:marRight w:val="0"/>
          <w:marTop w:val="0"/>
          <w:marBottom w:val="0"/>
          <w:divBdr>
            <w:top w:val="none" w:sz="0" w:space="0" w:color="auto"/>
            <w:left w:val="none" w:sz="0" w:space="0" w:color="auto"/>
            <w:bottom w:val="none" w:sz="0" w:space="0" w:color="auto"/>
            <w:right w:val="none" w:sz="0" w:space="0" w:color="auto"/>
          </w:divBdr>
        </w:div>
        <w:div w:id="790979409">
          <w:marLeft w:val="1454"/>
          <w:marRight w:val="0"/>
          <w:marTop w:val="0"/>
          <w:marBottom w:val="0"/>
          <w:divBdr>
            <w:top w:val="none" w:sz="0" w:space="0" w:color="auto"/>
            <w:left w:val="none" w:sz="0" w:space="0" w:color="auto"/>
            <w:bottom w:val="none" w:sz="0" w:space="0" w:color="auto"/>
            <w:right w:val="none" w:sz="0" w:space="0" w:color="auto"/>
          </w:divBdr>
        </w:div>
        <w:div w:id="820196805">
          <w:marLeft w:val="72"/>
          <w:marRight w:val="0"/>
          <w:marTop w:val="0"/>
          <w:marBottom w:val="0"/>
          <w:divBdr>
            <w:top w:val="none" w:sz="0" w:space="0" w:color="auto"/>
            <w:left w:val="none" w:sz="0" w:space="0" w:color="auto"/>
            <w:bottom w:val="none" w:sz="0" w:space="0" w:color="auto"/>
            <w:right w:val="none" w:sz="0" w:space="0" w:color="auto"/>
          </w:divBdr>
        </w:div>
        <w:div w:id="890770313">
          <w:marLeft w:val="1253"/>
          <w:marRight w:val="0"/>
          <w:marTop w:val="0"/>
          <w:marBottom w:val="0"/>
          <w:divBdr>
            <w:top w:val="none" w:sz="0" w:space="0" w:color="auto"/>
            <w:left w:val="none" w:sz="0" w:space="0" w:color="auto"/>
            <w:bottom w:val="none" w:sz="0" w:space="0" w:color="auto"/>
            <w:right w:val="none" w:sz="0" w:space="0" w:color="auto"/>
          </w:divBdr>
        </w:div>
        <w:div w:id="903491201">
          <w:marLeft w:val="1454"/>
          <w:marRight w:val="0"/>
          <w:marTop w:val="0"/>
          <w:marBottom w:val="0"/>
          <w:divBdr>
            <w:top w:val="none" w:sz="0" w:space="0" w:color="auto"/>
            <w:left w:val="none" w:sz="0" w:space="0" w:color="auto"/>
            <w:bottom w:val="none" w:sz="0" w:space="0" w:color="auto"/>
            <w:right w:val="none" w:sz="0" w:space="0" w:color="auto"/>
          </w:divBdr>
        </w:div>
        <w:div w:id="1058165817">
          <w:marLeft w:val="1454"/>
          <w:marRight w:val="0"/>
          <w:marTop w:val="0"/>
          <w:marBottom w:val="0"/>
          <w:divBdr>
            <w:top w:val="none" w:sz="0" w:space="0" w:color="auto"/>
            <w:left w:val="none" w:sz="0" w:space="0" w:color="auto"/>
            <w:bottom w:val="none" w:sz="0" w:space="0" w:color="auto"/>
            <w:right w:val="none" w:sz="0" w:space="0" w:color="auto"/>
          </w:divBdr>
        </w:div>
        <w:div w:id="1130785142">
          <w:marLeft w:val="1454"/>
          <w:marRight w:val="0"/>
          <w:marTop w:val="0"/>
          <w:marBottom w:val="0"/>
          <w:divBdr>
            <w:top w:val="none" w:sz="0" w:space="0" w:color="auto"/>
            <w:left w:val="none" w:sz="0" w:space="0" w:color="auto"/>
            <w:bottom w:val="none" w:sz="0" w:space="0" w:color="auto"/>
            <w:right w:val="none" w:sz="0" w:space="0" w:color="auto"/>
          </w:divBdr>
        </w:div>
        <w:div w:id="1492790256">
          <w:marLeft w:val="72"/>
          <w:marRight w:val="0"/>
          <w:marTop w:val="0"/>
          <w:marBottom w:val="0"/>
          <w:divBdr>
            <w:top w:val="none" w:sz="0" w:space="0" w:color="auto"/>
            <w:left w:val="none" w:sz="0" w:space="0" w:color="auto"/>
            <w:bottom w:val="none" w:sz="0" w:space="0" w:color="auto"/>
            <w:right w:val="none" w:sz="0" w:space="0" w:color="auto"/>
          </w:divBdr>
        </w:div>
        <w:div w:id="1514303244">
          <w:marLeft w:val="2650"/>
          <w:marRight w:val="0"/>
          <w:marTop w:val="0"/>
          <w:marBottom w:val="0"/>
          <w:divBdr>
            <w:top w:val="none" w:sz="0" w:space="0" w:color="auto"/>
            <w:left w:val="none" w:sz="0" w:space="0" w:color="auto"/>
            <w:bottom w:val="none" w:sz="0" w:space="0" w:color="auto"/>
            <w:right w:val="none" w:sz="0" w:space="0" w:color="auto"/>
          </w:divBdr>
        </w:div>
        <w:div w:id="1633555312">
          <w:marLeft w:val="1454"/>
          <w:marRight w:val="0"/>
          <w:marTop w:val="0"/>
          <w:marBottom w:val="0"/>
          <w:divBdr>
            <w:top w:val="none" w:sz="0" w:space="0" w:color="auto"/>
            <w:left w:val="none" w:sz="0" w:space="0" w:color="auto"/>
            <w:bottom w:val="none" w:sz="0" w:space="0" w:color="auto"/>
            <w:right w:val="none" w:sz="0" w:space="0" w:color="auto"/>
          </w:divBdr>
        </w:div>
        <w:div w:id="1647005962">
          <w:marLeft w:val="1253"/>
          <w:marRight w:val="0"/>
          <w:marTop w:val="0"/>
          <w:marBottom w:val="0"/>
          <w:divBdr>
            <w:top w:val="none" w:sz="0" w:space="0" w:color="auto"/>
            <w:left w:val="none" w:sz="0" w:space="0" w:color="auto"/>
            <w:bottom w:val="none" w:sz="0" w:space="0" w:color="auto"/>
            <w:right w:val="none" w:sz="0" w:space="0" w:color="auto"/>
          </w:divBdr>
        </w:div>
        <w:div w:id="1727214431">
          <w:marLeft w:val="1454"/>
          <w:marRight w:val="0"/>
          <w:marTop w:val="0"/>
          <w:marBottom w:val="0"/>
          <w:divBdr>
            <w:top w:val="none" w:sz="0" w:space="0" w:color="auto"/>
            <w:left w:val="none" w:sz="0" w:space="0" w:color="auto"/>
            <w:bottom w:val="none" w:sz="0" w:space="0" w:color="auto"/>
            <w:right w:val="none" w:sz="0" w:space="0" w:color="auto"/>
          </w:divBdr>
        </w:div>
        <w:div w:id="1993213626">
          <w:marLeft w:val="2650"/>
          <w:marRight w:val="0"/>
          <w:marTop w:val="0"/>
          <w:marBottom w:val="0"/>
          <w:divBdr>
            <w:top w:val="none" w:sz="0" w:space="0" w:color="auto"/>
            <w:left w:val="none" w:sz="0" w:space="0" w:color="auto"/>
            <w:bottom w:val="none" w:sz="0" w:space="0" w:color="auto"/>
            <w:right w:val="none" w:sz="0" w:space="0" w:color="auto"/>
          </w:divBdr>
        </w:div>
        <w:div w:id="2046100618">
          <w:marLeft w:val="2650"/>
          <w:marRight w:val="0"/>
          <w:marTop w:val="0"/>
          <w:marBottom w:val="0"/>
          <w:divBdr>
            <w:top w:val="none" w:sz="0" w:space="0" w:color="auto"/>
            <w:left w:val="none" w:sz="0" w:space="0" w:color="auto"/>
            <w:bottom w:val="none" w:sz="0" w:space="0" w:color="auto"/>
            <w:right w:val="none" w:sz="0" w:space="0" w:color="auto"/>
          </w:divBdr>
        </w:div>
        <w:div w:id="2061243830">
          <w:marLeft w:val="1454"/>
          <w:marRight w:val="0"/>
          <w:marTop w:val="0"/>
          <w:marBottom w:val="0"/>
          <w:divBdr>
            <w:top w:val="none" w:sz="0" w:space="0" w:color="auto"/>
            <w:left w:val="none" w:sz="0" w:space="0" w:color="auto"/>
            <w:bottom w:val="none" w:sz="0" w:space="0" w:color="auto"/>
            <w:right w:val="none" w:sz="0" w:space="0" w:color="auto"/>
          </w:divBdr>
        </w:div>
      </w:divsChild>
    </w:div>
    <w:div w:id="1082526185">
      <w:bodyDiv w:val="1"/>
      <w:marLeft w:val="0"/>
      <w:marRight w:val="0"/>
      <w:marTop w:val="0"/>
      <w:marBottom w:val="0"/>
      <w:divBdr>
        <w:top w:val="none" w:sz="0" w:space="0" w:color="auto"/>
        <w:left w:val="none" w:sz="0" w:space="0" w:color="auto"/>
        <w:bottom w:val="none" w:sz="0" w:space="0" w:color="auto"/>
        <w:right w:val="none" w:sz="0" w:space="0" w:color="auto"/>
      </w:divBdr>
      <w:divsChild>
        <w:div w:id="322972333">
          <w:marLeft w:val="0"/>
          <w:marRight w:val="0"/>
          <w:marTop w:val="0"/>
          <w:marBottom w:val="0"/>
          <w:divBdr>
            <w:top w:val="none" w:sz="0" w:space="0" w:color="auto"/>
            <w:left w:val="none" w:sz="0" w:space="0" w:color="auto"/>
            <w:bottom w:val="none" w:sz="0" w:space="0" w:color="auto"/>
            <w:right w:val="none" w:sz="0" w:space="0" w:color="auto"/>
          </w:divBdr>
          <w:divsChild>
            <w:div w:id="1542786776">
              <w:marLeft w:val="0"/>
              <w:marRight w:val="0"/>
              <w:marTop w:val="0"/>
              <w:marBottom w:val="0"/>
              <w:divBdr>
                <w:top w:val="none" w:sz="0" w:space="0" w:color="auto"/>
                <w:left w:val="none" w:sz="0" w:space="0" w:color="auto"/>
                <w:bottom w:val="none" w:sz="0" w:space="0" w:color="auto"/>
                <w:right w:val="none" w:sz="0" w:space="0" w:color="auto"/>
              </w:divBdr>
              <w:divsChild>
                <w:div w:id="774330273">
                  <w:marLeft w:val="0"/>
                  <w:marRight w:val="0"/>
                  <w:marTop w:val="0"/>
                  <w:marBottom w:val="0"/>
                  <w:divBdr>
                    <w:top w:val="none" w:sz="0" w:space="0" w:color="auto"/>
                    <w:left w:val="none" w:sz="0" w:space="0" w:color="auto"/>
                    <w:bottom w:val="none" w:sz="0" w:space="0" w:color="auto"/>
                    <w:right w:val="none" w:sz="0" w:space="0" w:color="auto"/>
                  </w:divBdr>
                  <w:divsChild>
                    <w:div w:id="1607468667">
                      <w:marLeft w:val="0"/>
                      <w:marRight w:val="0"/>
                      <w:marTop w:val="0"/>
                      <w:marBottom w:val="0"/>
                      <w:divBdr>
                        <w:top w:val="none" w:sz="0" w:space="0" w:color="auto"/>
                        <w:left w:val="none" w:sz="0" w:space="0" w:color="auto"/>
                        <w:bottom w:val="none" w:sz="0" w:space="0" w:color="auto"/>
                        <w:right w:val="none" w:sz="0" w:space="0" w:color="auto"/>
                      </w:divBdr>
                      <w:divsChild>
                        <w:div w:id="1950889490">
                          <w:marLeft w:val="0"/>
                          <w:marRight w:val="0"/>
                          <w:marTop w:val="0"/>
                          <w:marBottom w:val="0"/>
                          <w:divBdr>
                            <w:top w:val="none" w:sz="0" w:space="0" w:color="auto"/>
                            <w:left w:val="none" w:sz="0" w:space="0" w:color="auto"/>
                            <w:bottom w:val="none" w:sz="0" w:space="0" w:color="auto"/>
                            <w:right w:val="none" w:sz="0" w:space="0" w:color="auto"/>
                          </w:divBdr>
                          <w:divsChild>
                            <w:div w:id="154078715">
                              <w:marLeft w:val="0"/>
                              <w:marRight w:val="0"/>
                              <w:marTop w:val="0"/>
                              <w:marBottom w:val="0"/>
                              <w:divBdr>
                                <w:top w:val="none" w:sz="0" w:space="0" w:color="auto"/>
                                <w:left w:val="none" w:sz="0" w:space="0" w:color="auto"/>
                                <w:bottom w:val="none" w:sz="0" w:space="0" w:color="auto"/>
                                <w:right w:val="none" w:sz="0" w:space="0" w:color="auto"/>
                              </w:divBdr>
                              <w:divsChild>
                                <w:div w:id="1894346830">
                                  <w:marLeft w:val="0"/>
                                  <w:marRight w:val="0"/>
                                  <w:marTop w:val="0"/>
                                  <w:marBottom w:val="0"/>
                                  <w:divBdr>
                                    <w:top w:val="none" w:sz="0" w:space="0" w:color="auto"/>
                                    <w:left w:val="none" w:sz="0" w:space="0" w:color="auto"/>
                                    <w:bottom w:val="none" w:sz="0" w:space="0" w:color="auto"/>
                                    <w:right w:val="none" w:sz="0" w:space="0" w:color="auto"/>
                                  </w:divBdr>
                                  <w:divsChild>
                                    <w:div w:id="2296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605712">
      <w:bodyDiv w:val="1"/>
      <w:marLeft w:val="0"/>
      <w:marRight w:val="0"/>
      <w:marTop w:val="0"/>
      <w:marBottom w:val="0"/>
      <w:divBdr>
        <w:top w:val="none" w:sz="0" w:space="0" w:color="auto"/>
        <w:left w:val="none" w:sz="0" w:space="0" w:color="auto"/>
        <w:bottom w:val="none" w:sz="0" w:space="0" w:color="auto"/>
        <w:right w:val="none" w:sz="0" w:space="0" w:color="auto"/>
      </w:divBdr>
    </w:div>
    <w:div w:id="1084450202">
      <w:bodyDiv w:val="1"/>
      <w:marLeft w:val="0"/>
      <w:marRight w:val="0"/>
      <w:marTop w:val="0"/>
      <w:marBottom w:val="0"/>
      <w:divBdr>
        <w:top w:val="none" w:sz="0" w:space="0" w:color="auto"/>
        <w:left w:val="none" w:sz="0" w:space="0" w:color="auto"/>
        <w:bottom w:val="none" w:sz="0" w:space="0" w:color="auto"/>
        <w:right w:val="none" w:sz="0" w:space="0" w:color="auto"/>
      </w:divBdr>
    </w:div>
    <w:div w:id="1084498489">
      <w:bodyDiv w:val="1"/>
      <w:marLeft w:val="0"/>
      <w:marRight w:val="0"/>
      <w:marTop w:val="0"/>
      <w:marBottom w:val="0"/>
      <w:divBdr>
        <w:top w:val="none" w:sz="0" w:space="0" w:color="auto"/>
        <w:left w:val="none" w:sz="0" w:space="0" w:color="auto"/>
        <w:bottom w:val="none" w:sz="0" w:space="0" w:color="auto"/>
        <w:right w:val="none" w:sz="0" w:space="0" w:color="auto"/>
      </w:divBdr>
    </w:div>
    <w:div w:id="1087313506">
      <w:bodyDiv w:val="1"/>
      <w:marLeft w:val="0"/>
      <w:marRight w:val="0"/>
      <w:marTop w:val="0"/>
      <w:marBottom w:val="0"/>
      <w:divBdr>
        <w:top w:val="none" w:sz="0" w:space="0" w:color="auto"/>
        <w:left w:val="none" w:sz="0" w:space="0" w:color="auto"/>
        <w:bottom w:val="none" w:sz="0" w:space="0" w:color="auto"/>
        <w:right w:val="none" w:sz="0" w:space="0" w:color="auto"/>
      </w:divBdr>
    </w:div>
    <w:div w:id="1100446313">
      <w:bodyDiv w:val="1"/>
      <w:marLeft w:val="0"/>
      <w:marRight w:val="0"/>
      <w:marTop w:val="0"/>
      <w:marBottom w:val="0"/>
      <w:divBdr>
        <w:top w:val="none" w:sz="0" w:space="0" w:color="auto"/>
        <w:left w:val="none" w:sz="0" w:space="0" w:color="auto"/>
        <w:bottom w:val="none" w:sz="0" w:space="0" w:color="auto"/>
        <w:right w:val="none" w:sz="0" w:space="0" w:color="auto"/>
      </w:divBdr>
    </w:div>
    <w:div w:id="1110735766">
      <w:bodyDiv w:val="1"/>
      <w:marLeft w:val="0"/>
      <w:marRight w:val="0"/>
      <w:marTop w:val="0"/>
      <w:marBottom w:val="0"/>
      <w:divBdr>
        <w:top w:val="none" w:sz="0" w:space="0" w:color="auto"/>
        <w:left w:val="none" w:sz="0" w:space="0" w:color="auto"/>
        <w:bottom w:val="none" w:sz="0" w:space="0" w:color="auto"/>
        <w:right w:val="none" w:sz="0" w:space="0" w:color="auto"/>
      </w:divBdr>
      <w:divsChild>
        <w:div w:id="413674624">
          <w:marLeft w:val="0"/>
          <w:marRight w:val="0"/>
          <w:marTop w:val="0"/>
          <w:marBottom w:val="0"/>
          <w:divBdr>
            <w:top w:val="none" w:sz="0" w:space="0" w:color="auto"/>
            <w:left w:val="none" w:sz="0" w:space="0" w:color="auto"/>
            <w:bottom w:val="none" w:sz="0" w:space="0" w:color="auto"/>
            <w:right w:val="none" w:sz="0" w:space="0" w:color="auto"/>
          </w:divBdr>
        </w:div>
        <w:div w:id="631251774">
          <w:marLeft w:val="0"/>
          <w:marRight w:val="0"/>
          <w:marTop w:val="0"/>
          <w:marBottom w:val="0"/>
          <w:divBdr>
            <w:top w:val="none" w:sz="0" w:space="0" w:color="auto"/>
            <w:left w:val="none" w:sz="0" w:space="0" w:color="auto"/>
            <w:bottom w:val="none" w:sz="0" w:space="0" w:color="auto"/>
            <w:right w:val="none" w:sz="0" w:space="0" w:color="auto"/>
          </w:divBdr>
        </w:div>
      </w:divsChild>
    </w:div>
    <w:div w:id="1112020724">
      <w:bodyDiv w:val="1"/>
      <w:marLeft w:val="0"/>
      <w:marRight w:val="0"/>
      <w:marTop w:val="0"/>
      <w:marBottom w:val="0"/>
      <w:divBdr>
        <w:top w:val="none" w:sz="0" w:space="0" w:color="auto"/>
        <w:left w:val="none" w:sz="0" w:space="0" w:color="auto"/>
        <w:bottom w:val="none" w:sz="0" w:space="0" w:color="auto"/>
        <w:right w:val="none" w:sz="0" w:space="0" w:color="auto"/>
      </w:divBdr>
    </w:div>
    <w:div w:id="1129204169">
      <w:bodyDiv w:val="1"/>
      <w:marLeft w:val="0"/>
      <w:marRight w:val="0"/>
      <w:marTop w:val="0"/>
      <w:marBottom w:val="0"/>
      <w:divBdr>
        <w:top w:val="none" w:sz="0" w:space="0" w:color="auto"/>
        <w:left w:val="none" w:sz="0" w:space="0" w:color="auto"/>
        <w:bottom w:val="none" w:sz="0" w:space="0" w:color="auto"/>
        <w:right w:val="none" w:sz="0" w:space="0" w:color="auto"/>
      </w:divBdr>
      <w:divsChild>
        <w:div w:id="12004509">
          <w:marLeft w:val="0"/>
          <w:marRight w:val="0"/>
          <w:marTop w:val="0"/>
          <w:marBottom w:val="0"/>
          <w:divBdr>
            <w:top w:val="none" w:sz="0" w:space="0" w:color="auto"/>
            <w:left w:val="none" w:sz="0" w:space="0" w:color="auto"/>
            <w:bottom w:val="none" w:sz="0" w:space="0" w:color="auto"/>
            <w:right w:val="none" w:sz="0" w:space="0" w:color="auto"/>
          </w:divBdr>
        </w:div>
        <w:div w:id="322441399">
          <w:marLeft w:val="0"/>
          <w:marRight w:val="0"/>
          <w:marTop w:val="0"/>
          <w:marBottom w:val="0"/>
          <w:divBdr>
            <w:top w:val="none" w:sz="0" w:space="0" w:color="auto"/>
            <w:left w:val="none" w:sz="0" w:space="0" w:color="auto"/>
            <w:bottom w:val="none" w:sz="0" w:space="0" w:color="auto"/>
            <w:right w:val="none" w:sz="0" w:space="0" w:color="auto"/>
          </w:divBdr>
        </w:div>
      </w:divsChild>
    </w:div>
    <w:div w:id="1133593570">
      <w:bodyDiv w:val="1"/>
      <w:marLeft w:val="0"/>
      <w:marRight w:val="0"/>
      <w:marTop w:val="0"/>
      <w:marBottom w:val="0"/>
      <w:divBdr>
        <w:top w:val="none" w:sz="0" w:space="0" w:color="auto"/>
        <w:left w:val="none" w:sz="0" w:space="0" w:color="auto"/>
        <w:bottom w:val="none" w:sz="0" w:space="0" w:color="auto"/>
        <w:right w:val="none" w:sz="0" w:space="0" w:color="auto"/>
      </w:divBdr>
    </w:div>
    <w:div w:id="1180006482">
      <w:bodyDiv w:val="1"/>
      <w:marLeft w:val="0"/>
      <w:marRight w:val="0"/>
      <w:marTop w:val="0"/>
      <w:marBottom w:val="0"/>
      <w:divBdr>
        <w:top w:val="none" w:sz="0" w:space="0" w:color="auto"/>
        <w:left w:val="none" w:sz="0" w:space="0" w:color="auto"/>
        <w:bottom w:val="none" w:sz="0" w:space="0" w:color="auto"/>
        <w:right w:val="none" w:sz="0" w:space="0" w:color="auto"/>
      </w:divBdr>
    </w:div>
    <w:div w:id="1188714626">
      <w:bodyDiv w:val="1"/>
      <w:marLeft w:val="0"/>
      <w:marRight w:val="0"/>
      <w:marTop w:val="0"/>
      <w:marBottom w:val="0"/>
      <w:divBdr>
        <w:top w:val="none" w:sz="0" w:space="0" w:color="auto"/>
        <w:left w:val="none" w:sz="0" w:space="0" w:color="auto"/>
        <w:bottom w:val="none" w:sz="0" w:space="0" w:color="auto"/>
        <w:right w:val="none" w:sz="0" w:space="0" w:color="auto"/>
      </w:divBdr>
    </w:div>
    <w:div w:id="1201474527">
      <w:bodyDiv w:val="1"/>
      <w:marLeft w:val="0"/>
      <w:marRight w:val="0"/>
      <w:marTop w:val="0"/>
      <w:marBottom w:val="0"/>
      <w:divBdr>
        <w:top w:val="none" w:sz="0" w:space="0" w:color="auto"/>
        <w:left w:val="none" w:sz="0" w:space="0" w:color="auto"/>
        <w:bottom w:val="none" w:sz="0" w:space="0" w:color="auto"/>
        <w:right w:val="none" w:sz="0" w:space="0" w:color="auto"/>
      </w:divBdr>
    </w:div>
    <w:div w:id="1203712680">
      <w:bodyDiv w:val="1"/>
      <w:marLeft w:val="0"/>
      <w:marRight w:val="0"/>
      <w:marTop w:val="0"/>
      <w:marBottom w:val="0"/>
      <w:divBdr>
        <w:top w:val="none" w:sz="0" w:space="0" w:color="auto"/>
        <w:left w:val="none" w:sz="0" w:space="0" w:color="auto"/>
        <w:bottom w:val="none" w:sz="0" w:space="0" w:color="auto"/>
        <w:right w:val="none" w:sz="0" w:space="0" w:color="auto"/>
      </w:divBdr>
    </w:div>
    <w:div w:id="1213613818">
      <w:bodyDiv w:val="1"/>
      <w:marLeft w:val="0"/>
      <w:marRight w:val="0"/>
      <w:marTop w:val="0"/>
      <w:marBottom w:val="0"/>
      <w:divBdr>
        <w:top w:val="none" w:sz="0" w:space="0" w:color="auto"/>
        <w:left w:val="none" w:sz="0" w:space="0" w:color="auto"/>
        <w:bottom w:val="none" w:sz="0" w:space="0" w:color="auto"/>
        <w:right w:val="none" w:sz="0" w:space="0" w:color="auto"/>
      </w:divBdr>
    </w:div>
    <w:div w:id="1226914326">
      <w:bodyDiv w:val="1"/>
      <w:marLeft w:val="0"/>
      <w:marRight w:val="0"/>
      <w:marTop w:val="0"/>
      <w:marBottom w:val="0"/>
      <w:divBdr>
        <w:top w:val="none" w:sz="0" w:space="0" w:color="auto"/>
        <w:left w:val="none" w:sz="0" w:space="0" w:color="auto"/>
        <w:bottom w:val="none" w:sz="0" w:space="0" w:color="auto"/>
        <w:right w:val="none" w:sz="0" w:space="0" w:color="auto"/>
      </w:divBdr>
    </w:div>
    <w:div w:id="1249121457">
      <w:bodyDiv w:val="1"/>
      <w:marLeft w:val="0"/>
      <w:marRight w:val="0"/>
      <w:marTop w:val="0"/>
      <w:marBottom w:val="0"/>
      <w:divBdr>
        <w:top w:val="none" w:sz="0" w:space="0" w:color="auto"/>
        <w:left w:val="none" w:sz="0" w:space="0" w:color="auto"/>
        <w:bottom w:val="none" w:sz="0" w:space="0" w:color="auto"/>
        <w:right w:val="none" w:sz="0" w:space="0" w:color="auto"/>
      </w:divBdr>
    </w:div>
    <w:div w:id="1263227666">
      <w:bodyDiv w:val="1"/>
      <w:marLeft w:val="0"/>
      <w:marRight w:val="0"/>
      <w:marTop w:val="0"/>
      <w:marBottom w:val="0"/>
      <w:divBdr>
        <w:top w:val="none" w:sz="0" w:space="0" w:color="auto"/>
        <w:left w:val="none" w:sz="0" w:space="0" w:color="auto"/>
        <w:bottom w:val="none" w:sz="0" w:space="0" w:color="auto"/>
        <w:right w:val="none" w:sz="0" w:space="0" w:color="auto"/>
      </w:divBdr>
    </w:div>
    <w:div w:id="1272518659">
      <w:bodyDiv w:val="1"/>
      <w:marLeft w:val="0"/>
      <w:marRight w:val="0"/>
      <w:marTop w:val="0"/>
      <w:marBottom w:val="0"/>
      <w:divBdr>
        <w:top w:val="none" w:sz="0" w:space="0" w:color="auto"/>
        <w:left w:val="none" w:sz="0" w:space="0" w:color="auto"/>
        <w:bottom w:val="none" w:sz="0" w:space="0" w:color="auto"/>
        <w:right w:val="none" w:sz="0" w:space="0" w:color="auto"/>
      </w:divBdr>
    </w:div>
    <w:div w:id="1279491211">
      <w:bodyDiv w:val="1"/>
      <w:marLeft w:val="0"/>
      <w:marRight w:val="0"/>
      <w:marTop w:val="0"/>
      <w:marBottom w:val="0"/>
      <w:divBdr>
        <w:top w:val="none" w:sz="0" w:space="0" w:color="auto"/>
        <w:left w:val="none" w:sz="0" w:space="0" w:color="auto"/>
        <w:bottom w:val="none" w:sz="0" w:space="0" w:color="auto"/>
        <w:right w:val="none" w:sz="0" w:space="0" w:color="auto"/>
      </w:divBdr>
    </w:div>
    <w:div w:id="1287270490">
      <w:bodyDiv w:val="1"/>
      <w:marLeft w:val="0"/>
      <w:marRight w:val="0"/>
      <w:marTop w:val="0"/>
      <w:marBottom w:val="0"/>
      <w:divBdr>
        <w:top w:val="none" w:sz="0" w:space="0" w:color="auto"/>
        <w:left w:val="none" w:sz="0" w:space="0" w:color="auto"/>
        <w:bottom w:val="none" w:sz="0" w:space="0" w:color="auto"/>
        <w:right w:val="none" w:sz="0" w:space="0" w:color="auto"/>
      </w:divBdr>
    </w:div>
    <w:div w:id="1292978991">
      <w:bodyDiv w:val="1"/>
      <w:marLeft w:val="0"/>
      <w:marRight w:val="0"/>
      <w:marTop w:val="0"/>
      <w:marBottom w:val="0"/>
      <w:divBdr>
        <w:top w:val="none" w:sz="0" w:space="0" w:color="auto"/>
        <w:left w:val="none" w:sz="0" w:space="0" w:color="auto"/>
        <w:bottom w:val="none" w:sz="0" w:space="0" w:color="auto"/>
        <w:right w:val="none" w:sz="0" w:space="0" w:color="auto"/>
      </w:divBdr>
    </w:div>
    <w:div w:id="1297878156">
      <w:bodyDiv w:val="1"/>
      <w:marLeft w:val="0"/>
      <w:marRight w:val="0"/>
      <w:marTop w:val="0"/>
      <w:marBottom w:val="0"/>
      <w:divBdr>
        <w:top w:val="none" w:sz="0" w:space="0" w:color="auto"/>
        <w:left w:val="none" w:sz="0" w:space="0" w:color="auto"/>
        <w:bottom w:val="none" w:sz="0" w:space="0" w:color="auto"/>
        <w:right w:val="none" w:sz="0" w:space="0" w:color="auto"/>
      </w:divBdr>
    </w:div>
    <w:div w:id="1298335096">
      <w:bodyDiv w:val="1"/>
      <w:marLeft w:val="0"/>
      <w:marRight w:val="0"/>
      <w:marTop w:val="0"/>
      <w:marBottom w:val="0"/>
      <w:divBdr>
        <w:top w:val="none" w:sz="0" w:space="0" w:color="auto"/>
        <w:left w:val="none" w:sz="0" w:space="0" w:color="auto"/>
        <w:bottom w:val="none" w:sz="0" w:space="0" w:color="auto"/>
        <w:right w:val="none" w:sz="0" w:space="0" w:color="auto"/>
      </w:divBdr>
    </w:div>
    <w:div w:id="1356731370">
      <w:bodyDiv w:val="1"/>
      <w:marLeft w:val="0"/>
      <w:marRight w:val="0"/>
      <w:marTop w:val="0"/>
      <w:marBottom w:val="0"/>
      <w:divBdr>
        <w:top w:val="none" w:sz="0" w:space="0" w:color="auto"/>
        <w:left w:val="none" w:sz="0" w:space="0" w:color="auto"/>
        <w:bottom w:val="none" w:sz="0" w:space="0" w:color="auto"/>
        <w:right w:val="none" w:sz="0" w:space="0" w:color="auto"/>
      </w:divBdr>
    </w:div>
    <w:div w:id="1380588045">
      <w:bodyDiv w:val="1"/>
      <w:marLeft w:val="0"/>
      <w:marRight w:val="0"/>
      <w:marTop w:val="0"/>
      <w:marBottom w:val="0"/>
      <w:divBdr>
        <w:top w:val="none" w:sz="0" w:space="0" w:color="auto"/>
        <w:left w:val="none" w:sz="0" w:space="0" w:color="auto"/>
        <w:bottom w:val="none" w:sz="0" w:space="0" w:color="auto"/>
        <w:right w:val="none" w:sz="0" w:space="0" w:color="auto"/>
      </w:divBdr>
    </w:div>
    <w:div w:id="1382637180">
      <w:bodyDiv w:val="1"/>
      <w:marLeft w:val="0"/>
      <w:marRight w:val="0"/>
      <w:marTop w:val="0"/>
      <w:marBottom w:val="0"/>
      <w:divBdr>
        <w:top w:val="none" w:sz="0" w:space="0" w:color="auto"/>
        <w:left w:val="none" w:sz="0" w:space="0" w:color="auto"/>
        <w:bottom w:val="none" w:sz="0" w:space="0" w:color="auto"/>
        <w:right w:val="none" w:sz="0" w:space="0" w:color="auto"/>
      </w:divBdr>
    </w:div>
    <w:div w:id="1396926460">
      <w:bodyDiv w:val="1"/>
      <w:marLeft w:val="0"/>
      <w:marRight w:val="0"/>
      <w:marTop w:val="0"/>
      <w:marBottom w:val="0"/>
      <w:divBdr>
        <w:top w:val="none" w:sz="0" w:space="0" w:color="auto"/>
        <w:left w:val="none" w:sz="0" w:space="0" w:color="auto"/>
        <w:bottom w:val="none" w:sz="0" w:space="0" w:color="auto"/>
        <w:right w:val="none" w:sz="0" w:space="0" w:color="auto"/>
      </w:divBdr>
      <w:divsChild>
        <w:div w:id="57749439">
          <w:marLeft w:val="0"/>
          <w:marRight w:val="0"/>
          <w:marTop w:val="0"/>
          <w:marBottom w:val="0"/>
          <w:divBdr>
            <w:top w:val="none" w:sz="0" w:space="0" w:color="auto"/>
            <w:left w:val="none" w:sz="0" w:space="0" w:color="auto"/>
            <w:bottom w:val="none" w:sz="0" w:space="0" w:color="auto"/>
            <w:right w:val="none" w:sz="0" w:space="0" w:color="auto"/>
          </w:divBdr>
        </w:div>
      </w:divsChild>
    </w:div>
    <w:div w:id="1416589858">
      <w:bodyDiv w:val="1"/>
      <w:marLeft w:val="0"/>
      <w:marRight w:val="0"/>
      <w:marTop w:val="0"/>
      <w:marBottom w:val="0"/>
      <w:divBdr>
        <w:top w:val="none" w:sz="0" w:space="0" w:color="auto"/>
        <w:left w:val="none" w:sz="0" w:space="0" w:color="auto"/>
        <w:bottom w:val="none" w:sz="0" w:space="0" w:color="auto"/>
        <w:right w:val="none" w:sz="0" w:space="0" w:color="auto"/>
      </w:divBdr>
    </w:div>
    <w:div w:id="1440564040">
      <w:bodyDiv w:val="1"/>
      <w:marLeft w:val="0"/>
      <w:marRight w:val="0"/>
      <w:marTop w:val="0"/>
      <w:marBottom w:val="0"/>
      <w:divBdr>
        <w:top w:val="none" w:sz="0" w:space="0" w:color="auto"/>
        <w:left w:val="none" w:sz="0" w:space="0" w:color="auto"/>
        <w:bottom w:val="none" w:sz="0" w:space="0" w:color="auto"/>
        <w:right w:val="none" w:sz="0" w:space="0" w:color="auto"/>
      </w:divBdr>
    </w:div>
    <w:div w:id="1441995848">
      <w:bodyDiv w:val="1"/>
      <w:marLeft w:val="0"/>
      <w:marRight w:val="0"/>
      <w:marTop w:val="0"/>
      <w:marBottom w:val="0"/>
      <w:divBdr>
        <w:top w:val="none" w:sz="0" w:space="0" w:color="auto"/>
        <w:left w:val="none" w:sz="0" w:space="0" w:color="auto"/>
        <w:bottom w:val="none" w:sz="0" w:space="0" w:color="auto"/>
        <w:right w:val="none" w:sz="0" w:space="0" w:color="auto"/>
      </w:divBdr>
    </w:div>
    <w:div w:id="1443380020">
      <w:bodyDiv w:val="1"/>
      <w:marLeft w:val="0"/>
      <w:marRight w:val="0"/>
      <w:marTop w:val="0"/>
      <w:marBottom w:val="0"/>
      <w:divBdr>
        <w:top w:val="none" w:sz="0" w:space="0" w:color="auto"/>
        <w:left w:val="none" w:sz="0" w:space="0" w:color="auto"/>
        <w:bottom w:val="none" w:sz="0" w:space="0" w:color="auto"/>
        <w:right w:val="none" w:sz="0" w:space="0" w:color="auto"/>
      </w:divBdr>
    </w:div>
    <w:div w:id="1449816904">
      <w:bodyDiv w:val="1"/>
      <w:marLeft w:val="0"/>
      <w:marRight w:val="0"/>
      <w:marTop w:val="0"/>
      <w:marBottom w:val="0"/>
      <w:divBdr>
        <w:top w:val="none" w:sz="0" w:space="0" w:color="auto"/>
        <w:left w:val="none" w:sz="0" w:space="0" w:color="auto"/>
        <w:bottom w:val="none" w:sz="0" w:space="0" w:color="auto"/>
        <w:right w:val="none" w:sz="0" w:space="0" w:color="auto"/>
      </w:divBdr>
    </w:div>
    <w:div w:id="1452475153">
      <w:bodyDiv w:val="1"/>
      <w:marLeft w:val="0"/>
      <w:marRight w:val="0"/>
      <w:marTop w:val="0"/>
      <w:marBottom w:val="0"/>
      <w:divBdr>
        <w:top w:val="none" w:sz="0" w:space="0" w:color="auto"/>
        <w:left w:val="none" w:sz="0" w:space="0" w:color="auto"/>
        <w:bottom w:val="none" w:sz="0" w:space="0" w:color="auto"/>
        <w:right w:val="none" w:sz="0" w:space="0" w:color="auto"/>
      </w:divBdr>
    </w:div>
    <w:div w:id="1463495095">
      <w:bodyDiv w:val="1"/>
      <w:marLeft w:val="0"/>
      <w:marRight w:val="0"/>
      <w:marTop w:val="0"/>
      <w:marBottom w:val="0"/>
      <w:divBdr>
        <w:top w:val="none" w:sz="0" w:space="0" w:color="auto"/>
        <w:left w:val="none" w:sz="0" w:space="0" w:color="auto"/>
        <w:bottom w:val="none" w:sz="0" w:space="0" w:color="auto"/>
        <w:right w:val="none" w:sz="0" w:space="0" w:color="auto"/>
      </w:divBdr>
    </w:div>
    <w:div w:id="1470170073">
      <w:bodyDiv w:val="1"/>
      <w:marLeft w:val="0"/>
      <w:marRight w:val="0"/>
      <w:marTop w:val="0"/>
      <w:marBottom w:val="0"/>
      <w:divBdr>
        <w:top w:val="none" w:sz="0" w:space="0" w:color="auto"/>
        <w:left w:val="none" w:sz="0" w:space="0" w:color="auto"/>
        <w:bottom w:val="none" w:sz="0" w:space="0" w:color="auto"/>
        <w:right w:val="none" w:sz="0" w:space="0" w:color="auto"/>
      </w:divBdr>
    </w:div>
    <w:div w:id="1478066135">
      <w:bodyDiv w:val="1"/>
      <w:marLeft w:val="0"/>
      <w:marRight w:val="0"/>
      <w:marTop w:val="0"/>
      <w:marBottom w:val="0"/>
      <w:divBdr>
        <w:top w:val="none" w:sz="0" w:space="0" w:color="auto"/>
        <w:left w:val="none" w:sz="0" w:space="0" w:color="auto"/>
        <w:bottom w:val="none" w:sz="0" w:space="0" w:color="auto"/>
        <w:right w:val="none" w:sz="0" w:space="0" w:color="auto"/>
      </w:divBdr>
    </w:div>
    <w:div w:id="1513882113">
      <w:bodyDiv w:val="1"/>
      <w:marLeft w:val="0"/>
      <w:marRight w:val="0"/>
      <w:marTop w:val="0"/>
      <w:marBottom w:val="0"/>
      <w:divBdr>
        <w:top w:val="none" w:sz="0" w:space="0" w:color="auto"/>
        <w:left w:val="none" w:sz="0" w:space="0" w:color="auto"/>
        <w:bottom w:val="none" w:sz="0" w:space="0" w:color="auto"/>
        <w:right w:val="none" w:sz="0" w:space="0" w:color="auto"/>
      </w:divBdr>
    </w:div>
    <w:div w:id="1532500904">
      <w:bodyDiv w:val="1"/>
      <w:marLeft w:val="0"/>
      <w:marRight w:val="0"/>
      <w:marTop w:val="0"/>
      <w:marBottom w:val="0"/>
      <w:divBdr>
        <w:top w:val="none" w:sz="0" w:space="0" w:color="auto"/>
        <w:left w:val="none" w:sz="0" w:space="0" w:color="auto"/>
        <w:bottom w:val="none" w:sz="0" w:space="0" w:color="auto"/>
        <w:right w:val="none" w:sz="0" w:space="0" w:color="auto"/>
      </w:divBdr>
    </w:div>
    <w:div w:id="1536767748">
      <w:bodyDiv w:val="1"/>
      <w:marLeft w:val="0"/>
      <w:marRight w:val="0"/>
      <w:marTop w:val="0"/>
      <w:marBottom w:val="0"/>
      <w:divBdr>
        <w:top w:val="none" w:sz="0" w:space="0" w:color="auto"/>
        <w:left w:val="none" w:sz="0" w:space="0" w:color="auto"/>
        <w:bottom w:val="none" w:sz="0" w:space="0" w:color="auto"/>
        <w:right w:val="none" w:sz="0" w:space="0" w:color="auto"/>
      </w:divBdr>
    </w:div>
    <w:div w:id="1564097629">
      <w:bodyDiv w:val="1"/>
      <w:marLeft w:val="0"/>
      <w:marRight w:val="0"/>
      <w:marTop w:val="0"/>
      <w:marBottom w:val="0"/>
      <w:divBdr>
        <w:top w:val="none" w:sz="0" w:space="0" w:color="auto"/>
        <w:left w:val="none" w:sz="0" w:space="0" w:color="auto"/>
        <w:bottom w:val="none" w:sz="0" w:space="0" w:color="auto"/>
        <w:right w:val="none" w:sz="0" w:space="0" w:color="auto"/>
      </w:divBdr>
    </w:div>
    <w:div w:id="1568227418">
      <w:bodyDiv w:val="1"/>
      <w:marLeft w:val="0"/>
      <w:marRight w:val="0"/>
      <w:marTop w:val="0"/>
      <w:marBottom w:val="0"/>
      <w:divBdr>
        <w:top w:val="none" w:sz="0" w:space="0" w:color="auto"/>
        <w:left w:val="none" w:sz="0" w:space="0" w:color="auto"/>
        <w:bottom w:val="none" w:sz="0" w:space="0" w:color="auto"/>
        <w:right w:val="none" w:sz="0" w:space="0" w:color="auto"/>
      </w:divBdr>
    </w:div>
    <w:div w:id="1570309513">
      <w:bodyDiv w:val="1"/>
      <w:marLeft w:val="0"/>
      <w:marRight w:val="0"/>
      <w:marTop w:val="0"/>
      <w:marBottom w:val="0"/>
      <w:divBdr>
        <w:top w:val="none" w:sz="0" w:space="0" w:color="auto"/>
        <w:left w:val="none" w:sz="0" w:space="0" w:color="auto"/>
        <w:bottom w:val="none" w:sz="0" w:space="0" w:color="auto"/>
        <w:right w:val="none" w:sz="0" w:space="0" w:color="auto"/>
      </w:divBdr>
    </w:div>
    <w:div w:id="1579099607">
      <w:bodyDiv w:val="1"/>
      <w:marLeft w:val="0"/>
      <w:marRight w:val="0"/>
      <w:marTop w:val="0"/>
      <w:marBottom w:val="0"/>
      <w:divBdr>
        <w:top w:val="none" w:sz="0" w:space="0" w:color="auto"/>
        <w:left w:val="none" w:sz="0" w:space="0" w:color="auto"/>
        <w:bottom w:val="none" w:sz="0" w:space="0" w:color="auto"/>
        <w:right w:val="none" w:sz="0" w:space="0" w:color="auto"/>
      </w:divBdr>
    </w:div>
    <w:div w:id="1582180406">
      <w:bodyDiv w:val="1"/>
      <w:marLeft w:val="0"/>
      <w:marRight w:val="0"/>
      <w:marTop w:val="0"/>
      <w:marBottom w:val="0"/>
      <w:divBdr>
        <w:top w:val="none" w:sz="0" w:space="0" w:color="auto"/>
        <w:left w:val="none" w:sz="0" w:space="0" w:color="auto"/>
        <w:bottom w:val="none" w:sz="0" w:space="0" w:color="auto"/>
        <w:right w:val="none" w:sz="0" w:space="0" w:color="auto"/>
      </w:divBdr>
    </w:div>
    <w:div w:id="1582980043">
      <w:bodyDiv w:val="1"/>
      <w:marLeft w:val="0"/>
      <w:marRight w:val="0"/>
      <w:marTop w:val="0"/>
      <w:marBottom w:val="0"/>
      <w:divBdr>
        <w:top w:val="none" w:sz="0" w:space="0" w:color="auto"/>
        <w:left w:val="none" w:sz="0" w:space="0" w:color="auto"/>
        <w:bottom w:val="none" w:sz="0" w:space="0" w:color="auto"/>
        <w:right w:val="none" w:sz="0" w:space="0" w:color="auto"/>
      </w:divBdr>
    </w:div>
    <w:div w:id="1588420227">
      <w:bodyDiv w:val="1"/>
      <w:marLeft w:val="0"/>
      <w:marRight w:val="0"/>
      <w:marTop w:val="0"/>
      <w:marBottom w:val="0"/>
      <w:divBdr>
        <w:top w:val="none" w:sz="0" w:space="0" w:color="auto"/>
        <w:left w:val="none" w:sz="0" w:space="0" w:color="auto"/>
        <w:bottom w:val="none" w:sz="0" w:space="0" w:color="auto"/>
        <w:right w:val="none" w:sz="0" w:space="0" w:color="auto"/>
      </w:divBdr>
    </w:div>
    <w:div w:id="1588883968">
      <w:bodyDiv w:val="1"/>
      <w:marLeft w:val="0"/>
      <w:marRight w:val="0"/>
      <w:marTop w:val="0"/>
      <w:marBottom w:val="0"/>
      <w:divBdr>
        <w:top w:val="none" w:sz="0" w:space="0" w:color="auto"/>
        <w:left w:val="none" w:sz="0" w:space="0" w:color="auto"/>
        <w:bottom w:val="none" w:sz="0" w:space="0" w:color="auto"/>
        <w:right w:val="none" w:sz="0" w:space="0" w:color="auto"/>
      </w:divBdr>
    </w:div>
    <w:div w:id="1593389144">
      <w:bodyDiv w:val="1"/>
      <w:marLeft w:val="0"/>
      <w:marRight w:val="0"/>
      <w:marTop w:val="0"/>
      <w:marBottom w:val="0"/>
      <w:divBdr>
        <w:top w:val="none" w:sz="0" w:space="0" w:color="auto"/>
        <w:left w:val="none" w:sz="0" w:space="0" w:color="auto"/>
        <w:bottom w:val="none" w:sz="0" w:space="0" w:color="auto"/>
        <w:right w:val="none" w:sz="0" w:space="0" w:color="auto"/>
      </w:divBdr>
    </w:div>
    <w:div w:id="1609310707">
      <w:bodyDiv w:val="1"/>
      <w:marLeft w:val="0"/>
      <w:marRight w:val="0"/>
      <w:marTop w:val="0"/>
      <w:marBottom w:val="0"/>
      <w:divBdr>
        <w:top w:val="none" w:sz="0" w:space="0" w:color="auto"/>
        <w:left w:val="none" w:sz="0" w:space="0" w:color="auto"/>
        <w:bottom w:val="none" w:sz="0" w:space="0" w:color="auto"/>
        <w:right w:val="none" w:sz="0" w:space="0" w:color="auto"/>
      </w:divBdr>
    </w:div>
    <w:div w:id="1613439546">
      <w:bodyDiv w:val="1"/>
      <w:marLeft w:val="0"/>
      <w:marRight w:val="0"/>
      <w:marTop w:val="0"/>
      <w:marBottom w:val="0"/>
      <w:divBdr>
        <w:top w:val="none" w:sz="0" w:space="0" w:color="auto"/>
        <w:left w:val="none" w:sz="0" w:space="0" w:color="auto"/>
        <w:bottom w:val="none" w:sz="0" w:space="0" w:color="auto"/>
        <w:right w:val="none" w:sz="0" w:space="0" w:color="auto"/>
      </w:divBdr>
    </w:div>
    <w:div w:id="1618028826">
      <w:bodyDiv w:val="1"/>
      <w:marLeft w:val="0"/>
      <w:marRight w:val="0"/>
      <w:marTop w:val="0"/>
      <w:marBottom w:val="0"/>
      <w:divBdr>
        <w:top w:val="none" w:sz="0" w:space="0" w:color="auto"/>
        <w:left w:val="none" w:sz="0" w:space="0" w:color="auto"/>
        <w:bottom w:val="none" w:sz="0" w:space="0" w:color="auto"/>
        <w:right w:val="none" w:sz="0" w:space="0" w:color="auto"/>
      </w:divBdr>
    </w:div>
    <w:div w:id="1648825932">
      <w:bodyDiv w:val="1"/>
      <w:marLeft w:val="0"/>
      <w:marRight w:val="0"/>
      <w:marTop w:val="0"/>
      <w:marBottom w:val="0"/>
      <w:divBdr>
        <w:top w:val="none" w:sz="0" w:space="0" w:color="auto"/>
        <w:left w:val="none" w:sz="0" w:space="0" w:color="auto"/>
        <w:bottom w:val="none" w:sz="0" w:space="0" w:color="auto"/>
        <w:right w:val="none" w:sz="0" w:space="0" w:color="auto"/>
      </w:divBdr>
      <w:divsChild>
        <w:div w:id="153490733">
          <w:marLeft w:val="0"/>
          <w:marRight w:val="0"/>
          <w:marTop w:val="0"/>
          <w:marBottom w:val="0"/>
          <w:divBdr>
            <w:top w:val="none" w:sz="0" w:space="0" w:color="auto"/>
            <w:left w:val="none" w:sz="0" w:space="0" w:color="auto"/>
            <w:bottom w:val="none" w:sz="0" w:space="0" w:color="auto"/>
            <w:right w:val="none" w:sz="0" w:space="0" w:color="auto"/>
          </w:divBdr>
        </w:div>
      </w:divsChild>
    </w:div>
    <w:div w:id="1649943041">
      <w:bodyDiv w:val="1"/>
      <w:marLeft w:val="0"/>
      <w:marRight w:val="0"/>
      <w:marTop w:val="0"/>
      <w:marBottom w:val="0"/>
      <w:divBdr>
        <w:top w:val="none" w:sz="0" w:space="0" w:color="auto"/>
        <w:left w:val="none" w:sz="0" w:space="0" w:color="auto"/>
        <w:bottom w:val="none" w:sz="0" w:space="0" w:color="auto"/>
        <w:right w:val="none" w:sz="0" w:space="0" w:color="auto"/>
      </w:divBdr>
    </w:div>
    <w:div w:id="1656952499">
      <w:bodyDiv w:val="1"/>
      <w:marLeft w:val="0"/>
      <w:marRight w:val="0"/>
      <w:marTop w:val="0"/>
      <w:marBottom w:val="0"/>
      <w:divBdr>
        <w:top w:val="none" w:sz="0" w:space="0" w:color="auto"/>
        <w:left w:val="none" w:sz="0" w:space="0" w:color="auto"/>
        <w:bottom w:val="none" w:sz="0" w:space="0" w:color="auto"/>
        <w:right w:val="none" w:sz="0" w:space="0" w:color="auto"/>
      </w:divBdr>
    </w:div>
    <w:div w:id="1658920080">
      <w:bodyDiv w:val="1"/>
      <w:marLeft w:val="0"/>
      <w:marRight w:val="0"/>
      <w:marTop w:val="0"/>
      <w:marBottom w:val="0"/>
      <w:divBdr>
        <w:top w:val="none" w:sz="0" w:space="0" w:color="auto"/>
        <w:left w:val="none" w:sz="0" w:space="0" w:color="auto"/>
        <w:bottom w:val="none" w:sz="0" w:space="0" w:color="auto"/>
        <w:right w:val="none" w:sz="0" w:space="0" w:color="auto"/>
      </w:divBdr>
      <w:divsChild>
        <w:div w:id="620304258">
          <w:marLeft w:val="0"/>
          <w:marRight w:val="0"/>
          <w:marTop w:val="0"/>
          <w:marBottom w:val="0"/>
          <w:divBdr>
            <w:top w:val="none" w:sz="0" w:space="0" w:color="auto"/>
            <w:left w:val="none" w:sz="0" w:space="0" w:color="auto"/>
            <w:bottom w:val="none" w:sz="0" w:space="0" w:color="auto"/>
            <w:right w:val="none" w:sz="0" w:space="0" w:color="auto"/>
          </w:divBdr>
        </w:div>
        <w:div w:id="1560435336">
          <w:marLeft w:val="0"/>
          <w:marRight w:val="0"/>
          <w:marTop w:val="0"/>
          <w:marBottom w:val="0"/>
          <w:divBdr>
            <w:top w:val="none" w:sz="0" w:space="0" w:color="auto"/>
            <w:left w:val="none" w:sz="0" w:space="0" w:color="auto"/>
            <w:bottom w:val="none" w:sz="0" w:space="0" w:color="auto"/>
            <w:right w:val="none" w:sz="0" w:space="0" w:color="auto"/>
          </w:divBdr>
        </w:div>
      </w:divsChild>
    </w:div>
    <w:div w:id="1661468751">
      <w:bodyDiv w:val="1"/>
      <w:marLeft w:val="0"/>
      <w:marRight w:val="0"/>
      <w:marTop w:val="0"/>
      <w:marBottom w:val="0"/>
      <w:divBdr>
        <w:top w:val="none" w:sz="0" w:space="0" w:color="auto"/>
        <w:left w:val="none" w:sz="0" w:space="0" w:color="auto"/>
        <w:bottom w:val="none" w:sz="0" w:space="0" w:color="auto"/>
        <w:right w:val="none" w:sz="0" w:space="0" w:color="auto"/>
      </w:divBdr>
    </w:div>
    <w:div w:id="1662390807">
      <w:bodyDiv w:val="1"/>
      <w:marLeft w:val="0"/>
      <w:marRight w:val="0"/>
      <w:marTop w:val="0"/>
      <w:marBottom w:val="0"/>
      <w:divBdr>
        <w:top w:val="none" w:sz="0" w:space="0" w:color="auto"/>
        <w:left w:val="none" w:sz="0" w:space="0" w:color="auto"/>
        <w:bottom w:val="none" w:sz="0" w:space="0" w:color="auto"/>
        <w:right w:val="none" w:sz="0" w:space="0" w:color="auto"/>
      </w:divBdr>
    </w:div>
    <w:div w:id="1674331709">
      <w:bodyDiv w:val="1"/>
      <w:marLeft w:val="0"/>
      <w:marRight w:val="0"/>
      <w:marTop w:val="0"/>
      <w:marBottom w:val="0"/>
      <w:divBdr>
        <w:top w:val="none" w:sz="0" w:space="0" w:color="auto"/>
        <w:left w:val="none" w:sz="0" w:space="0" w:color="auto"/>
        <w:bottom w:val="none" w:sz="0" w:space="0" w:color="auto"/>
        <w:right w:val="none" w:sz="0" w:space="0" w:color="auto"/>
      </w:divBdr>
    </w:div>
    <w:div w:id="1681737483">
      <w:bodyDiv w:val="1"/>
      <w:marLeft w:val="0"/>
      <w:marRight w:val="0"/>
      <w:marTop w:val="0"/>
      <w:marBottom w:val="0"/>
      <w:divBdr>
        <w:top w:val="none" w:sz="0" w:space="0" w:color="auto"/>
        <w:left w:val="none" w:sz="0" w:space="0" w:color="auto"/>
        <w:bottom w:val="none" w:sz="0" w:space="0" w:color="auto"/>
        <w:right w:val="none" w:sz="0" w:space="0" w:color="auto"/>
      </w:divBdr>
    </w:div>
    <w:div w:id="1689525849">
      <w:bodyDiv w:val="1"/>
      <w:marLeft w:val="0"/>
      <w:marRight w:val="0"/>
      <w:marTop w:val="0"/>
      <w:marBottom w:val="0"/>
      <w:divBdr>
        <w:top w:val="none" w:sz="0" w:space="0" w:color="auto"/>
        <w:left w:val="none" w:sz="0" w:space="0" w:color="auto"/>
        <w:bottom w:val="none" w:sz="0" w:space="0" w:color="auto"/>
        <w:right w:val="none" w:sz="0" w:space="0" w:color="auto"/>
      </w:divBdr>
    </w:div>
    <w:div w:id="1690716788">
      <w:bodyDiv w:val="1"/>
      <w:marLeft w:val="0"/>
      <w:marRight w:val="0"/>
      <w:marTop w:val="0"/>
      <w:marBottom w:val="0"/>
      <w:divBdr>
        <w:top w:val="none" w:sz="0" w:space="0" w:color="auto"/>
        <w:left w:val="none" w:sz="0" w:space="0" w:color="auto"/>
        <w:bottom w:val="none" w:sz="0" w:space="0" w:color="auto"/>
        <w:right w:val="none" w:sz="0" w:space="0" w:color="auto"/>
      </w:divBdr>
    </w:div>
    <w:div w:id="1738899264">
      <w:bodyDiv w:val="1"/>
      <w:marLeft w:val="0"/>
      <w:marRight w:val="0"/>
      <w:marTop w:val="0"/>
      <w:marBottom w:val="0"/>
      <w:divBdr>
        <w:top w:val="none" w:sz="0" w:space="0" w:color="auto"/>
        <w:left w:val="none" w:sz="0" w:space="0" w:color="auto"/>
        <w:bottom w:val="none" w:sz="0" w:space="0" w:color="auto"/>
        <w:right w:val="none" w:sz="0" w:space="0" w:color="auto"/>
      </w:divBdr>
    </w:div>
    <w:div w:id="1746149649">
      <w:bodyDiv w:val="1"/>
      <w:marLeft w:val="0"/>
      <w:marRight w:val="0"/>
      <w:marTop w:val="0"/>
      <w:marBottom w:val="0"/>
      <w:divBdr>
        <w:top w:val="none" w:sz="0" w:space="0" w:color="auto"/>
        <w:left w:val="none" w:sz="0" w:space="0" w:color="auto"/>
        <w:bottom w:val="none" w:sz="0" w:space="0" w:color="auto"/>
        <w:right w:val="none" w:sz="0" w:space="0" w:color="auto"/>
      </w:divBdr>
    </w:div>
    <w:div w:id="1759592811">
      <w:bodyDiv w:val="1"/>
      <w:marLeft w:val="0"/>
      <w:marRight w:val="0"/>
      <w:marTop w:val="0"/>
      <w:marBottom w:val="0"/>
      <w:divBdr>
        <w:top w:val="none" w:sz="0" w:space="0" w:color="auto"/>
        <w:left w:val="none" w:sz="0" w:space="0" w:color="auto"/>
        <w:bottom w:val="none" w:sz="0" w:space="0" w:color="auto"/>
        <w:right w:val="none" w:sz="0" w:space="0" w:color="auto"/>
      </w:divBdr>
    </w:div>
    <w:div w:id="1770000914">
      <w:bodyDiv w:val="1"/>
      <w:marLeft w:val="0"/>
      <w:marRight w:val="0"/>
      <w:marTop w:val="0"/>
      <w:marBottom w:val="0"/>
      <w:divBdr>
        <w:top w:val="none" w:sz="0" w:space="0" w:color="auto"/>
        <w:left w:val="none" w:sz="0" w:space="0" w:color="auto"/>
        <w:bottom w:val="none" w:sz="0" w:space="0" w:color="auto"/>
        <w:right w:val="none" w:sz="0" w:space="0" w:color="auto"/>
      </w:divBdr>
    </w:div>
    <w:div w:id="1772122948">
      <w:bodyDiv w:val="1"/>
      <w:marLeft w:val="0"/>
      <w:marRight w:val="0"/>
      <w:marTop w:val="0"/>
      <w:marBottom w:val="0"/>
      <w:divBdr>
        <w:top w:val="none" w:sz="0" w:space="0" w:color="auto"/>
        <w:left w:val="none" w:sz="0" w:space="0" w:color="auto"/>
        <w:bottom w:val="none" w:sz="0" w:space="0" w:color="auto"/>
        <w:right w:val="none" w:sz="0" w:space="0" w:color="auto"/>
      </w:divBdr>
    </w:div>
    <w:div w:id="1823232986">
      <w:bodyDiv w:val="1"/>
      <w:marLeft w:val="0"/>
      <w:marRight w:val="0"/>
      <w:marTop w:val="0"/>
      <w:marBottom w:val="0"/>
      <w:divBdr>
        <w:top w:val="none" w:sz="0" w:space="0" w:color="auto"/>
        <w:left w:val="none" w:sz="0" w:space="0" w:color="auto"/>
        <w:bottom w:val="none" w:sz="0" w:space="0" w:color="auto"/>
        <w:right w:val="none" w:sz="0" w:space="0" w:color="auto"/>
      </w:divBdr>
    </w:div>
    <w:div w:id="1824153317">
      <w:bodyDiv w:val="1"/>
      <w:marLeft w:val="0"/>
      <w:marRight w:val="0"/>
      <w:marTop w:val="0"/>
      <w:marBottom w:val="0"/>
      <w:divBdr>
        <w:top w:val="none" w:sz="0" w:space="0" w:color="auto"/>
        <w:left w:val="none" w:sz="0" w:space="0" w:color="auto"/>
        <w:bottom w:val="none" w:sz="0" w:space="0" w:color="auto"/>
        <w:right w:val="none" w:sz="0" w:space="0" w:color="auto"/>
      </w:divBdr>
    </w:div>
    <w:div w:id="1827043527">
      <w:bodyDiv w:val="1"/>
      <w:marLeft w:val="0"/>
      <w:marRight w:val="0"/>
      <w:marTop w:val="0"/>
      <w:marBottom w:val="0"/>
      <w:divBdr>
        <w:top w:val="none" w:sz="0" w:space="0" w:color="auto"/>
        <w:left w:val="none" w:sz="0" w:space="0" w:color="auto"/>
        <w:bottom w:val="none" w:sz="0" w:space="0" w:color="auto"/>
        <w:right w:val="none" w:sz="0" w:space="0" w:color="auto"/>
      </w:divBdr>
    </w:div>
    <w:div w:id="1830631022">
      <w:bodyDiv w:val="1"/>
      <w:marLeft w:val="0"/>
      <w:marRight w:val="0"/>
      <w:marTop w:val="0"/>
      <w:marBottom w:val="0"/>
      <w:divBdr>
        <w:top w:val="none" w:sz="0" w:space="0" w:color="auto"/>
        <w:left w:val="none" w:sz="0" w:space="0" w:color="auto"/>
        <w:bottom w:val="none" w:sz="0" w:space="0" w:color="auto"/>
        <w:right w:val="none" w:sz="0" w:space="0" w:color="auto"/>
      </w:divBdr>
    </w:div>
    <w:div w:id="1834296268">
      <w:bodyDiv w:val="1"/>
      <w:marLeft w:val="0"/>
      <w:marRight w:val="0"/>
      <w:marTop w:val="0"/>
      <w:marBottom w:val="0"/>
      <w:divBdr>
        <w:top w:val="none" w:sz="0" w:space="0" w:color="auto"/>
        <w:left w:val="none" w:sz="0" w:space="0" w:color="auto"/>
        <w:bottom w:val="none" w:sz="0" w:space="0" w:color="auto"/>
        <w:right w:val="none" w:sz="0" w:space="0" w:color="auto"/>
      </w:divBdr>
    </w:div>
    <w:div w:id="1836846815">
      <w:bodyDiv w:val="1"/>
      <w:marLeft w:val="0"/>
      <w:marRight w:val="0"/>
      <w:marTop w:val="0"/>
      <w:marBottom w:val="0"/>
      <w:divBdr>
        <w:top w:val="none" w:sz="0" w:space="0" w:color="auto"/>
        <w:left w:val="none" w:sz="0" w:space="0" w:color="auto"/>
        <w:bottom w:val="none" w:sz="0" w:space="0" w:color="auto"/>
        <w:right w:val="none" w:sz="0" w:space="0" w:color="auto"/>
      </w:divBdr>
    </w:div>
    <w:div w:id="1853565521">
      <w:bodyDiv w:val="1"/>
      <w:marLeft w:val="0"/>
      <w:marRight w:val="0"/>
      <w:marTop w:val="0"/>
      <w:marBottom w:val="0"/>
      <w:divBdr>
        <w:top w:val="none" w:sz="0" w:space="0" w:color="auto"/>
        <w:left w:val="none" w:sz="0" w:space="0" w:color="auto"/>
        <w:bottom w:val="none" w:sz="0" w:space="0" w:color="auto"/>
        <w:right w:val="none" w:sz="0" w:space="0" w:color="auto"/>
      </w:divBdr>
    </w:div>
    <w:div w:id="1867865000">
      <w:bodyDiv w:val="1"/>
      <w:marLeft w:val="0"/>
      <w:marRight w:val="0"/>
      <w:marTop w:val="0"/>
      <w:marBottom w:val="0"/>
      <w:divBdr>
        <w:top w:val="none" w:sz="0" w:space="0" w:color="auto"/>
        <w:left w:val="none" w:sz="0" w:space="0" w:color="auto"/>
        <w:bottom w:val="none" w:sz="0" w:space="0" w:color="auto"/>
        <w:right w:val="none" w:sz="0" w:space="0" w:color="auto"/>
      </w:divBdr>
    </w:div>
    <w:div w:id="1872378333">
      <w:bodyDiv w:val="1"/>
      <w:marLeft w:val="0"/>
      <w:marRight w:val="0"/>
      <w:marTop w:val="0"/>
      <w:marBottom w:val="0"/>
      <w:divBdr>
        <w:top w:val="none" w:sz="0" w:space="0" w:color="auto"/>
        <w:left w:val="none" w:sz="0" w:space="0" w:color="auto"/>
        <w:bottom w:val="none" w:sz="0" w:space="0" w:color="auto"/>
        <w:right w:val="none" w:sz="0" w:space="0" w:color="auto"/>
      </w:divBdr>
    </w:div>
    <w:div w:id="1881625589">
      <w:bodyDiv w:val="1"/>
      <w:marLeft w:val="0"/>
      <w:marRight w:val="0"/>
      <w:marTop w:val="0"/>
      <w:marBottom w:val="0"/>
      <w:divBdr>
        <w:top w:val="none" w:sz="0" w:space="0" w:color="auto"/>
        <w:left w:val="none" w:sz="0" w:space="0" w:color="auto"/>
        <w:bottom w:val="none" w:sz="0" w:space="0" w:color="auto"/>
        <w:right w:val="none" w:sz="0" w:space="0" w:color="auto"/>
      </w:divBdr>
    </w:div>
    <w:div w:id="1888250960">
      <w:bodyDiv w:val="1"/>
      <w:marLeft w:val="0"/>
      <w:marRight w:val="0"/>
      <w:marTop w:val="0"/>
      <w:marBottom w:val="0"/>
      <w:divBdr>
        <w:top w:val="none" w:sz="0" w:space="0" w:color="auto"/>
        <w:left w:val="none" w:sz="0" w:space="0" w:color="auto"/>
        <w:bottom w:val="none" w:sz="0" w:space="0" w:color="auto"/>
        <w:right w:val="none" w:sz="0" w:space="0" w:color="auto"/>
      </w:divBdr>
    </w:div>
    <w:div w:id="1910991964">
      <w:bodyDiv w:val="1"/>
      <w:marLeft w:val="0"/>
      <w:marRight w:val="0"/>
      <w:marTop w:val="0"/>
      <w:marBottom w:val="0"/>
      <w:divBdr>
        <w:top w:val="none" w:sz="0" w:space="0" w:color="auto"/>
        <w:left w:val="none" w:sz="0" w:space="0" w:color="auto"/>
        <w:bottom w:val="none" w:sz="0" w:space="0" w:color="auto"/>
        <w:right w:val="none" w:sz="0" w:space="0" w:color="auto"/>
      </w:divBdr>
    </w:div>
    <w:div w:id="1915309827">
      <w:bodyDiv w:val="1"/>
      <w:marLeft w:val="0"/>
      <w:marRight w:val="0"/>
      <w:marTop w:val="0"/>
      <w:marBottom w:val="0"/>
      <w:divBdr>
        <w:top w:val="none" w:sz="0" w:space="0" w:color="auto"/>
        <w:left w:val="none" w:sz="0" w:space="0" w:color="auto"/>
        <w:bottom w:val="none" w:sz="0" w:space="0" w:color="auto"/>
        <w:right w:val="none" w:sz="0" w:space="0" w:color="auto"/>
      </w:divBdr>
    </w:div>
    <w:div w:id="1935702958">
      <w:bodyDiv w:val="1"/>
      <w:marLeft w:val="0"/>
      <w:marRight w:val="0"/>
      <w:marTop w:val="0"/>
      <w:marBottom w:val="0"/>
      <w:divBdr>
        <w:top w:val="none" w:sz="0" w:space="0" w:color="auto"/>
        <w:left w:val="none" w:sz="0" w:space="0" w:color="auto"/>
        <w:bottom w:val="none" w:sz="0" w:space="0" w:color="auto"/>
        <w:right w:val="none" w:sz="0" w:space="0" w:color="auto"/>
      </w:divBdr>
    </w:div>
    <w:div w:id="1935891220">
      <w:bodyDiv w:val="1"/>
      <w:marLeft w:val="0"/>
      <w:marRight w:val="0"/>
      <w:marTop w:val="0"/>
      <w:marBottom w:val="0"/>
      <w:divBdr>
        <w:top w:val="none" w:sz="0" w:space="0" w:color="auto"/>
        <w:left w:val="none" w:sz="0" w:space="0" w:color="auto"/>
        <w:bottom w:val="none" w:sz="0" w:space="0" w:color="auto"/>
        <w:right w:val="none" w:sz="0" w:space="0" w:color="auto"/>
      </w:divBdr>
      <w:divsChild>
        <w:div w:id="94325152">
          <w:marLeft w:val="0"/>
          <w:marRight w:val="0"/>
          <w:marTop w:val="0"/>
          <w:marBottom w:val="0"/>
          <w:divBdr>
            <w:top w:val="none" w:sz="0" w:space="0" w:color="auto"/>
            <w:left w:val="none" w:sz="0" w:space="0" w:color="auto"/>
            <w:bottom w:val="none" w:sz="0" w:space="0" w:color="auto"/>
            <w:right w:val="none" w:sz="0" w:space="0" w:color="auto"/>
          </w:divBdr>
          <w:divsChild>
            <w:div w:id="148907728">
              <w:marLeft w:val="480"/>
              <w:marRight w:val="0"/>
              <w:marTop w:val="0"/>
              <w:marBottom w:val="0"/>
              <w:divBdr>
                <w:top w:val="none" w:sz="0" w:space="0" w:color="auto"/>
                <w:left w:val="none" w:sz="0" w:space="0" w:color="auto"/>
                <w:bottom w:val="none" w:sz="0" w:space="0" w:color="auto"/>
                <w:right w:val="none" w:sz="0" w:space="0" w:color="auto"/>
              </w:divBdr>
              <w:divsChild>
                <w:div w:id="1157694687">
                  <w:marLeft w:val="0"/>
                  <w:marRight w:val="0"/>
                  <w:marTop w:val="0"/>
                  <w:marBottom w:val="0"/>
                  <w:divBdr>
                    <w:top w:val="none" w:sz="0" w:space="0" w:color="auto"/>
                    <w:left w:val="none" w:sz="0" w:space="0" w:color="auto"/>
                    <w:bottom w:val="none" w:sz="0" w:space="0" w:color="auto"/>
                    <w:right w:val="none" w:sz="0" w:space="0" w:color="auto"/>
                  </w:divBdr>
                  <w:divsChild>
                    <w:div w:id="327484141">
                      <w:marLeft w:val="0"/>
                      <w:marRight w:val="0"/>
                      <w:marTop w:val="0"/>
                      <w:marBottom w:val="0"/>
                      <w:divBdr>
                        <w:top w:val="none" w:sz="0" w:space="0" w:color="auto"/>
                        <w:left w:val="none" w:sz="0" w:space="0" w:color="auto"/>
                        <w:bottom w:val="none" w:sz="0" w:space="0" w:color="auto"/>
                        <w:right w:val="none" w:sz="0" w:space="0" w:color="auto"/>
                      </w:divBdr>
                      <w:divsChild>
                        <w:div w:id="487786033">
                          <w:marLeft w:val="0"/>
                          <w:marRight w:val="0"/>
                          <w:marTop w:val="0"/>
                          <w:marBottom w:val="0"/>
                          <w:divBdr>
                            <w:top w:val="none" w:sz="0" w:space="0" w:color="auto"/>
                            <w:left w:val="none" w:sz="0" w:space="0" w:color="auto"/>
                            <w:bottom w:val="none" w:sz="0" w:space="0" w:color="auto"/>
                            <w:right w:val="none" w:sz="0" w:space="0" w:color="auto"/>
                          </w:divBdr>
                          <w:divsChild>
                            <w:div w:id="431322755">
                              <w:marLeft w:val="0"/>
                              <w:marRight w:val="0"/>
                              <w:marTop w:val="0"/>
                              <w:marBottom w:val="0"/>
                              <w:divBdr>
                                <w:top w:val="none" w:sz="0" w:space="0" w:color="auto"/>
                                <w:left w:val="none" w:sz="0" w:space="0" w:color="auto"/>
                                <w:bottom w:val="none" w:sz="0" w:space="0" w:color="auto"/>
                                <w:right w:val="none" w:sz="0" w:space="0" w:color="auto"/>
                              </w:divBdr>
                              <w:divsChild>
                                <w:div w:id="2023435708">
                                  <w:marLeft w:val="0"/>
                                  <w:marRight w:val="0"/>
                                  <w:marTop w:val="15"/>
                                  <w:marBottom w:val="0"/>
                                  <w:divBdr>
                                    <w:top w:val="none" w:sz="0" w:space="0" w:color="auto"/>
                                    <w:left w:val="none" w:sz="0" w:space="0" w:color="auto"/>
                                    <w:bottom w:val="none" w:sz="0" w:space="0" w:color="auto"/>
                                    <w:right w:val="none" w:sz="0" w:space="0" w:color="auto"/>
                                  </w:divBdr>
                                  <w:divsChild>
                                    <w:div w:id="24172473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23664">
                  <w:marLeft w:val="270"/>
                  <w:marRight w:val="150"/>
                  <w:marTop w:val="0"/>
                  <w:marBottom w:val="0"/>
                  <w:divBdr>
                    <w:top w:val="none" w:sz="0" w:space="0" w:color="auto"/>
                    <w:left w:val="none" w:sz="0" w:space="0" w:color="auto"/>
                    <w:bottom w:val="none" w:sz="0" w:space="0" w:color="auto"/>
                    <w:right w:val="none" w:sz="0" w:space="0" w:color="auto"/>
                  </w:divBdr>
                </w:div>
              </w:divsChild>
            </w:div>
            <w:div w:id="966012121">
              <w:marLeft w:val="-164"/>
              <w:marRight w:val="-164"/>
              <w:marTop w:val="0"/>
              <w:marBottom w:val="0"/>
              <w:divBdr>
                <w:top w:val="none" w:sz="0" w:space="0" w:color="auto"/>
                <w:left w:val="none" w:sz="0" w:space="0" w:color="auto"/>
                <w:bottom w:val="none" w:sz="0" w:space="0" w:color="auto"/>
                <w:right w:val="none" w:sz="0" w:space="0" w:color="auto"/>
              </w:divBdr>
              <w:divsChild>
                <w:div w:id="1225725238">
                  <w:marLeft w:val="0"/>
                  <w:marRight w:val="0"/>
                  <w:marTop w:val="0"/>
                  <w:marBottom w:val="0"/>
                  <w:divBdr>
                    <w:top w:val="none" w:sz="0" w:space="0" w:color="auto"/>
                    <w:left w:val="none" w:sz="0" w:space="0" w:color="auto"/>
                    <w:bottom w:val="none" w:sz="0" w:space="0" w:color="auto"/>
                    <w:right w:val="none" w:sz="0" w:space="0" w:color="auto"/>
                  </w:divBdr>
                  <w:divsChild>
                    <w:div w:id="758254728">
                      <w:marLeft w:val="0"/>
                      <w:marRight w:val="0"/>
                      <w:marTop w:val="0"/>
                      <w:marBottom w:val="0"/>
                      <w:divBdr>
                        <w:top w:val="single" w:sz="6" w:space="0" w:color="D1D1D1"/>
                        <w:left w:val="none" w:sz="0" w:space="0" w:color="F5F5F5"/>
                        <w:bottom w:val="single" w:sz="6" w:space="0" w:color="D1D1D1"/>
                        <w:right w:val="none" w:sz="0" w:space="0" w:color="F5F5F5"/>
                      </w:divBdr>
                      <w:divsChild>
                        <w:div w:id="252324259">
                          <w:marLeft w:val="0"/>
                          <w:marRight w:val="0"/>
                          <w:marTop w:val="0"/>
                          <w:marBottom w:val="0"/>
                          <w:divBdr>
                            <w:top w:val="none" w:sz="0" w:space="0" w:color="auto"/>
                            <w:left w:val="none" w:sz="0" w:space="0" w:color="auto"/>
                            <w:bottom w:val="none" w:sz="0" w:space="0" w:color="auto"/>
                            <w:right w:val="none" w:sz="0" w:space="0" w:color="auto"/>
                          </w:divBdr>
                        </w:div>
                        <w:div w:id="467010705">
                          <w:marLeft w:val="0"/>
                          <w:marRight w:val="0"/>
                          <w:marTop w:val="0"/>
                          <w:marBottom w:val="0"/>
                          <w:divBdr>
                            <w:top w:val="none" w:sz="0" w:space="0" w:color="auto"/>
                            <w:left w:val="none" w:sz="0" w:space="0" w:color="auto"/>
                            <w:bottom w:val="none" w:sz="0" w:space="0" w:color="auto"/>
                            <w:right w:val="none" w:sz="0" w:space="0" w:color="auto"/>
                          </w:divBdr>
                          <w:divsChild>
                            <w:div w:id="15760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96254">
              <w:marLeft w:val="0"/>
              <w:marRight w:val="0"/>
              <w:marTop w:val="0"/>
              <w:marBottom w:val="0"/>
              <w:divBdr>
                <w:top w:val="none" w:sz="0" w:space="0" w:color="auto"/>
                <w:left w:val="none" w:sz="0" w:space="0" w:color="auto"/>
                <w:bottom w:val="none" w:sz="0" w:space="0" w:color="auto"/>
                <w:right w:val="none" w:sz="0" w:space="0" w:color="auto"/>
              </w:divBdr>
              <w:divsChild>
                <w:div w:id="371267745">
                  <w:marLeft w:val="0"/>
                  <w:marRight w:val="0"/>
                  <w:marTop w:val="0"/>
                  <w:marBottom w:val="0"/>
                  <w:divBdr>
                    <w:top w:val="none" w:sz="0" w:space="0" w:color="auto"/>
                    <w:left w:val="none" w:sz="0" w:space="0" w:color="auto"/>
                    <w:bottom w:val="none" w:sz="0" w:space="0" w:color="auto"/>
                    <w:right w:val="none" w:sz="0" w:space="0" w:color="auto"/>
                  </w:divBdr>
                  <w:divsChild>
                    <w:div w:id="485513710">
                      <w:marLeft w:val="60"/>
                      <w:marRight w:val="0"/>
                      <w:marTop w:val="0"/>
                      <w:marBottom w:val="60"/>
                      <w:divBdr>
                        <w:top w:val="none" w:sz="0" w:space="0" w:color="auto"/>
                        <w:left w:val="none" w:sz="0" w:space="0" w:color="auto"/>
                        <w:bottom w:val="none" w:sz="0" w:space="0" w:color="auto"/>
                        <w:right w:val="none" w:sz="0" w:space="0" w:color="auto"/>
                      </w:divBdr>
                      <w:divsChild>
                        <w:div w:id="850148417">
                          <w:marLeft w:val="0"/>
                          <w:marRight w:val="0"/>
                          <w:marTop w:val="0"/>
                          <w:marBottom w:val="0"/>
                          <w:divBdr>
                            <w:top w:val="none" w:sz="0" w:space="0" w:color="auto"/>
                            <w:left w:val="none" w:sz="0" w:space="0" w:color="auto"/>
                            <w:bottom w:val="none" w:sz="0" w:space="0" w:color="auto"/>
                            <w:right w:val="none" w:sz="0" w:space="0" w:color="auto"/>
                          </w:divBdr>
                          <w:divsChild>
                            <w:div w:id="16206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0628">
                  <w:marLeft w:val="0"/>
                  <w:marRight w:val="0"/>
                  <w:marTop w:val="0"/>
                  <w:marBottom w:val="0"/>
                  <w:divBdr>
                    <w:top w:val="none" w:sz="0" w:space="0" w:color="auto"/>
                    <w:left w:val="none" w:sz="0" w:space="0" w:color="auto"/>
                    <w:bottom w:val="none" w:sz="0" w:space="0" w:color="auto"/>
                    <w:right w:val="none" w:sz="0" w:space="0" w:color="auto"/>
                  </w:divBdr>
                  <w:divsChild>
                    <w:div w:id="95173677">
                      <w:marLeft w:val="0"/>
                      <w:marRight w:val="0"/>
                      <w:marTop w:val="0"/>
                      <w:marBottom w:val="0"/>
                      <w:divBdr>
                        <w:top w:val="none" w:sz="0" w:space="0" w:color="auto"/>
                        <w:left w:val="none" w:sz="0" w:space="0" w:color="auto"/>
                        <w:bottom w:val="none" w:sz="0" w:space="0" w:color="auto"/>
                        <w:right w:val="none" w:sz="0" w:space="0" w:color="auto"/>
                      </w:divBdr>
                      <w:divsChild>
                        <w:div w:id="204878745">
                          <w:marLeft w:val="0"/>
                          <w:marRight w:val="0"/>
                          <w:marTop w:val="0"/>
                          <w:marBottom w:val="0"/>
                          <w:divBdr>
                            <w:top w:val="none" w:sz="0" w:space="0" w:color="auto"/>
                            <w:left w:val="none" w:sz="0" w:space="0" w:color="auto"/>
                            <w:bottom w:val="none" w:sz="0" w:space="0" w:color="auto"/>
                            <w:right w:val="none" w:sz="0" w:space="0" w:color="auto"/>
                          </w:divBdr>
                          <w:divsChild>
                            <w:div w:id="789713371">
                              <w:marLeft w:val="0"/>
                              <w:marRight w:val="0"/>
                              <w:marTop w:val="0"/>
                              <w:marBottom w:val="0"/>
                              <w:divBdr>
                                <w:top w:val="none" w:sz="0" w:space="0" w:color="auto"/>
                                <w:left w:val="none" w:sz="0" w:space="0" w:color="auto"/>
                                <w:bottom w:val="none" w:sz="0" w:space="0" w:color="auto"/>
                                <w:right w:val="none" w:sz="0" w:space="0" w:color="auto"/>
                              </w:divBdr>
                            </w:div>
                          </w:divsChild>
                        </w:div>
                        <w:div w:id="298075766">
                          <w:marLeft w:val="0"/>
                          <w:marRight w:val="0"/>
                          <w:marTop w:val="0"/>
                          <w:marBottom w:val="0"/>
                          <w:divBdr>
                            <w:top w:val="none" w:sz="0" w:space="0" w:color="auto"/>
                            <w:left w:val="none" w:sz="0" w:space="0" w:color="auto"/>
                            <w:bottom w:val="none" w:sz="0" w:space="0" w:color="auto"/>
                            <w:right w:val="none" w:sz="0" w:space="0" w:color="auto"/>
                          </w:divBdr>
                          <w:divsChild>
                            <w:div w:id="651254407">
                              <w:marLeft w:val="0"/>
                              <w:marRight w:val="0"/>
                              <w:marTop w:val="0"/>
                              <w:marBottom w:val="0"/>
                              <w:divBdr>
                                <w:top w:val="none" w:sz="0" w:space="0" w:color="auto"/>
                                <w:left w:val="none" w:sz="0" w:space="0" w:color="auto"/>
                                <w:bottom w:val="none" w:sz="0" w:space="0" w:color="auto"/>
                                <w:right w:val="none" w:sz="0" w:space="0" w:color="auto"/>
                              </w:divBdr>
                              <w:divsChild>
                                <w:div w:id="16014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3094">
                          <w:marLeft w:val="0"/>
                          <w:marRight w:val="0"/>
                          <w:marTop w:val="0"/>
                          <w:marBottom w:val="0"/>
                          <w:divBdr>
                            <w:top w:val="none" w:sz="0" w:space="0" w:color="auto"/>
                            <w:left w:val="none" w:sz="0" w:space="0" w:color="auto"/>
                            <w:bottom w:val="none" w:sz="0" w:space="0" w:color="auto"/>
                            <w:right w:val="none" w:sz="0" w:space="0" w:color="auto"/>
                          </w:divBdr>
                          <w:divsChild>
                            <w:div w:id="661545278">
                              <w:marLeft w:val="0"/>
                              <w:marRight w:val="0"/>
                              <w:marTop w:val="0"/>
                              <w:marBottom w:val="0"/>
                              <w:divBdr>
                                <w:top w:val="none" w:sz="0" w:space="0" w:color="auto"/>
                                <w:left w:val="none" w:sz="0" w:space="0" w:color="auto"/>
                                <w:bottom w:val="none" w:sz="0" w:space="0" w:color="auto"/>
                                <w:right w:val="none" w:sz="0" w:space="0" w:color="auto"/>
                              </w:divBdr>
                              <w:divsChild>
                                <w:div w:id="2127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1268">
                          <w:marLeft w:val="0"/>
                          <w:marRight w:val="0"/>
                          <w:marTop w:val="0"/>
                          <w:marBottom w:val="0"/>
                          <w:divBdr>
                            <w:top w:val="none" w:sz="0" w:space="0" w:color="auto"/>
                            <w:left w:val="none" w:sz="0" w:space="0" w:color="auto"/>
                            <w:bottom w:val="none" w:sz="0" w:space="0" w:color="auto"/>
                            <w:right w:val="none" w:sz="0" w:space="0" w:color="auto"/>
                          </w:divBdr>
                          <w:divsChild>
                            <w:div w:id="753363056">
                              <w:marLeft w:val="0"/>
                              <w:marRight w:val="0"/>
                              <w:marTop w:val="0"/>
                              <w:marBottom w:val="0"/>
                              <w:divBdr>
                                <w:top w:val="none" w:sz="0" w:space="0" w:color="auto"/>
                                <w:left w:val="none" w:sz="0" w:space="0" w:color="auto"/>
                                <w:bottom w:val="none" w:sz="0" w:space="0" w:color="auto"/>
                                <w:right w:val="none" w:sz="0" w:space="0" w:color="auto"/>
                              </w:divBdr>
                              <w:divsChild>
                                <w:div w:id="18213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183">
                          <w:marLeft w:val="0"/>
                          <w:marRight w:val="0"/>
                          <w:marTop w:val="0"/>
                          <w:marBottom w:val="0"/>
                          <w:divBdr>
                            <w:top w:val="none" w:sz="0" w:space="0" w:color="auto"/>
                            <w:left w:val="none" w:sz="0" w:space="0" w:color="auto"/>
                            <w:bottom w:val="none" w:sz="0" w:space="0" w:color="auto"/>
                            <w:right w:val="none" w:sz="0" w:space="0" w:color="auto"/>
                          </w:divBdr>
                          <w:divsChild>
                            <w:div w:id="1288396101">
                              <w:marLeft w:val="0"/>
                              <w:marRight w:val="0"/>
                              <w:marTop w:val="0"/>
                              <w:marBottom w:val="0"/>
                              <w:divBdr>
                                <w:top w:val="none" w:sz="0" w:space="0" w:color="auto"/>
                                <w:left w:val="none" w:sz="0" w:space="0" w:color="auto"/>
                                <w:bottom w:val="none" w:sz="0" w:space="0" w:color="auto"/>
                                <w:right w:val="none" w:sz="0" w:space="0" w:color="auto"/>
                              </w:divBdr>
                              <w:divsChild>
                                <w:div w:id="17062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2578">
                          <w:marLeft w:val="0"/>
                          <w:marRight w:val="0"/>
                          <w:marTop w:val="0"/>
                          <w:marBottom w:val="0"/>
                          <w:divBdr>
                            <w:top w:val="none" w:sz="0" w:space="0" w:color="auto"/>
                            <w:left w:val="none" w:sz="0" w:space="0" w:color="auto"/>
                            <w:bottom w:val="none" w:sz="0" w:space="0" w:color="auto"/>
                            <w:right w:val="none" w:sz="0" w:space="0" w:color="auto"/>
                          </w:divBdr>
                          <w:divsChild>
                            <w:div w:id="1194685133">
                              <w:marLeft w:val="0"/>
                              <w:marRight w:val="0"/>
                              <w:marTop w:val="0"/>
                              <w:marBottom w:val="0"/>
                              <w:divBdr>
                                <w:top w:val="none" w:sz="0" w:space="0" w:color="auto"/>
                                <w:left w:val="none" w:sz="0" w:space="0" w:color="auto"/>
                                <w:bottom w:val="none" w:sz="0" w:space="0" w:color="auto"/>
                                <w:right w:val="none" w:sz="0" w:space="0" w:color="auto"/>
                              </w:divBdr>
                              <w:divsChild>
                                <w:div w:id="5260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0892">
                          <w:marLeft w:val="0"/>
                          <w:marRight w:val="0"/>
                          <w:marTop w:val="0"/>
                          <w:marBottom w:val="0"/>
                          <w:divBdr>
                            <w:top w:val="none" w:sz="0" w:space="0" w:color="auto"/>
                            <w:left w:val="none" w:sz="0" w:space="0" w:color="auto"/>
                            <w:bottom w:val="none" w:sz="0" w:space="0" w:color="auto"/>
                            <w:right w:val="none" w:sz="0" w:space="0" w:color="auto"/>
                          </w:divBdr>
                          <w:divsChild>
                            <w:div w:id="398017266">
                              <w:marLeft w:val="0"/>
                              <w:marRight w:val="0"/>
                              <w:marTop w:val="0"/>
                              <w:marBottom w:val="0"/>
                              <w:divBdr>
                                <w:top w:val="none" w:sz="0" w:space="0" w:color="auto"/>
                                <w:left w:val="none" w:sz="0" w:space="0" w:color="auto"/>
                                <w:bottom w:val="none" w:sz="0" w:space="0" w:color="auto"/>
                                <w:right w:val="none" w:sz="0" w:space="0" w:color="auto"/>
                              </w:divBdr>
                              <w:divsChild>
                                <w:div w:id="8733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8241">
                          <w:marLeft w:val="0"/>
                          <w:marRight w:val="0"/>
                          <w:marTop w:val="0"/>
                          <w:marBottom w:val="0"/>
                          <w:divBdr>
                            <w:top w:val="none" w:sz="0" w:space="0" w:color="auto"/>
                            <w:left w:val="none" w:sz="0" w:space="0" w:color="auto"/>
                            <w:bottom w:val="none" w:sz="0" w:space="0" w:color="auto"/>
                            <w:right w:val="none" w:sz="0" w:space="0" w:color="auto"/>
                          </w:divBdr>
                          <w:divsChild>
                            <w:div w:id="1380469848">
                              <w:marLeft w:val="0"/>
                              <w:marRight w:val="0"/>
                              <w:marTop w:val="0"/>
                              <w:marBottom w:val="0"/>
                              <w:divBdr>
                                <w:top w:val="none" w:sz="0" w:space="0" w:color="auto"/>
                                <w:left w:val="none" w:sz="0" w:space="0" w:color="auto"/>
                                <w:bottom w:val="none" w:sz="0" w:space="0" w:color="auto"/>
                                <w:right w:val="none" w:sz="0" w:space="0" w:color="auto"/>
                              </w:divBdr>
                              <w:divsChild>
                                <w:div w:id="1831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698692">
          <w:marLeft w:val="0"/>
          <w:marRight w:val="0"/>
          <w:marTop w:val="0"/>
          <w:marBottom w:val="0"/>
          <w:divBdr>
            <w:top w:val="none" w:sz="0" w:space="0" w:color="auto"/>
            <w:left w:val="none" w:sz="0" w:space="0" w:color="auto"/>
            <w:bottom w:val="none" w:sz="0" w:space="0" w:color="auto"/>
            <w:right w:val="none" w:sz="0" w:space="0" w:color="auto"/>
          </w:divBdr>
          <w:divsChild>
            <w:div w:id="298802477">
              <w:marLeft w:val="540"/>
              <w:marRight w:val="240"/>
              <w:marTop w:val="180"/>
              <w:marBottom w:val="0"/>
              <w:divBdr>
                <w:top w:val="none" w:sz="0" w:space="0" w:color="auto"/>
                <w:left w:val="none" w:sz="0" w:space="0" w:color="auto"/>
                <w:bottom w:val="none" w:sz="0" w:space="0" w:color="auto"/>
                <w:right w:val="none" w:sz="0" w:space="0" w:color="auto"/>
              </w:divBdr>
              <w:divsChild>
                <w:div w:id="1150712300">
                  <w:marLeft w:val="0"/>
                  <w:marRight w:val="0"/>
                  <w:marTop w:val="0"/>
                  <w:marBottom w:val="0"/>
                  <w:divBdr>
                    <w:top w:val="none" w:sz="0" w:space="0" w:color="auto"/>
                    <w:left w:val="none" w:sz="0" w:space="0" w:color="auto"/>
                    <w:bottom w:val="none" w:sz="0" w:space="0" w:color="auto"/>
                    <w:right w:val="none" w:sz="0" w:space="0" w:color="auto"/>
                  </w:divBdr>
                  <w:divsChild>
                    <w:div w:id="1890143870">
                      <w:marLeft w:val="0"/>
                      <w:marRight w:val="0"/>
                      <w:marTop w:val="0"/>
                      <w:marBottom w:val="0"/>
                      <w:divBdr>
                        <w:top w:val="none" w:sz="0" w:space="0" w:color="auto"/>
                        <w:left w:val="none" w:sz="0" w:space="0" w:color="auto"/>
                        <w:bottom w:val="none" w:sz="0" w:space="0" w:color="auto"/>
                        <w:right w:val="none" w:sz="0" w:space="0" w:color="auto"/>
                      </w:divBdr>
                      <w:divsChild>
                        <w:div w:id="1374885522">
                          <w:marLeft w:val="0"/>
                          <w:marRight w:val="0"/>
                          <w:marTop w:val="0"/>
                          <w:marBottom w:val="0"/>
                          <w:divBdr>
                            <w:top w:val="none" w:sz="0" w:space="0" w:color="auto"/>
                            <w:left w:val="none" w:sz="0" w:space="0" w:color="auto"/>
                            <w:bottom w:val="none" w:sz="0" w:space="0" w:color="auto"/>
                            <w:right w:val="none" w:sz="0" w:space="0" w:color="auto"/>
                          </w:divBdr>
                          <w:divsChild>
                            <w:div w:id="328875635">
                              <w:marLeft w:val="0"/>
                              <w:marRight w:val="0"/>
                              <w:marTop w:val="0"/>
                              <w:marBottom w:val="0"/>
                              <w:divBdr>
                                <w:top w:val="none" w:sz="0" w:space="0" w:color="auto"/>
                                <w:left w:val="none" w:sz="0" w:space="0" w:color="auto"/>
                                <w:bottom w:val="none" w:sz="0" w:space="0" w:color="auto"/>
                                <w:right w:val="none" w:sz="0" w:space="0" w:color="auto"/>
                              </w:divBdr>
                              <w:divsChild>
                                <w:div w:id="1029455406">
                                  <w:marLeft w:val="0"/>
                                  <w:marRight w:val="0"/>
                                  <w:marTop w:val="0"/>
                                  <w:marBottom w:val="0"/>
                                  <w:divBdr>
                                    <w:top w:val="none" w:sz="0" w:space="0" w:color="auto"/>
                                    <w:left w:val="none" w:sz="0" w:space="0" w:color="auto"/>
                                    <w:bottom w:val="none" w:sz="0" w:space="0" w:color="auto"/>
                                    <w:right w:val="none" w:sz="0" w:space="0" w:color="auto"/>
                                  </w:divBdr>
                                </w:div>
                              </w:divsChild>
                            </w:div>
                            <w:div w:id="785656419">
                              <w:marLeft w:val="0"/>
                              <w:marRight w:val="0"/>
                              <w:marTop w:val="0"/>
                              <w:marBottom w:val="0"/>
                              <w:divBdr>
                                <w:top w:val="single" w:sz="8" w:space="0" w:color="808080"/>
                                <w:left w:val="single" w:sz="8" w:space="0" w:color="808080"/>
                                <w:bottom w:val="single" w:sz="8" w:space="0" w:color="808080"/>
                                <w:right w:val="single" w:sz="8" w:space="0" w:color="808080"/>
                              </w:divBdr>
                            </w:div>
                          </w:divsChild>
                        </w:div>
                      </w:divsChild>
                    </w:div>
                  </w:divsChild>
                </w:div>
              </w:divsChild>
            </w:div>
          </w:divsChild>
        </w:div>
        <w:div w:id="1495993890">
          <w:marLeft w:val="540"/>
          <w:marRight w:val="240"/>
          <w:marTop w:val="0"/>
          <w:marBottom w:val="0"/>
          <w:divBdr>
            <w:top w:val="none" w:sz="0" w:space="0" w:color="auto"/>
            <w:left w:val="none" w:sz="0" w:space="0" w:color="auto"/>
            <w:bottom w:val="none" w:sz="0" w:space="0" w:color="auto"/>
            <w:right w:val="none" w:sz="0" w:space="0" w:color="auto"/>
          </w:divBdr>
          <w:divsChild>
            <w:div w:id="834567372">
              <w:marLeft w:val="0"/>
              <w:marRight w:val="0"/>
              <w:marTop w:val="150"/>
              <w:marBottom w:val="0"/>
              <w:divBdr>
                <w:top w:val="none" w:sz="0" w:space="0" w:color="auto"/>
                <w:left w:val="none" w:sz="0" w:space="0" w:color="auto"/>
                <w:bottom w:val="none" w:sz="0" w:space="0" w:color="auto"/>
                <w:right w:val="none" w:sz="0" w:space="0" w:color="auto"/>
              </w:divBdr>
              <w:divsChild>
                <w:div w:id="831723116">
                  <w:marLeft w:val="0"/>
                  <w:marRight w:val="0"/>
                  <w:marTop w:val="0"/>
                  <w:marBottom w:val="0"/>
                  <w:divBdr>
                    <w:top w:val="none" w:sz="0" w:space="0" w:color="auto"/>
                    <w:left w:val="none" w:sz="0" w:space="0" w:color="auto"/>
                    <w:bottom w:val="none" w:sz="0" w:space="0" w:color="auto"/>
                    <w:right w:val="none" w:sz="0" w:space="0" w:color="auto"/>
                  </w:divBdr>
                  <w:divsChild>
                    <w:div w:id="1703165460">
                      <w:marLeft w:val="0"/>
                      <w:marRight w:val="180"/>
                      <w:marTop w:val="0"/>
                      <w:marBottom w:val="180"/>
                      <w:divBdr>
                        <w:top w:val="none" w:sz="0" w:space="0" w:color="auto"/>
                        <w:left w:val="none" w:sz="0" w:space="0" w:color="auto"/>
                        <w:bottom w:val="none" w:sz="0" w:space="0" w:color="auto"/>
                        <w:right w:val="none" w:sz="0" w:space="0" w:color="auto"/>
                      </w:divBdr>
                      <w:divsChild>
                        <w:div w:id="1548831011">
                          <w:marLeft w:val="0"/>
                          <w:marRight w:val="0"/>
                          <w:marTop w:val="0"/>
                          <w:marBottom w:val="0"/>
                          <w:divBdr>
                            <w:top w:val="single" w:sz="6" w:space="0" w:color="auto"/>
                            <w:left w:val="single" w:sz="6" w:space="0" w:color="auto"/>
                            <w:bottom w:val="single" w:sz="6" w:space="0" w:color="auto"/>
                            <w:right w:val="single" w:sz="6" w:space="0" w:color="auto"/>
                          </w:divBdr>
                          <w:divsChild>
                            <w:div w:id="1945189880">
                              <w:marLeft w:val="0"/>
                              <w:marRight w:val="0"/>
                              <w:marTop w:val="0"/>
                              <w:marBottom w:val="0"/>
                              <w:divBdr>
                                <w:top w:val="none" w:sz="0" w:space="0" w:color="auto"/>
                                <w:left w:val="none" w:sz="0" w:space="0" w:color="auto"/>
                                <w:bottom w:val="none" w:sz="0" w:space="0" w:color="auto"/>
                                <w:right w:val="none" w:sz="0" w:space="0" w:color="auto"/>
                              </w:divBdr>
                              <w:divsChild>
                                <w:div w:id="511653508">
                                  <w:marLeft w:val="0"/>
                                  <w:marRight w:val="0"/>
                                  <w:marTop w:val="0"/>
                                  <w:marBottom w:val="0"/>
                                  <w:divBdr>
                                    <w:top w:val="none" w:sz="0" w:space="0" w:color="auto"/>
                                    <w:left w:val="none" w:sz="0" w:space="0" w:color="auto"/>
                                    <w:bottom w:val="none" w:sz="0" w:space="0" w:color="auto"/>
                                    <w:right w:val="none" w:sz="0" w:space="0" w:color="auto"/>
                                  </w:divBdr>
                                  <w:divsChild>
                                    <w:div w:id="1486972462">
                                      <w:marLeft w:val="0"/>
                                      <w:marRight w:val="-15"/>
                                      <w:marTop w:val="0"/>
                                      <w:marBottom w:val="0"/>
                                      <w:divBdr>
                                        <w:top w:val="none" w:sz="0" w:space="0" w:color="auto"/>
                                        <w:left w:val="none" w:sz="0" w:space="0" w:color="auto"/>
                                        <w:bottom w:val="none" w:sz="0" w:space="0" w:color="auto"/>
                                        <w:right w:val="none" w:sz="0" w:space="0" w:color="auto"/>
                                      </w:divBdr>
                                    </w:div>
                                    <w:div w:id="1722166317">
                                      <w:marLeft w:val="0"/>
                                      <w:marRight w:val="0"/>
                                      <w:marTop w:val="0"/>
                                      <w:marBottom w:val="0"/>
                                      <w:divBdr>
                                        <w:top w:val="none" w:sz="0" w:space="0" w:color="auto"/>
                                        <w:left w:val="none" w:sz="0" w:space="0" w:color="auto"/>
                                        <w:bottom w:val="none" w:sz="0" w:space="0" w:color="auto"/>
                                        <w:right w:val="none" w:sz="0" w:space="0" w:color="auto"/>
                                      </w:divBdr>
                                      <w:divsChild>
                                        <w:div w:id="643387210">
                                          <w:marLeft w:val="0"/>
                                          <w:marRight w:val="0"/>
                                          <w:marTop w:val="0"/>
                                          <w:marBottom w:val="0"/>
                                          <w:divBdr>
                                            <w:top w:val="none" w:sz="0" w:space="0" w:color="auto"/>
                                            <w:left w:val="none" w:sz="0" w:space="0" w:color="auto"/>
                                            <w:bottom w:val="none" w:sz="0" w:space="0" w:color="auto"/>
                                            <w:right w:val="none" w:sz="0" w:space="0" w:color="auto"/>
                                          </w:divBdr>
                                          <w:divsChild>
                                            <w:div w:id="676421495">
                                              <w:marLeft w:val="0"/>
                                              <w:marRight w:val="0"/>
                                              <w:marTop w:val="0"/>
                                              <w:marBottom w:val="0"/>
                                              <w:divBdr>
                                                <w:top w:val="none" w:sz="0" w:space="0" w:color="auto"/>
                                                <w:left w:val="none" w:sz="0" w:space="0" w:color="auto"/>
                                                <w:bottom w:val="none" w:sz="0" w:space="0" w:color="auto"/>
                                                <w:right w:val="none" w:sz="0" w:space="0" w:color="auto"/>
                                              </w:divBdr>
                                            </w:div>
                                            <w:div w:id="18603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0117182">
      <w:bodyDiv w:val="1"/>
      <w:marLeft w:val="0"/>
      <w:marRight w:val="0"/>
      <w:marTop w:val="0"/>
      <w:marBottom w:val="0"/>
      <w:divBdr>
        <w:top w:val="none" w:sz="0" w:space="0" w:color="auto"/>
        <w:left w:val="none" w:sz="0" w:space="0" w:color="auto"/>
        <w:bottom w:val="none" w:sz="0" w:space="0" w:color="auto"/>
        <w:right w:val="none" w:sz="0" w:space="0" w:color="auto"/>
      </w:divBdr>
    </w:div>
    <w:div w:id="1960986530">
      <w:bodyDiv w:val="1"/>
      <w:marLeft w:val="0"/>
      <w:marRight w:val="0"/>
      <w:marTop w:val="0"/>
      <w:marBottom w:val="0"/>
      <w:divBdr>
        <w:top w:val="none" w:sz="0" w:space="0" w:color="auto"/>
        <w:left w:val="none" w:sz="0" w:space="0" w:color="auto"/>
        <w:bottom w:val="none" w:sz="0" w:space="0" w:color="auto"/>
        <w:right w:val="none" w:sz="0" w:space="0" w:color="auto"/>
      </w:divBdr>
      <w:divsChild>
        <w:div w:id="39521981">
          <w:marLeft w:val="0"/>
          <w:marRight w:val="0"/>
          <w:marTop w:val="150"/>
          <w:marBottom w:val="150"/>
          <w:divBdr>
            <w:top w:val="none" w:sz="0" w:space="0" w:color="auto"/>
            <w:left w:val="none" w:sz="0" w:space="0" w:color="auto"/>
            <w:bottom w:val="none" w:sz="0" w:space="0" w:color="auto"/>
            <w:right w:val="none" w:sz="0" w:space="0" w:color="auto"/>
          </w:divBdr>
        </w:div>
        <w:div w:id="263541158">
          <w:marLeft w:val="0"/>
          <w:marRight w:val="0"/>
          <w:marTop w:val="150"/>
          <w:marBottom w:val="150"/>
          <w:divBdr>
            <w:top w:val="none" w:sz="0" w:space="0" w:color="auto"/>
            <w:left w:val="none" w:sz="0" w:space="0" w:color="auto"/>
            <w:bottom w:val="none" w:sz="0" w:space="0" w:color="auto"/>
            <w:right w:val="none" w:sz="0" w:space="0" w:color="auto"/>
          </w:divBdr>
        </w:div>
        <w:div w:id="1867450758">
          <w:marLeft w:val="0"/>
          <w:marRight w:val="0"/>
          <w:marTop w:val="150"/>
          <w:marBottom w:val="150"/>
          <w:divBdr>
            <w:top w:val="none" w:sz="0" w:space="0" w:color="auto"/>
            <w:left w:val="none" w:sz="0" w:space="0" w:color="auto"/>
            <w:bottom w:val="none" w:sz="0" w:space="0" w:color="auto"/>
            <w:right w:val="none" w:sz="0" w:space="0" w:color="auto"/>
          </w:divBdr>
        </w:div>
      </w:divsChild>
    </w:div>
    <w:div w:id="1964723988">
      <w:bodyDiv w:val="1"/>
      <w:marLeft w:val="0"/>
      <w:marRight w:val="0"/>
      <w:marTop w:val="0"/>
      <w:marBottom w:val="0"/>
      <w:divBdr>
        <w:top w:val="none" w:sz="0" w:space="0" w:color="auto"/>
        <w:left w:val="none" w:sz="0" w:space="0" w:color="auto"/>
        <w:bottom w:val="none" w:sz="0" w:space="0" w:color="auto"/>
        <w:right w:val="none" w:sz="0" w:space="0" w:color="auto"/>
      </w:divBdr>
    </w:div>
    <w:div w:id="1970087600">
      <w:bodyDiv w:val="1"/>
      <w:marLeft w:val="0"/>
      <w:marRight w:val="0"/>
      <w:marTop w:val="0"/>
      <w:marBottom w:val="0"/>
      <w:divBdr>
        <w:top w:val="none" w:sz="0" w:space="0" w:color="auto"/>
        <w:left w:val="none" w:sz="0" w:space="0" w:color="auto"/>
        <w:bottom w:val="none" w:sz="0" w:space="0" w:color="auto"/>
        <w:right w:val="none" w:sz="0" w:space="0" w:color="auto"/>
      </w:divBdr>
    </w:div>
    <w:div w:id="1978031093">
      <w:bodyDiv w:val="1"/>
      <w:marLeft w:val="0"/>
      <w:marRight w:val="0"/>
      <w:marTop w:val="0"/>
      <w:marBottom w:val="0"/>
      <w:divBdr>
        <w:top w:val="none" w:sz="0" w:space="0" w:color="auto"/>
        <w:left w:val="none" w:sz="0" w:space="0" w:color="auto"/>
        <w:bottom w:val="none" w:sz="0" w:space="0" w:color="auto"/>
        <w:right w:val="none" w:sz="0" w:space="0" w:color="auto"/>
      </w:divBdr>
    </w:div>
    <w:div w:id="1999384814">
      <w:bodyDiv w:val="1"/>
      <w:marLeft w:val="0"/>
      <w:marRight w:val="0"/>
      <w:marTop w:val="0"/>
      <w:marBottom w:val="0"/>
      <w:divBdr>
        <w:top w:val="none" w:sz="0" w:space="0" w:color="auto"/>
        <w:left w:val="none" w:sz="0" w:space="0" w:color="auto"/>
        <w:bottom w:val="none" w:sz="0" w:space="0" w:color="auto"/>
        <w:right w:val="none" w:sz="0" w:space="0" w:color="auto"/>
      </w:divBdr>
    </w:div>
    <w:div w:id="2009399502">
      <w:bodyDiv w:val="1"/>
      <w:marLeft w:val="0"/>
      <w:marRight w:val="0"/>
      <w:marTop w:val="0"/>
      <w:marBottom w:val="0"/>
      <w:divBdr>
        <w:top w:val="none" w:sz="0" w:space="0" w:color="auto"/>
        <w:left w:val="none" w:sz="0" w:space="0" w:color="auto"/>
        <w:bottom w:val="none" w:sz="0" w:space="0" w:color="auto"/>
        <w:right w:val="none" w:sz="0" w:space="0" w:color="auto"/>
      </w:divBdr>
    </w:div>
    <w:div w:id="2018773276">
      <w:bodyDiv w:val="1"/>
      <w:marLeft w:val="0"/>
      <w:marRight w:val="0"/>
      <w:marTop w:val="0"/>
      <w:marBottom w:val="0"/>
      <w:divBdr>
        <w:top w:val="none" w:sz="0" w:space="0" w:color="auto"/>
        <w:left w:val="none" w:sz="0" w:space="0" w:color="auto"/>
        <w:bottom w:val="none" w:sz="0" w:space="0" w:color="auto"/>
        <w:right w:val="none" w:sz="0" w:space="0" w:color="auto"/>
      </w:divBdr>
    </w:div>
    <w:div w:id="2021002195">
      <w:bodyDiv w:val="1"/>
      <w:marLeft w:val="0"/>
      <w:marRight w:val="0"/>
      <w:marTop w:val="0"/>
      <w:marBottom w:val="0"/>
      <w:divBdr>
        <w:top w:val="none" w:sz="0" w:space="0" w:color="auto"/>
        <w:left w:val="none" w:sz="0" w:space="0" w:color="auto"/>
        <w:bottom w:val="none" w:sz="0" w:space="0" w:color="auto"/>
        <w:right w:val="none" w:sz="0" w:space="0" w:color="auto"/>
      </w:divBdr>
      <w:divsChild>
        <w:div w:id="655886616">
          <w:marLeft w:val="0"/>
          <w:marRight w:val="0"/>
          <w:marTop w:val="0"/>
          <w:marBottom w:val="0"/>
          <w:divBdr>
            <w:top w:val="none" w:sz="0" w:space="0" w:color="auto"/>
            <w:left w:val="none" w:sz="0" w:space="0" w:color="auto"/>
            <w:bottom w:val="none" w:sz="0" w:space="0" w:color="auto"/>
            <w:right w:val="none" w:sz="0" w:space="0" w:color="auto"/>
          </w:divBdr>
        </w:div>
      </w:divsChild>
    </w:div>
    <w:div w:id="2022704723">
      <w:bodyDiv w:val="1"/>
      <w:marLeft w:val="0"/>
      <w:marRight w:val="0"/>
      <w:marTop w:val="0"/>
      <w:marBottom w:val="0"/>
      <w:divBdr>
        <w:top w:val="none" w:sz="0" w:space="0" w:color="auto"/>
        <w:left w:val="none" w:sz="0" w:space="0" w:color="auto"/>
        <w:bottom w:val="none" w:sz="0" w:space="0" w:color="auto"/>
        <w:right w:val="none" w:sz="0" w:space="0" w:color="auto"/>
      </w:divBdr>
    </w:div>
    <w:div w:id="2035810692">
      <w:bodyDiv w:val="1"/>
      <w:marLeft w:val="0"/>
      <w:marRight w:val="0"/>
      <w:marTop w:val="0"/>
      <w:marBottom w:val="0"/>
      <w:divBdr>
        <w:top w:val="none" w:sz="0" w:space="0" w:color="auto"/>
        <w:left w:val="none" w:sz="0" w:space="0" w:color="auto"/>
        <w:bottom w:val="none" w:sz="0" w:space="0" w:color="auto"/>
        <w:right w:val="none" w:sz="0" w:space="0" w:color="auto"/>
      </w:divBdr>
    </w:div>
    <w:div w:id="2052874057">
      <w:bodyDiv w:val="1"/>
      <w:marLeft w:val="0"/>
      <w:marRight w:val="0"/>
      <w:marTop w:val="0"/>
      <w:marBottom w:val="0"/>
      <w:divBdr>
        <w:top w:val="none" w:sz="0" w:space="0" w:color="auto"/>
        <w:left w:val="none" w:sz="0" w:space="0" w:color="auto"/>
        <w:bottom w:val="none" w:sz="0" w:space="0" w:color="auto"/>
        <w:right w:val="none" w:sz="0" w:space="0" w:color="auto"/>
      </w:divBdr>
    </w:div>
    <w:div w:id="2053918762">
      <w:bodyDiv w:val="1"/>
      <w:marLeft w:val="0"/>
      <w:marRight w:val="0"/>
      <w:marTop w:val="0"/>
      <w:marBottom w:val="0"/>
      <w:divBdr>
        <w:top w:val="none" w:sz="0" w:space="0" w:color="auto"/>
        <w:left w:val="none" w:sz="0" w:space="0" w:color="auto"/>
        <w:bottom w:val="none" w:sz="0" w:space="0" w:color="auto"/>
        <w:right w:val="none" w:sz="0" w:space="0" w:color="auto"/>
      </w:divBdr>
    </w:div>
    <w:div w:id="2056812746">
      <w:bodyDiv w:val="1"/>
      <w:marLeft w:val="0"/>
      <w:marRight w:val="0"/>
      <w:marTop w:val="0"/>
      <w:marBottom w:val="0"/>
      <w:divBdr>
        <w:top w:val="none" w:sz="0" w:space="0" w:color="auto"/>
        <w:left w:val="none" w:sz="0" w:space="0" w:color="auto"/>
        <w:bottom w:val="none" w:sz="0" w:space="0" w:color="auto"/>
        <w:right w:val="none" w:sz="0" w:space="0" w:color="auto"/>
      </w:divBdr>
    </w:div>
    <w:div w:id="2067491077">
      <w:bodyDiv w:val="1"/>
      <w:marLeft w:val="0"/>
      <w:marRight w:val="0"/>
      <w:marTop w:val="0"/>
      <w:marBottom w:val="0"/>
      <w:divBdr>
        <w:top w:val="none" w:sz="0" w:space="0" w:color="auto"/>
        <w:left w:val="none" w:sz="0" w:space="0" w:color="auto"/>
        <w:bottom w:val="none" w:sz="0" w:space="0" w:color="auto"/>
        <w:right w:val="none" w:sz="0" w:space="0" w:color="auto"/>
      </w:divBdr>
    </w:div>
    <w:div w:id="2070377085">
      <w:bodyDiv w:val="1"/>
      <w:marLeft w:val="0"/>
      <w:marRight w:val="0"/>
      <w:marTop w:val="0"/>
      <w:marBottom w:val="0"/>
      <w:divBdr>
        <w:top w:val="none" w:sz="0" w:space="0" w:color="auto"/>
        <w:left w:val="none" w:sz="0" w:space="0" w:color="auto"/>
        <w:bottom w:val="none" w:sz="0" w:space="0" w:color="auto"/>
        <w:right w:val="none" w:sz="0" w:space="0" w:color="auto"/>
      </w:divBdr>
    </w:div>
    <w:div w:id="2091728254">
      <w:bodyDiv w:val="1"/>
      <w:marLeft w:val="0"/>
      <w:marRight w:val="0"/>
      <w:marTop w:val="0"/>
      <w:marBottom w:val="0"/>
      <w:divBdr>
        <w:top w:val="none" w:sz="0" w:space="0" w:color="auto"/>
        <w:left w:val="none" w:sz="0" w:space="0" w:color="auto"/>
        <w:bottom w:val="none" w:sz="0" w:space="0" w:color="auto"/>
        <w:right w:val="none" w:sz="0" w:space="0" w:color="auto"/>
      </w:divBdr>
    </w:div>
    <w:div w:id="2092266206">
      <w:bodyDiv w:val="1"/>
      <w:marLeft w:val="0"/>
      <w:marRight w:val="0"/>
      <w:marTop w:val="0"/>
      <w:marBottom w:val="0"/>
      <w:divBdr>
        <w:top w:val="none" w:sz="0" w:space="0" w:color="auto"/>
        <w:left w:val="none" w:sz="0" w:space="0" w:color="auto"/>
        <w:bottom w:val="none" w:sz="0" w:space="0" w:color="auto"/>
        <w:right w:val="none" w:sz="0" w:space="0" w:color="auto"/>
      </w:divBdr>
    </w:div>
    <w:div w:id="2109809544">
      <w:bodyDiv w:val="1"/>
      <w:marLeft w:val="0"/>
      <w:marRight w:val="0"/>
      <w:marTop w:val="0"/>
      <w:marBottom w:val="0"/>
      <w:divBdr>
        <w:top w:val="none" w:sz="0" w:space="0" w:color="auto"/>
        <w:left w:val="none" w:sz="0" w:space="0" w:color="auto"/>
        <w:bottom w:val="none" w:sz="0" w:space="0" w:color="auto"/>
        <w:right w:val="none" w:sz="0" w:space="0" w:color="auto"/>
      </w:divBdr>
    </w:div>
    <w:div w:id="2117213514">
      <w:bodyDiv w:val="1"/>
      <w:marLeft w:val="0"/>
      <w:marRight w:val="0"/>
      <w:marTop w:val="0"/>
      <w:marBottom w:val="0"/>
      <w:divBdr>
        <w:top w:val="none" w:sz="0" w:space="0" w:color="auto"/>
        <w:left w:val="none" w:sz="0" w:space="0" w:color="auto"/>
        <w:bottom w:val="none" w:sz="0" w:space="0" w:color="auto"/>
        <w:right w:val="none" w:sz="0" w:space="0" w:color="auto"/>
      </w:divBdr>
    </w:div>
    <w:div w:id="2118404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79C77-BFE4-4F70-9DD7-6804B7F0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Pages>
  <Words>4390</Words>
  <Characters>27793</Characters>
  <Application>Microsoft Office Word</Application>
  <DocSecurity>4</DocSecurity>
  <Lines>484</Lines>
  <Paragraphs>120</Paragraphs>
  <ScaleCrop>false</ScaleCrop>
  <Company>Springer Nature IT</Company>
  <LinksUpToDate>false</LinksUpToDate>
  <CharactersWithSpaces>32318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 Lieben</dc:creator>
  <cp:keywords/>
  <cp:lastModifiedBy>Garofolo, James</cp:lastModifiedBy>
  <cp:revision>2959</cp:revision>
  <dcterms:created xsi:type="dcterms:W3CDTF">2024-01-17T18:54:00Z</dcterms:created>
  <dcterms:modified xsi:type="dcterms:W3CDTF">2026-05-11T14:09:00Z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7fa835ee-fdb2-3e7d-9fef-f72053f3e706</vt:lpwstr>
  </property>
  <property fmtid="{D5CDD505-2E9C-101B-9397-08002B2CF9AE}" pid="25" name="MSIP_Label_f5984ed5-5442-40fe-a2ae-5345efefa7a2_Enabled">
    <vt:lpwstr>true</vt:lpwstr>
  </property>
  <property fmtid="{D5CDD505-2E9C-101B-9397-08002B2CF9AE}" pid="26" name="MSIP_Label_f5984ed5-5442-40fe-a2ae-5345efefa7a2_SetDate">
    <vt:lpwstr>2026-03-28T22:37:48Z</vt:lpwstr>
  </property>
  <property fmtid="{D5CDD505-2E9C-101B-9397-08002B2CF9AE}" pid="27" name="MSIP_Label_f5984ed5-5442-40fe-a2ae-5345efefa7a2_Method">
    <vt:lpwstr>Privileged</vt:lpwstr>
  </property>
  <property fmtid="{D5CDD505-2E9C-101B-9397-08002B2CF9AE}" pid="28" name="MSIP_Label_f5984ed5-5442-40fe-a2ae-5345efefa7a2_Name">
    <vt:lpwstr>Public</vt:lpwstr>
  </property>
  <property fmtid="{D5CDD505-2E9C-101B-9397-08002B2CF9AE}" pid="29" name="MSIP_Label_f5984ed5-5442-40fe-a2ae-5345efefa7a2_SiteId">
    <vt:lpwstr>039f6d49-43bb-4a53-b299-4fa0c7fc2276</vt:lpwstr>
  </property>
  <property fmtid="{D5CDD505-2E9C-101B-9397-08002B2CF9AE}" pid="30" name="MSIP_Label_f5984ed5-5442-40fe-a2ae-5345efefa7a2_ActionId">
    <vt:lpwstr>cd7cc23b-c766-4507-b15e-2757be85f4af</vt:lpwstr>
  </property>
  <property fmtid="{D5CDD505-2E9C-101B-9397-08002B2CF9AE}" pid="31" name="MSIP_Label_f5984ed5-5442-40fe-a2ae-5345efefa7a2_ContentBits">
    <vt:lpwstr>0</vt:lpwstr>
  </property>
  <property fmtid="{D5CDD505-2E9C-101B-9397-08002B2CF9AE}" pid="32" name="MSIP_Label_f5984ed5-5442-40fe-a2ae-5345efefa7a2_Tag">
    <vt:lpwstr>10, 0, 1, 1</vt:lpwstr>
  </property>
</Properties>
</file>