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4280E" w14:textId="77777777" w:rsidR="000D4D11" w:rsidRPr="000B6FA7" w:rsidRDefault="000D4D11" w:rsidP="000D4D11">
      <w:pPr>
        <w:keepNext/>
        <w:spacing w:line="480" w:lineRule="auto"/>
        <w:jc w:val="center"/>
        <w:rPr>
          <w:rFonts w:ascii="Arial" w:hAnsi="Arial" w:cs="Arial"/>
          <w:b/>
          <w:bCs/>
          <w:sz w:val="22"/>
          <w:szCs w:val="22"/>
        </w:rPr>
      </w:pPr>
      <w:r w:rsidRPr="000B6FA7">
        <w:rPr>
          <w:rFonts w:ascii="Arial" w:hAnsi="Arial" w:cs="Arial"/>
          <w:b/>
          <w:bCs/>
          <w:sz w:val="22"/>
          <w:szCs w:val="22"/>
        </w:rPr>
        <w:t>SUPPLEMENTARY MATERIALS</w:t>
      </w:r>
    </w:p>
    <w:p w14:paraId="3DF4A938" w14:textId="77777777" w:rsidR="00BF769E" w:rsidRDefault="00BF769E" w:rsidP="000D4D11">
      <w:pPr>
        <w:rPr>
          <w:rFonts w:ascii="Arial" w:hAnsi="Arial" w:cs="Arial"/>
          <w:b/>
          <w:bCs/>
          <w:sz w:val="22"/>
          <w:szCs w:val="22"/>
        </w:rPr>
      </w:pPr>
    </w:p>
    <w:p w14:paraId="1F618678" w14:textId="61D4DB79" w:rsidR="000D4D11" w:rsidRDefault="000D4D11" w:rsidP="000D4D11">
      <w:pPr>
        <w:rPr>
          <w:rFonts w:ascii="Arial" w:hAnsi="Arial" w:cs="Arial"/>
          <w:sz w:val="22"/>
          <w:szCs w:val="22"/>
        </w:rPr>
      </w:pPr>
      <w:r w:rsidRPr="00310EC0">
        <w:rPr>
          <w:rFonts w:ascii="Arial" w:hAnsi="Arial" w:cs="Arial"/>
          <w:b/>
          <w:bCs/>
          <w:sz w:val="22"/>
          <w:szCs w:val="22"/>
        </w:rPr>
        <w:t xml:space="preserve">Table S1. </w:t>
      </w:r>
      <w:r w:rsidRPr="00F214A9">
        <w:rPr>
          <w:rFonts w:ascii="Arial" w:hAnsi="Arial" w:cs="Arial"/>
          <w:sz w:val="22"/>
          <w:szCs w:val="22"/>
        </w:rPr>
        <w:t>Theory-Informed Acoustic and Linguistic Features (</w:t>
      </w:r>
      <w:r w:rsidRPr="000E21BD">
        <w:rPr>
          <w:rFonts w:ascii="Arial" w:hAnsi="Arial"/>
          <w:i/>
          <w:sz w:val="22"/>
        </w:rPr>
        <w:t>n</w:t>
      </w:r>
      <w:r w:rsidRPr="00F214A9">
        <w:rPr>
          <w:rFonts w:ascii="Arial" w:hAnsi="Arial" w:cs="Arial"/>
          <w:sz w:val="22"/>
          <w:szCs w:val="22"/>
        </w:rPr>
        <w:t xml:space="preserve"> = 48)</w:t>
      </w:r>
    </w:p>
    <w:p w14:paraId="21058955" w14:textId="77777777" w:rsidR="000D4D11" w:rsidRPr="00310EC0" w:rsidRDefault="000D4D11" w:rsidP="000D4D11">
      <w:pPr>
        <w:keepNext/>
        <w:rPr>
          <w:rFonts w:ascii="Arial" w:hAnsi="Arial" w:cs="Arial"/>
          <w:b/>
          <w:bCs/>
          <w:sz w:val="22"/>
          <w:szCs w:val="22"/>
        </w:rPr>
      </w:pPr>
      <w:r w:rsidRPr="00F214A9">
        <w:rPr>
          <w:rFonts w:ascii="Arial" w:hAnsi="Arial" w:cs="Arial"/>
          <w:b/>
          <w:bCs/>
          <w:sz w:val="22"/>
          <w:szCs w:val="22"/>
        </w:rPr>
        <w:t>A. Acoustic Features</w:t>
      </w:r>
      <w:r w:rsidRPr="00F214A9">
        <w:rPr>
          <w:rFonts w:ascii="Arial" w:hAnsi="Arial" w:cs="Arial"/>
          <w:sz w:val="22"/>
          <w:szCs w:val="22"/>
        </w:rPr>
        <w:t xml:space="preserve"> (</w:t>
      </w:r>
      <w:r w:rsidRPr="000E21BD">
        <w:rPr>
          <w:rFonts w:ascii="Arial" w:hAnsi="Arial"/>
          <w:i/>
          <w:sz w:val="22"/>
        </w:rPr>
        <w:t>n</w:t>
      </w:r>
      <w:r w:rsidRPr="00F214A9">
        <w:rPr>
          <w:rFonts w:ascii="Arial" w:hAnsi="Arial" w:cs="Arial"/>
          <w:sz w:val="22"/>
          <w:szCs w:val="22"/>
        </w:rPr>
        <w:t xml:space="preserve"> = 25)</w:t>
      </w:r>
    </w:p>
    <w:tbl>
      <w:tblPr>
        <w:tblStyle w:val="TableGrid"/>
        <w:tblW w:w="0" w:type="auto"/>
        <w:tblLook w:val="04A0" w:firstRow="1" w:lastRow="0" w:firstColumn="1" w:lastColumn="0" w:noHBand="0" w:noVBand="1"/>
      </w:tblPr>
      <w:tblGrid>
        <w:gridCol w:w="2618"/>
        <w:gridCol w:w="4529"/>
      </w:tblGrid>
      <w:tr w:rsidR="000D4D11" w:rsidRPr="00F214A9" w14:paraId="3E9BC59D" w14:textId="77777777" w:rsidTr="002E4A79">
        <w:trPr>
          <w:trHeight w:val="134"/>
        </w:trPr>
        <w:tc>
          <w:tcPr>
            <w:tcW w:w="0" w:type="auto"/>
            <w:hideMark/>
          </w:tcPr>
          <w:p w14:paraId="6C7252B9" w14:textId="77777777" w:rsidR="000D4D11" w:rsidRPr="00F214A9" w:rsidRDefault="000D4D11" w:rsidP="002E4A79">
            <w:pPr>
              <w:spacing w:after="160" w:line="278" w:lineRule="auto"/>
              <w:rPr>
                <w:rFonts w:ascii="Arial" w:hAnsi="Arial" w:cs="Arial"/>
                <w:b/>
                <w:bCs/>
                <w:sz w:val="18"/>
                <w:szCs w:val="18"/>
              </w:rPr>
            </w:pPr>
            <w:r w:rsidRPr="00F214A9">
              <w:rPr>
                <w:rFonts w:ascii="Arial" w:hAnsi="Arial" w:cs="Arial"/>
                <w:b/>
                <w:bCs/>
                <w:sz w:val="18"/>
                <w:szCs w:val="18"/>
              </w:rPr>
              <w:t>Feature</w:t>
            </w:r>
          </w:p>
        </w:tc>
        <w:tc>
          <w:tcPr>
            <w:tcW w:w="0" w:type="auto"/>
            <w:hideMark/>
          </w:tcPr>
          <w:p w14:paraId="78DC8308" w14:textId="77777777" w:rsidR="000D4D11" w:rsidRPr="00F214A9" w:rsidRDefault="000D4D11" w:rsidP="002E4A79">
            <w:pPr>
              <w:spacing w:after="160" w:line="278" w:lineRule="auto"/>
              <w:rPr>
                <w:rFonts w:ascii="Arial" w:hAnsi="Arial" w:cs="Arial"/>
                <w:b/>
                <w:bCs/>
                <w:sz w:val="18"/>
                <w:szCs w:val="18"/>
              </w:rPr>
            </w:pPr>
            <w:r w:rsidRPr="00F214A9">
              <w:rPr>
                <w:rFonts w:ascii="Arial" w:hAnsi="Arial" w:cs="Arial"/>
                <w:b/>
                <w:bCs/>
                <w:sz w:val="18"/>
                <w:szCs w:val="18"/>
              </w:rPr>
              <w:t>Description</w:t>
            </w:r>
          </w:p>
        </w:tc>
      </w:tr>
      <w:tr w:rsidR="000D4D11" w:rsidRPr="00F214A9" w14:paraId="5295AC05" w14:textId="77777777" w:rsidTr="002E4A79">
        <w:trPr>
          <w:trHeight w:val="206"/>
        </w:trPr>
        <w:tc>
          <w:tcPr>
            <w:tcW w:w="0" w:type="auto"/>
            <w:hideMark/>
          </w:tcPr>
          <w:p w14:paraId="78F8EDAD"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ac_theory_f0env_mean</w:t>
            </w:r>
          </w:p>
        </w:tc>
        <w:tc>
          <w:tcPr>
            <w:tcW w:w="0" w:type="auto"/>
            <w:hideMark/>
          </w:tcPr>
          <w:p w14:paraId="00C2F74B"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Mean fundamental frequency envelope (pitch contour)</w:t>
            </w:r>
          </w:p>
        </w:tc>
      </w:tr>
      <w:tr w:rsidR="000D4D11" w:rsidRPr="00F214A9" w14:paraId="25A62B3D" w14:textId="77777777" w:rsidTr="002E4A79">
        <w:trPr>
          <w:trHeight w:val="161"/>
        </w:trPr>
        <w:tc>
          <w:tcPr>
            <w:tcW w:w="0" w:type="auto"/>
            <w:hideMark/>
          </w:tcPr>
          <w:p w14:paraId="52F5295D"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ac_theory_f0env_std</w:t>
            </w:r>
          </w:p>
        </w:tc>
        <w:tc>
          <w:tcPr>
            <w:tcW w:w="0" w:type="auto"/>
            <w:hideMark/>
          </w:tcPr>
          <w:p w14:paraId="2240A928"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Variability of pitch contour</w:t>
            </w:r>
          </w:p>
        </w:tc>
      </w:tr>
      <w:tr w:rsidR="000D4D11" w:rsidRPr="00F214A9" w14:paraId="5D87D576" w14:textId="77777777" w:rsidTr="002E4A79">
        <w:trPr>
          <w:trHeight w:val="107"/>
        </w:trPr>
        <w:tc>
          <w:tcPr>
            <w:tcW w:w="0" w:type="auto"/>
            <w:hideMark/>
          </w:tcPr>
          <w:p w14:paraId="72D5967A"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ac_theory_intensity_de_mean</w:t>
            </w:r>
            <w:proofErr w:type="spellEnd"/>
          </w:p>
        </w:tc>
        <w:tc>
          <w:tcPr>
            <w:tcW w:w="0" w:type="auto"/>
            <w:hideMark/>
          </w:tcPr>
          <w:p w14:paraId="06FAC5ED"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Mean change in intensity (energy dynamics)</w:t>
            </w:r>
          </w:p>
        </w:tc>
      </w:tr>
      <w:tr w:rsidR="000D4D11" w:rsidRPr="00F214A9" w14:paraId="2AF5E159" w14:textId="77777777" w:rsidTr="002E4A79">
        <w:tc>
          <w:tcPr>
            <w:tcW w:w="0" w:type="auto"/>
            <w:hideMark/>
          </w:tcPr>
          <w:p w14:paraId="3F14EAD5"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ac_theory_intensity_de_std</w:t>
            </w:r>
            <w:proofErr w:type="spellEnd"/>
          </w:p>
        </w:tc>
        <w:tc>
          <w:tcPr>
            <w:tcW w:w="0" w:type="auto"/>
            <w:hideMark/>
          </w:tcPr>
          <w:p w14:paraId="2081B47D"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Variability of intensity change</w:t>
            </w:r>
          </w:p>
        </w:tc>
      </w:tr>
      <w:tr w:rsidR="000D4D11" w:rsidRPr="00F214A9" w14:paraId="2B5D292B" w14:textId="77777777" w:rsidTr="002E4A79">
        <w:tc>
          <w:tcPr>
            <w:tcW w:w="0" w:type="auto"/>
            <w:hideMark/>
          </w:tcPr>
          <w:p w14:paraId="35D2E72E"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ac_theory_loudness_mean</w:t>
            </w:r>
            <w:proofErr w:type="spellEnd"/>
          </w:p>
        </w:tc>
        <w:tc>
          <w:tcPr>
            <w:tcW w:w="0" w:type="auto"/>
            <w:hideMark/>
          </w:tcPr>
          <w:p w14:paraId="76FB8D00"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Average perceived loudness</w:t>
            </w:r>
          </w:p>
        </w:tc>
      </w:tr>
      <w:tr w:rsidR="000D4D11" w:rsidRPr="00F214A9" w14:paraId="4607581D" w14:textId="77777777" w:rsidTr="002E4A79">
        <w:tc>
          <w:tcPr>
            <w:tcW w:w="0" w:type="auto"/>
            <w:hideMark/>
          </w:tcPr>
          <w:p w14:paraId="30012D50"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ac_theory_loudness_range</w:t>
            </w:r>
            <w:proofErr w:type="spellEnd"/>
          </w:p>
        </w:tc>
        <w:tc>
          <w:tcPr>
            <w:tcW w:w="0" w:type="auto"/>
            <w:hideMark/>
          </w:tcPr>
          <w:p w14:paraId="383435F9"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Range of loudness</w:t>
            </w:r>
          </w:p>
        </w:tc>
      </w:tr>
      <w:tr w:rsidR="000D4D11" w:rsidRPr="00F214A9" w14:paraId="3379802D" w14:textId="77777777" w:rsidTr="002E4A79">
        <w:tc>
          <w:tcPr>
            <w:tcW w:w="0" w:type="auto"/>
            <w:hideMark/>
          </w:tcPr>
          <w:p w14:paraId="22CC3564"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ac_theory_loudness_slope</w:t>
            </w:r>
            <w:proofErr w:type="spellEnd"/>
          </w:p>
        </w:tc>
        <w:tc>
          <w:tcPr>
            <w:tcW w:w="0" w:type="auto"/>
            <w:hideMark/>
          </w:tcPr>
          <w:p w14:paraId="0F29038A"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Temporal change in loudness</w:t>
            </w:r>
          </w:p>
        </w:tc>
      </w:tr>
      <w:tr w:rsidR="000D4D11" w:rsidRPr="00F214A9" w14:paraId="43761B20" w14:textId="77777777" w:rsidTr="002E4A79">
        <w:tc>
          <w:tcPr>
            <w:tcW w:w="0" w:type="auto"/>
            <w:hideMark/>
          </w:tcPr>
          <w:p w14:paraId="57371D48"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ac_theory_loudness_std</w:t>
            </w:r>
            <w:proofErr w:type="spellEnd"/>
          </w:p>
        </w:tc>
        <w:tc>
          <w:tcPr>
            <w:tcW w:w="0" w:type="auto"/>
            <w:hideMark/>
          </w:tcPr>
          <w:p w14:paraId="786B3250"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Variability in loudness</w:t>
            </w:r>
          </w:p>
        </w:tc>
      </w:tr>
      <w:tr w:rsidR="000D4D11" w:rsidRPr="00F214A9" w14:paraId="5B30C8F8" w14:textId="77777777" w:rsidTr="002E4A79">
        <w:tc>
          <w:tcPr>
            <w:tcW w:w="0" w:type="auto"/>
            <w:hideMark/>
          </w:tcPr>
          <w:p w14:paraId="24FB8267"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ac_theory_mfcc1_de_mean</w:t>
            </w:r>
          </w:p>
        </w:tc>
        <w:tc>
          <w:tcPr>
            <w:tcW w:w="0" w:type="auto"/>
            <w:hideMark/>
          </w:tcPr>
          <w:p w14:paraId="5FC672D9"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Mean change in MFCC1 (spectral dynamics)</w:t>
            </w:r>
          </w:p>
        </w:tc>
      </w:tr>
      <w:tr w:rsidR="000D4D11" w:rsidRPr="00F214A9" w14:paraId="3DDCC7D9" w14:textId="77777777" w:rsidTr="002E4A79">
        <w:tc>
          <w:tcPr>
            <w:tcW w:w="0" w:type="auto"/>
            <w:hideMark/>
          </w:tcPr>
          <w:p w14:paraId="799ABFA3"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ac_theory_mfcc1_de_std</w:t>
            </w:r>
          </w:p>
        </w:tc>
        <w:tc>
          <w:tcPr>
            <w:tcW w:w="0" w:type="auto"/>
            <w:hideMark/>
          </w:tcPr>
          <w:p w14:paraId="40B6BF7C"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Variability of MFCC1 changes</w:t>
            </w:r>
          </w:p>
        </w:tc>
      </w:tr>
      <w:tr w:rsidR="000D4D11" w:rsidRPr="00F214A9" w14:paraId="779DB1DC" w14:textId="77777777" w:rsidTr="002E4A79">
        <w:tc>
          <w:tcPr>
            <w:tcW w:w="0" w:type="auto"/>
            <w:hideMark/>
          </w:tcPr>
          <w:p w14:paraId="59EB9477"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ac_theory_mfcc1_mean</w:t>
            </w:r>
          </w:p>
        </w:tc>
        <w:tc>
          <w:tcPr>
            <w:tcW w:w="0" w:type="auto"/>
            <w:hideMark/>
          </w:tcPr>
          <w:p w14:paraId="3DAB81C2"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Mean MFCC1 (spectral shape)</w:t>
            </w:r>
          </w:p>
        </w:tc>
      </w:tr>
      <w:tr w:rsidR="000D4D11" w:rsidRPr="00F214A9" w14:paraId="230142AA" w14:textId="77777777" w:rsidTr="002E4A79">
        <w:tc>
          <w:tcPr>
            <w:tcW w:w="0" w:type="auto"/>
            <w:hideMark/>
          </w:tcPr>
          <w:p w14:paraId="77BD4293"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ac_theory_mfcc1_std</w:t>
            </w:r>
          </w:p>
        </w:tc>
        <w:tc>
          <w:tcPr>
            <w:tcW w:w="0" w:type="auto"/>
            <w:hideMark/>
          </w:tcPr>
          <w:p w14:paraId="32AFF2C5"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Variability of MFCC1</w:t>
            </w:r>
          </w:p>
        </w:tc>
      </w:tr>
      <w:tr w:rsidR="000D4D11" w:rsidRPr="00F214A9" w14:paraId="3E70B863" w14:textId="77777777" w:rsidTr="002E4A79">
        <w:tc>
          <w:tcPr>
            <w:tcW w:w="0" w:type="auto"/>
            <w:hideMark/>
          </w:tcPr>
          <w:p w14:paraId="02673819"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ac_theory_mfcc2_mean</w:t>
            </w:r>
          </w:p>
        </w:tc>
        <w:tc>
          <w:tcPr>
            <w:tcW w:w="0" w:type="auto"/>
            <w:hideMark/>
          </w:tcPr>
          <w:p w14:paraId="4CDFBD5F"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Mean MFCC2</w:t>
            </w:r>
          </w:p>
        </w:tc>
      </w:tr>
      <w:tr w:rsidR="000D4D11" w:rsidRPr="00F214A9" w14:paraId="1EC521F0" w14:textId="77777777" w:rsidTr="002E4A79">
        <w:tc>
          <w:tcPr>
            <w:tcW w:w="0" w:type="auto"/>
            <w:hideMark/>
          </w:tcPr>
          <w:p w14:paraId="055E7467"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ac_theory_mfcc3_mean</w:t>
            </w:r>
          </w:p>
        </w:tc>
        <w:tc>
          <w:tcPr>
            <w:tcW w:w="0" w:type="auto"/>
            <w:hideMark/>
          </w:tcPr>
          <w:p w14:paraId="13A43D02"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Mean MFCC3</w:t>
            </w:r>
          </w:p>
        </w:tc>
      </w:tr>
      <w:tr w:rsidR="000D4D11" w:rsidRPr="00F214A9" w14:paraId="1E2945F3" w14:textId="77777777" w:rsidTr="002E4A79">
        <w:tc>
          <w:tcPr>
            <w:tcW w:w="0" w:type="auto"/>
            <w:hideMark/>
          </w:tcPr>
          <w:p w14:paraId="0BB3AE1C"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ac_theory_mfcc4_mean</w:t>
            </w:r>
          </w:p>
        </w:tc>
        <w:tc>
          <w:tcPr>
            <w:tcW w:w="0" w:type="auto"/>
            <w:hideMark/>
          </w:tcPr>
          <w:p w14:paraId="072B2B50"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Mean MFCC4</w:t>
            </w:r>
          </w:p>
        </w:tc>
      </w:tr>
      <w:tr w:rsidR="000D4D11" w:rsidRPr="00F214A9" w14:paraId="13B57F58" w14:textId="77777777" w:rsidTr="002E4A79">
        <w:tc>
          <w:tcPr>
            <w:tcW w:w="0" w:type="auto"/>
            <w:hideMark/>
          </w:tcPr>
          <w:p w14:paraId="306D435C"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ac_theory_pitch_mean</w:t>
            </w:r>
            <w:proofErr w:type="spellEnd"/>
          </w:p>
        </w:tc>
        <w:tc>
          <w:tcPr>
            <w:tcW w:w="0" w:type="auto"/>
            <w:hideMark/>
          </w:tcPr>
          <w:p w14:paraId="6ABDF038"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Average pitch</w:t>
            </w:r>
          </w:p>
        </w:tc>
      </w:tr>
      <w:tr w:rsidR="000D4D11" w:rsidRPr="00F214A9" w14:paraId="6ECDD8F3" w14:textId="77777777" w:rsidTr="002E4A79">
        <w:tc>
          <w:tcPr>
            <w:tcW w:w="0" w:type="auto"/>
            <w:hideMark/>
          </w:tcPr>
          <w:p w14:paraId="34E31522"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ac_theory_pitch_range</w:t>
            </w:r>
            <w:proofErr w:type="spellEnd"/>
          </w:p>
        </w:tc>
        <w:tc>
          <w:tcPr>
            <w:tcW w:w="0" w:type="auto"/>
            <w:hideMark/>
          </w:tcPr>
          <w:p w14:paraId="06AE7BBE"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Range of pitch</w:t>
            </w:r>
          </w:p>
        </w:tc>
      </w:tr>
      <w:tr w:rsidR="000D4D11" w:rsidRPr="00F214A9" w14:paraId="4E0BDE35" w14:textId="77777777" w:rsidTr="002E4A79">
        <w:tc>
          <w:tcPr>
            <w:tcW w:w="0" w:type="auto"/>
            <w:hideMark/>
          </w:tcPr>
          <w:p w14:paraId="6A08D391"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ac_theory_pitch_sd_std</w:t>
            </w:r>
            <w:proofErr w:type="spellEnd"/>
          </w:p>
        </w:tc>
        <w:tc>
          <w:tcPr>
            <w:tcW w:w="0" w:type="auto"/>
            <w:hideMark/>
          </w:tcPr>
          <w:p w14:paraId="6FA95417"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Variability of pitch standard deviation</w:t>
            </w:r>
          </w:p>
        </w:tc>
      </w:tr>
      <w:tr w:rsidR="000D4D11" w:rsidRPr="00F214A9" w14:paraId="4D90C646" w14:textId="77777777" w:rsidTr="002E4A79">
        <w:tc>
          <w:tcPr>
            <w:tcW w:w="0" w:type="auto"/>
            <w:hideMark/>
          </w:tcPr>
          <w:p w14:paraId="385867CD"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ac_theory_pitch_slope</w:t>
            </w:r>
            <w:proofErr w:type="spellEnd"/>
          </w:p>
        </w:tc>
        <w:tc>
          <w:tcPr>
            <w:tcW w:w="0" w:type="auto"/>
            <w:hideMark/>
          </w:tcPr>
          <w:p w14:paraId="3293076E"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Temporal change in pitch</w:t>
            </w:r>
          </w:p>
        </w:tc>
      </w:tr>
      <w:tr w:rsidR="000D4D11" w:rsidRPr="00F214A9" w14:paraId="5F11DFD3" w14:textId="77777777" w:rsidTr="002E4A79">
        <w:tc>
          <w:tcPr>
            <w:tcW w:w="0" w:type="auto"/>
            <w:hideMark/>
          </w:tcPr>
          <w:p w14:paraId="461357ED"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ac_theory_pitch_std</w:t>
            </w:r>
            <w:proofErr w:type="spellEnd"/>
          </w:p>
        </w:tc>
        <w:tc>
          <w:tcPr>
            <w:tcW w:w="0" w:type="auto"/>
            <w:hideMark/>
          </w:tcPr>
          <w:p w14:paraId="6F20F989"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Variability of pitch</w:t>
            </w:r>
          </w:p>
        </w:tc>
      </w:tr>
      <w:tr w:rsidR="000D4D11" w:rsidRPr="00F214A9" w14:paraId="45FBA95E" w14:textId="77777777" w:rsidTr="002E4A79">
        <w:tc>
          <w:tcPr>
            <w:tcW w:w="0" w:type="auto"/>
            <w:hideMark/>
          </w:tcPr>
          <w:p w14:paraId="4BC48096"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ac_theory_voice_prob_mean</w:t>
            </w:r>
            <w:proofErr w:type="spellEnd"/>
          </w:p>
        </w:tc>
        <w:tc>
          <w:tcPr>
            <w:tcW w:w="0" w:type="auto"/>
            <w:hideMark/>
          </w:tcPr>
          <w:p w14:paraId="4C85D9A7"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Mean voicing probability</w:t>
            </w:r>
          </w:p>
        </w:tc>
      </w:tr>
      <w:tr w:rsidR="000D4D11" w:rsidRPr="00F214A9" w14:paraId="75C0964A" w14:textId="77777777" w:rsidTr="002E4A79">
        <w:tc>
          <w:tcPr>
            <w:tcW w:w="0" w:type="auto"/>
            <w:hideMark/>
          </w:tcPr>
          <w:p w14:paraId="629D62D9"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ac_theory_voice_prob_slope</w:t>
            </w:r>
            <w:proofErr w:type="spellEnd"/>
          </w:p>
        </w:tc>
        <w:tc>
          <w:tcPr>
            <w:tcW w:w="0" w:type="auto"/>
            <w:hideMark/>
          </w:tcPr>
          <w:p w14:paraId="4AE607A8"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Change in voicing probability</w:t>
            </w:r>
          </w:p>
        </w:tc>
      </w:tr>
      <w:tr w:rsidR="000D4D11" w:rsidRPr="00F214A9" w14:paraId="064CA8DE" w14:textId="77777777" w:rsidTr="002E4A79">
        <w:tc>
          <w:tcPr>
            <w:tcW w:w="0" w:type="auto"/>
            <w:hideMark/>
          </w:tcPr>
          <w:p w14:paraId="7852820D"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ac_theory_voice_prob_std</w:t>
            </w:r>
            <w:proofErr w:type="spellEnd"/>
          </w:p>
        </w:tc>
        <w:tc>
          <w:tcPr>
            <w:tcW w:w="0" w:type="auto"/>
            <w:hideMark/>
          </w:tcPr>
          <w:p w14:paraId="10541F97"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Variability of voicing</w:t>
            </w:r>
          </w:p>
        </w:tc>
      </w:tr>
      <w:tr w:rsidR="000D4D11" w:rsidRPr="00F214A9" w14:paraId="06B6E7B6" w14:textId="77777777" w:rsidTr="002E4A79">
        <w:tc>
          <w:tcPr>
            <w:tcW w:w="0" w:type="auto"/>
            <w:hideMark/>
          </w:tcPr>
          <w:p w14:paraId="45F70B4A"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ac_theory_zcr_mean</w:t>
            </w:r>
            <w:proofErr w:type="spellEnd"/>
          </w:p>
        </w:tc>
        <w:tc>
          <w:tcPr>
            <w:tcW w:w="0" w:type="auto"/>
            <w:hideMark/>
          </w:tcPr>
          <w:p w14:paraId="3178EA07"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Mean zero-crossing rate (signal noisiness)</w:t>
            </w:r>
          </w:p>
        </w:tc>
      </w:tr>
      <w:tr w:rsidR="000D4D11" w:rsidRPr="00F214A9" w14:paraId="606383B0" w14:textId="77777777" w:rsidTr="002E4A79">
        <w:tc>
          <w:tcPr>
            <w:tcW w:w="0" w:type="auto"/>
            <w:hideMark/>
          </w:tcPr>
          <w:p w14:paraId="31E3EA70"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ac_theory_zcr_std</w:t>
            </w:r>
            <w:proofErr w:type="spellEnd"/>
          </w:p>
        </w:tc>
        <w:tc>
          <w:tcPr>
            <w:tcW w:w="0" w:type="auto"/>
            <w:hideMark/>
          </w:tcPr>
          <w:p w14:paraId="0FA5A2CE"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Variability of zero-crossing rate</w:t>
            </w:r>
          </w:p>
        </w:tc>
      </w:tr>
    </w:tbl>
    <w:p w14:paraId="64BFE262" w14:textId="77777777" w:rsidR="000D4D11" w:rsidRPr="00310EC0" w:rsidRDefault="000D4D11" w:rsidP="000D4D11">
      <w:pPr>
        <w:rPr>
          <w:rFonts w:ascii="Arial" w:hAnsi="Arial" w:cs="Arial"/>
          <w:i/>
          <w:iCs/>
          <w:sz w:val="20"/>
          <w:szCs w:val="20"/>
        </w:rPr>
      </w:pPr>
      <w:r w:rsidRPr="00467BF0">
        <w:rPr>
          <w:rFonts w:ascii="Arial" w:hAnsi="Arial" w:cs="Arial"/>
          <w:i/>
          <w:iCs/>
          <w:sz w:val="20"/>
          <w:szCs w:val="20"/>
        </w:rPr>
        <w:t xml:space="preserve">Note: Acoustic features derived from </w:t>
      </w:r>
      <w:proofErr w:type="spellStart"/>
      <w:r w:rsidRPr="00467BF0">
        <w:rPr>
          <w:rFonts w:ascii="Arial" w:hAnsi="Arial" w:cs="Arial"/>
          <w:i/>
          <w:iCs/>
          <w:sz w:val="20"/>
          <w:szCs w:val="20"/>
        </w:rPr>
        <w:t>openSMILE</w:t>
      </w:r>
      <w:proofErr w:type="spellEnd"/>
      <w:r w:rsidRPr="00467BF0">
        <w:rPr>
          <w:rFonts w:ascii="Arial" w:hAnsi="Arial" w:cs="Arial"/>
          <w:i/>
          <w:iCs/>
          <w:sz w:val="20"/>
          <w:szCs w:val="20"/>
        </w:rPr>
        <w:t xml:space="preserve"> </w:t>
      </w:r>
      <w:proofErr w:type="spellStart"/>
      <w:r w:rsidRPr="00467BF0">
        <w:rPr>
          <w:rFonts w:ascii="Arial" w:hAnsi="Arial" w:cs="Arial"/>
          <w:i/>
          <w:iCs/>
          <w:sz w:val="20"/>
          <w:szCs w:val="20"/>
        </w:rPr>
        <w:t>emobase</w:t>
      </w:r>
      <w:proofErr w:type="spellEnd"/>
      <w:r w:rsidRPr="00467BF0">
        <w:rPr>
          <w:rFonts w:ascii="Arial" w:hAnsi="Arial" w:cs="Arial"/>
          <w:i/>
          <w:iCs/>
          <w:sz w:val="20"/>
          <w:szCs w:val="20"/>
        </w:rPr>
        <w:t xml:space="preserve"> (Functionals level)</w:t>
      </w:r>
    </w:p>
    <w:p w14:paraId="305CB593" w14:textId="77777777" w:rsidR="000D4D11" w:rsidRPr="000E21BD" w:rsidRDefault="000D4D11" w:rsidP="000D4D11">
      <w:pPr>
        <w:keepNext/>
        <w:rPr>
          <w:rFonts w:ascii="Arial" w:hAnsi="Arial" w:cs="Arial"/>
          <w:b/>
          <w:bCs/>
          <w:sz w:val="22"/>
          <w:szCs w:val="22"/>
        </w:rPr>
      </w:pPr>
      <w:r w:rsidRPr="000E21BD">
        <w:rPr>
          <w:rFonts w:ascii="Arial" w:hAnsi="Arial" w:cs="Arial"/>
          <w:b/>
          <w:bCs/>
          <w:sz w:val="22"/>
          <w:szCs w:val="22"/>
        </w:rPr>
        <w:lastRenderedPageBreak/>
        <w:t xml:space="preserve">B. Linguistic Features </w:t>
      </w:r>
      <w:r w:rsidRPr="000E21BD">
        <w:rPr>
          <w:rFonts w:ascii="Arial" w:hAnsi="Arial" w:cs="Arial"/>
          <w:sz w:val="22"/>
          <w:szCs w:val="22"/>
        </w:rPr>
        <w:t>(</w:t>
      </w:r>
      <w:r w:rsidRPr="000E21BD">
        <w:rPr>
          <w:rFonts w:ascii="Arial" w:hAnsi="Arial"/>
          <w:i/>
          <w:iCs/>
          <w:sz w:val="22"/>
          <w:szCs w:val="28"/>
        </w:rPr>
        <w:t>n</w:t>
      </w:r>
      <w:r w:rsidRPr="000E21BD">
        <w:rPr>
          <w:rFonts w:ascii="Arial" w:hAnsi="Arial" w:cs="Arial"/>
          <w:i/>
          <w:iCs/>
          <w:sz w:val="22"/>
          <w:szCs w:val="22"/>
        </w:rPr>
        <w:t xml:space="preserve"> = 23</w:t>
      </w:r>
      <w:r w:rsidRPr="000E21BD">
        <w:rPr>
          <w:rFonts w:ascii="Arial" w:hAnsi="Arial" w:cs="Arial"/>
          <w:sz w:val="22"/>
          <w:szCs w:val="22"/>
        </w:rPr>
        <w:t>)</w:t>
      </w:r>
    </w:p>
    <w:tbl>
      <w:tblPr>
        <w:tblStyle w:val="TableGrid"/>
        <w:tblW w:w="9194" w:type="dxa"/>
        <w:tblLook w:val="04A0" w:firstRow="1" w:lastRow="0" w:firstColumn="1" w:lastColumn="0" w:noHBand="0" w:noVBand="1"/>
      </w:tblPr>
      <w:tblGrid>
        <w:gridCol w:w="3804"/>
        <w:gridCol w:w="5390"/>
      </w:tblGrid>
      <w:tr w:rsidR="000D4D11" w:rsidRPr="00F214A9" w14:paraId="47F385F4" w14:textId="77777777" w:rsidTr="002E4A79">
        <w:trPr>
          <w:trHeight w:val="98"/>
        </w:trPr>
        <w:tc>
          <w:tcPr>
            <w:tcW w:w="0" w:type="auto"/>
            <w:hideMark/>
          </w:tcPr>
          <w:p w14:paraId="6FAE986C" w14:textId="77777777" w:rsidR="000D4D11" w:rsidRPr="00F214A9" w:rsidRDefault="000D4D11" w:rsidP="002E4A79">
            <w:pPr>
              <w:spacing w:after="160" w:line="278" w:lineRule="auto"/>
              <w:rPr>
                <w:rFonts w:ascii="Arial" w:hAnsi="Arial" w:cs="Arial"/>
                <w:b/>
                <w:bCs/>
                <w:sz w:val="18"/>
                <w:szCs w:val="18"/>
              </w:rPr>
            </w:pPr>
            <w:r w:rsidRPr="00F214A9">
              <w:rPr>
                <w:rFonts w:ascii="Arial" w:hAnsi="Arial" w:cs="Arial"/>
                <w:b/>
                <w:bCs/>
                <w:sz w:val="18"/>
                <w:szCs w:val="18"/>
              </w:rPr>
              <w:t>Feature</w:t>
            </w:r>
          </w:p>
        </w:tc>
        <w:tc>
          <w:tcPr>
            <w:tcW w:w="0" w:type="auto"/>
            <w:hideMark/>
          </w:tcPr>
          <w:p w14:paraId="181A6724" w14:textId="77777777" w:rsidR="000D4D11" w:rsidRPr="00F214A9" w:rsidRDefault="000D4D11" w:rsidP="002E4A79">
            <w:pPr>
              <w:spacing w:after="160" w:line="278" w:lineRule="auto"/>
              <w:rPr>
                <w:rFonts w:ascii="Arial" w:hAnsi="Arial" w:cs="Arial"/>
                <w:b/>
                <w:bCs/>
                <w:sz w:val="18"/>
                <w:szCs w:val="18"/>
              </w:rPr>
            </w:pPr>
            <w:r w:rsidRPr="00F214A9">
              <w:rPr>
                <w:rFonts w:ascii="Arial" w:hAnsi="Arial" w:cs="Arial"/>
                <w:b/>
                <w:bCs/>
                <w:sz w:val="18"/>
                <w:szCs w:val="18"/>
              </w:rPr>
              <w:t>Description</w:t>
            </w:r>
          </w:p>
        </w:tc>
      </w:tr>
      <w:tr w:rsidR="000D4D11" w:rsidRPr="00F214A9" w14:paraId="7C49C3DC" w14:textId="77777777" w:rsidTr="002E4A79">
        <w:trPr>
          <w:trHeight w:val="161"/>
        </w:trPr>
        <w:tc>
          <w:tcPr>
            <w:tcW w:w="0" w:type="auto"/>
            <w:hideMark/>
          </w:tcPr>
          <w:p w14:paraId="6466AC1E"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ling_ling_all_or_nothing</w:t>
            </w:r>
            <w:proofErr w:type="spellEnd"/>
          </w:p>
        </w:tc>
        <w:tc>
          <w:tcPr>
            <w:tcW w:w="0" w:type="auto"/>
            <w:hideMark/>
          </w:tcPr>
          <w:p w14:paraId="51E5E9DE"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Frequency of all-or-nothing thinking</w:t>
            </w:r>
          </w:p>
        </w:tc>
      </w:tr>
      <w:tr w:rsidR="000D4D11" w:rsidRPr="00F214A9" w14:paraId="70DF25EC" w14:textId="77777777" w:rsidTr="002E4A79">
        <w:trPr>
          <w:trHeight w:val="197"/>
        </w:trPr>
        <w:tc>
          <w:tcPr>
            <w:tcW w:w="0" w:type="auto"/>
            <w:hideMark/>
          </w:tcPr>
          <w:p w14:paraId="34EBC370"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ling_ling_anxiety_total</w:t>
            </w:r>
            <w:proofErr w:type="spellEnd"/>
          </w:p>
        </w:tc>
        <w:tc>
          <w:tcPr>
            <w:tcW w:w="0" w:type="auto"/>
            <w:hideMark/>
          </w:tcPr>
          <w:p w14:paraId="53B5648C"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Total anxiety-related word usage</w:t>
            </w:r>
          </w:p>
        </w:tc>
      </w:tr>
      <w:tr w:rsidR="000D4D11" w:rsidRPr="00F214A9" w14:paraId="57D92777" w14:textId="77777777" w:rsidTr="002E4A79">
        <w:trPr>
          <w:trHeight w:val="152"/>
        </w:trPr>
        <w:tc>
          <w:tcPr>
            <w:tcW w:w="0" w:type="auto"/>
            <w:hideMark/>
          </w:tcPr>
          <w:p w14:paraId="3BBED17C"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ling_ling_avoidance</w:t>
            </w:r>
            <w:proofErr w:type="spellEnd"/>
          </w:p>
        </w:tc>
        <w:tc>
          <w:tcPr>
            <w:tcW w:w="0" w:type="auto"/>
            <w:hideMark/>
          </w:tcPr>
          <w:p w14:paraId="22775A8A"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Frequency of avoidance-related language</w:t>
            </w:r>
          </w:p>
        </w:tc>
      </w:tr>
      <w:tr w:rsidR="000D4D11" w:rsidRPr="00F214A9" w14:paraId="084F8362" w14:textId="77777777" w:rsidTr="002E4A79">
        <w:trPr>
          <w:trHeight w:val="188"/>
        </w:trPr>
        <w:tc>
          <w:tcPr>
            <w:tcW w:w="0" w:type="auto"/>
            <w:hideMark/>
          </w:tcPr>
          <w:p w14:paraId="40CBD713"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ling_ling_catastrophizing</w:t>
            </w:r>
            <w:proofErr w:type="spellEnd"/>
          </w:p>
        </w:tc>
        <w:tc>
          <w:tcPr>
            <w:tcW w:w="0" w:type="auto"/>
            <w:hideMark/>
          </w:tcPr>
          <w:p w14:paraId="6706BB62"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Frequency of catastrophic thinking</w:t>
            </w:r>
          </w:p>
        </w:tc>
      </w:tr>
      <w:tr w:rsidR="000D4D11" w:rsidRPr="00F214A9" w14:paraId="087B9B7D" w14:textId="77777777" w:rsidTr="002E4A79">
        <w:trPr>
          <w:trHeight w:val="53"/>
        </w:trPr>
        <w:tc>
          <w:tcPr>
            <w:tcW w:w="0" w:type="auto"/>
            <w:hideMark/>
          </w:tcPr>
          <w:p w14:paraId="6D7005D7"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ling_ling_confidence</w:t>
            </w:r>
            <w:proofErr w:type="spellEnd"/>
          </w:p>
        </w:tc>
        <w:tc>
          <w:tcPr>
            <w:tcW w:w="0" w:type="auto"/>
            <w:hideMark/>
          </w:tcPr>
          <w:p w14:paraId="7D9CEEA1"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Confidence-related language</w:t>
            </w:r>
          </w:p>
        </w:tc>
      </w:tr>
      <w:tr w:rsidR="000D4D11" w:rsidRPr="00F214A9" w14:paraId="4F8EEBED" w14:textId="77777777" w:rsidTr="002E4A79">
        <w:trPr>
          <w:trHeight w:val="89"/>
        </w:trPr>
        <w:tc>
          <w:tcPr>
            <w:tcW w:w="0" w:type="auto"/>
            <w:hideMark/>
          </w:tcPr>
          <w:p w14:paraId="0908CDC6"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ling_ling_coping_reappraisal</w:t>
            </w:r>
            <w:proofErr w:type="spellEnd"/>
          </w:p>
        </w:tc>
        <w:tc>
          <w:tcPr>
            <w:tcW w:w="0" w:type="auto"/>
            <w:hideMark/>
          </w:tcPr>
          <w:p w14:paraId="31CAE3B9"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Cognitive reappraisal/coping language</w:t>
            </w:r>
          </w:p>
        </w:tc>
      </w:tr>
      <w:tr w:rsidR="000D4D11" w:rsidRPr="00F214A9" w14:paraId="4DDFDC52" w14:textId="77777777" w:rsidTr="002E4A79">
        <w:trPr>
          <w:trHeight w:val="134"/>
        </w:trPr>
        <w:tc>
          <w:tcPr>
            <w:tcW w:w="0" w:type="auto"/>
            <w:hideMark/>
          </w:tcPr>
          <w:p w14:paraId="38FDB405"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ling_ling_depression_total</w:t>
            </w:r>
            <w:proofErr w:type="spellEnd"/>
          </w:p>
        </w:tc>
        <w:tc>
          <w:tcPr>
            <w:tcW w:w="0" w:type="auto"/>
            <w:hideMark/>
          </w:tcPr>
          <w:p w14:paraId="77F0043F"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Total depression-related language</w:t>
            </w:r>
          </w:p>
        </w:tc>
      </w:tr>
      <w:tr w:rsidR="000D4D11" w:rsidRPr="00F214A9" w14:paraId="0727D91C" w14:textId="77777777" w:rsidTr="002E4A79">
        <w:trPr>
          <w:trHeight w:val="170"/>
        </w:trPr>
        <w:tc>
          <w:tcPr>
            <w:tcW w:w="0" w:type="auto"/>
            <w:hideMark/>
          </w:tcPr>
          <w:p w14:paraId="20142450"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ling_ling_fear</w:t>
            </w:r>
            <w:proofErr w:type="spellEnd"/>
          </w:p>
        </w:tc>
        <w:tc>
          <w:tcPr>
            <w:tcW w:w="0" w:type="auto"/>
            <w:hideMark/>
          </w:tcPr>
          <w:p w14:paraId="3FC1C177"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Fear-related word usage</w:t>
            </w:r>
          </w:p>
        </w:tc>
      </w:tr>
      <w:tr w:rsidR="000D4D11" w:rsidRPr="00F214A9" w14:paraId="5A16CB3B" w14:textId="77777777" w:rsidTr="002E4A79">
        <w:trPr>
          <w:trHeight w:val="116"/>
        </w:trPr>
        <w:tc>
          <w:tcPr>
            <w:tcW w:w="0" w:type="auto"/>
            <w:hideMark/>
          </w:tcPr>
          <w:p w14:paraId="1EC0C9B6"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ling_ling_filler_ratio</w:t>
            </w:r>
            <w:proofErr w:type="spellEnd"/>
          </w:p>
        </w:tc>
        <w:tc>
          <w:tcPr>
            <w:tcW w:w="0" w:type="auto"/>
            <w:hideMark/>
          </w:tcPr>
          <w:p w14:paraId="650709FB"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Ratio of filler words (e.g., “um”, “uh”)</w:t>
            </w:r>
          </w:p>
        </w:tc>
      </w:tr>
      <w:tr w:rsidR="000D4D11" w:rsidRPr="00F214A9" w14:paraId="39F930E1" w14:textId="77777777" w:rsidTr="002E4A79">
        <w:trPr>
          <w:trHeight w:val="50"/>
        </w:trPr>
        <w:tc>
          <w:tcPr>
            <w:tcW w:w="0" w:type="auto"/>
            <w:hideMark/>
          </w:tcPr>
          <w:p w14:paraId="377F8999"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ling_ling_first_person</w:t>
            </w:r>
            <w:proofErr w:type="spellEnd"/>
          </w:p>
        </w:tc>
        <w:tc>
          <w:tcPr>
            <w:tcW w:w="0" w:type="auto"/>
            <w:hideMark/>
          </w:tcPr>
          <w:p w14:paraId="32CE9364"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First-person pronoun usage</w:t>
            </w:r>
          </w:p>
        </w:tc>
      </w:tr>
      <w:tr w:rsidR="000D4D11" w:rsidRPr="00F214A9" w14:paraId="0162A431" w14:textId="77777777" w:rsidTr="002E4A79">
        <w:trPr>
          <w:trHeight w:val="107"/>
        </w:trPr>
        <w:tc>
          <w:tcPr>
            <w:tcW w:w="0" w:type="auto"/>
            <w:hideMark/>
          </w:tcPr>
          <w:p w14:paraId="27D50181"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ling_ling_hedge_ratio</w:t>
            </w:r>
            <w:proofErr w:type="spellEnd"/>
          </w:p>
        </w:tc>
        <w:tc>
          <w:tcPr>
            <w:tcW w:w="0" w:type="auto"/>
            <w:hideMark/>
          </w:tcPr>
          <w:p w14:paraId="31A77C91"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Use of hedging language (uncertainty)</w:t>
            </w:r>
          </w:p>
        </w:tc>
      </w:tr>
      <w:tr w:rsidR="000D4D11" w:rsidRPr="00F214A9" w14:paraId="08E8E395" w14:textId="77777777" w:rsidTr="002E4A79">
        <w:trPr>
          <w:trHeight w:val="50"/>
        </w:trPr>
        <w:tc>
          <w:tcPr>
            <w:tcW w:w="0" w:type="auto"/>
            <w:hideMark/>
          </w:tcPr>
          <w:p w14:paraId="4041934A"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ling_ling_insight</w:t>
            </w:r>
            <w:proofErr w:type="spellEnd"/>
          </w:p>
        </w:tc>
        <w:tc>
          <w:tcPr>
            <w:tcW w:w="0" w:type="auto"/>
            <w:hideMark/>
          </w:tcPr>
          <w:p w14:paraId="2EBC4D29"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Insight-related language</w:t>
            </w:r>
          </w:p>
        </w:tc>
      </w:tr>
      <w:tr w:rsidR="000D4D11" w:rsidRPr="00F214A9" w14:paraId="0D08ABBB" w14:textId="77777777" w:rsidTr="002E4A79">
        <w:trPr>
          <w:trHeight w:val="50"/>
        </w:trPr>
        <w:tc>
          <w:tcPr>
            <w:tcW w:w="0" w:type="auto"/>
            <w:hideMark/>
          </w:tcPr>
          <w:p w14:paraId="696F7BC1"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ling_ling_nervousness</w:t>
            </w:r>
            <w:proofErr w:type="spellEnd"/>
          </w:p>
        </w:tc>
        <w:tc>
          <w:tcPr>
            <w:tcW w:w="0" w:type="auto"/>
            <w:hideMark/>
          </w:tcPr>
          <w:p w14:paraId="74EB96E4"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Nervousness-related language</w:t>
            </w:r>
          </w:p>
        </w:tc>
      </w:tr>
      <w:tr w:rsidR="000D4D11" w:rsidRPr="00F214A9" w14:paraId="720079F2" w14:textId="77777777" w:rsidTr="002E4A79">
        <w:trPr>
          <w:trHeight w:val="50"/>
        </w:trPr>
        <w:tc>
          <w:tcPr>
            <w:tcW w:w="0" w:type="auto"/>
            <w:hideMark/>
          </w:tcPr>
          <w:p w14:paraId="20B0E500"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ling_ling_positive_total</w:t>
            </w:r>
            <w:proofErr w:type="spellEnd"/>
          </w:p>
        </w:tc>
        <w:tc>
          <w:tcPr>
            <w:tcW w:w="0" w:type="auto"/>
            <w:hideMark/>
          </w:tcPr>
          <w:p w14:paraId="3D4DF017"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Positive emotion word usage</w:t>
            </w:r>
          </w:p>
        </w:tc>
      </w:tr>
      <w:tr w:rsidR="000D4D11" w:rsidRPr="00F214A9" w14:paraId="437B527E" w14:textId="77777777" w:rsidTr="002E4A79">
        <w:trPr>
          <w:trHeight w:val="50"/>
        </w:trPr>
        <w:tc>
          <w:tcPr>
            <w:tcW w:w="0" w:type="auto"/>
            <w:hideMark/>
          </w:tcPr>
          <w:p w14:paraId="17531FB8"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ling_ling_self_focus</w:t>
            </w:r>
            <w:proofErr w:type="spellEnd"/>
          </w:p>
        </w:tc>
        <w:tc>
          <w:tcPr>
            <w:tcW w:w="0" w:type="auto"/>
            <w:hideMark/>
          </w:tcPr>
          <w:p w14:paraId="6AF49169"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Degree of self-referential language</w:t>
            </w:r>
          </w:p>
        </w:tc>
      </w:tr>
      <w:tr w:rsidR="000D4D11" w:rsidRPr="00F214A9" w14:paraId="00E0186E" w14:textId="77777777" w:rsidTr="002E4A79">
        <w:trPr>
          <w:trHeight w:val="50"/>
        </w:trPr>
        <w:tc>
          <w:tcPr>
            <w:tcW w:w="0" w:type="auto"/>
            <w:hideMark/>
          </w:tcPr>
          <w:p w14:paraId="6D189498"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ling_ling_sentiment_shift</w:t>
            </w:r>
            <w:proofErr w:type="spellEnd"/>
          </w:p>
        </w:tc>
        <w:tc>
          <w:tcPr>
            <w:tcW w:w="0" w:type="auto"/>
            <w:hideMark/>
          </w:tcPr>
          <w:p w14:paraId="63098FD7"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Variability in sentiment across sentences</w:t>
            </w:r>
          </w:p>
        </w:tc>
      </w:tr>
      <w:tr w:rsidR="000D4D11" w:rsidRPr="00F214A9" w14:paraId="2361E48D" w14:textId="77777777" w:rsidTr="002E4A79">
        <w:trPr>
          <w:trHeight w:val="80"/>
        </w:trPr>
        <w:tc>
          <w:tcPr>
            <w:tcW w:w="0" w:type="auto"/>
            <w:hideMark/>
          </w:tcPr>
          <w:p w14:paraId="3015E7F6"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ling_ling_should_statements</w:t>
            </w:r>
            <w:proofErr w:type="spellEnd"/>
          </w:p>
        </w:tc>
        <w:tc>
          <w:tcPr>
            <w:tcW w:w="0" w:type="auto"/>
            <w:hideMark/>
          </w:tcPr>
          <w:p w14:paraId="5370A474"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Frequency of “should/must” statements</w:t>
            </w:r>
          </w:p>
        </w:tc>
      </w:tr>
      <w:tr w:rsidR="000D4D11" w:rsidRPr="00F214A9" w14:paraId="33A42E4B" w14:textId="77777777" w:rsidTr="002E4A79">
        <w:trPr>
          <w:trHeight w:val="50"/>
        </w:trPr>
        <w:tc>
          <w:tcPr>
            <w:tcW w:w="0" w:type="auto"/>
            <w:hideMark/>
          </w:tcPr>
          <w:p w14:paraId="7D89AE51"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ling_ling_subjectivity</w:t>
            </w:r>
            <w:proofErr w:type="spellEnd"/>
          </w:p>
        </w:tc>
        <w:tc>
          <w:tcPr>
            <w:tcW w:w="0" w:type="auto"/>
            <w:hideMark/>
          </w:tcPr>
          <w:p w14:paraId="25F14300"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Subjectivity of language</w:t>
            </w:r>
          </w:p>
        </w:tc>
      </w:tr>
      <w:tr w:rsidR="000D4D11" w:rsidRPr="00F214A9" w14:paraId="039C80E9" w14:textId="77777777" w:rsidTr="002E4A79">
        <w:trPr>
          <w:trHeight w:val="50"/>
        </w:trPr>
        <w:tc>
          <w:tcPr>
            <w:tcW w:w="0" w:type="auto"/>
            <w:hideMark/>
          </w:tcPr>
          <w:p w14:paraId="3C90BE2D"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ling_ling_type_token_ratio</w:t>
            </w:r>
            <w:proofErr w:type="spellEnd"/>
          </w:p>
        </w:tc>
        <w:tc>
          <w:tcPr>
            <w:tcW w:w="0" w:type="auto"/>
            <w:hideMark/>
          </w:tcPr>
          <w:p w14:paraId="17DC9067"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Lexical diversity</w:t>
            </w:r>
          </w:p>
        </w:tc>
      </w:tr>
      <w:tr w:rsidR="000D4D11" w:rsidRPr="00F214A9" w14:paraId="797BF7FD" w14:textId="77777777" w:rsidTr="002E4A79">
        <w:trPr>
          <w:trHeight w:val="50"/>
        </w:trPr>
        <w:tc>
          <w:tcPr>
            <w:tcW w:w="0" w:type="auto"/>
            <w:hideMark/>
          </w:tcPr>
          <w:p w14:paraId="260A14AE"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ling_ling_uncertainty</w:t>
            </w:r>
            <w:proofErr w:type="spellEnd"/>
          </w:p>
        </w:tc>
        <w:tc>
          <w:tcPr>
            <w:tcW w:w="0" w:type="auto"/>
            <w:hideMark/>
          </w:tcPr>
          <w:p w14:paraId="6BC82D3A"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Uncertainty-related language</w:t>
            </w:r>
          </w:p>
        </w:tc>
      </w:tr>
      <w:tr w:rsidR="000D4D11" w:rsidRPr="00F214A9" w14:paraId="26DEF741" w14:textId="77777777" w:rsidTr="002E4A79">
        <w:trPr>
          <w:trHeight w:val="50"/>
        </w:trPr>
        <w:tc>
          <w:tcPr>
            <w:tcW w:w="0" w:type="auto"/>
            <w:hideMark/>
          </w:tcPr>
          <w:p w14:paraId="23E590BC"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ling_ling_vader_compound</w:t>
            </w:r>
            <w:proofErr w:type="spellEnd"/>
          </w:p>
        </w:tc>
        <w:tc>
          <w:tcPr>
            <w:tcW w:w="0" w:type="auto"/>
            <w:hideMark/>
          </w:tcPr>
          <w:p w14:paraId="38EE3E76"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Overall sentiment polarity</w:t>
            </w:r>
          </w:p>
        </w:tc>
      </w:tr>
      <w:tr w:rsidR="000D4D11" w:rsidRPr="00F214A9" w14:paraId="6EE6DDAB" w14:textId="77777777" w:rsidTr="002E4A79">
        <w:trPr>
          <w:trHeight w:val="50"/>
        </w:trPr>
        <w:tc>
          <w:tcPr>
            <w:tcW w:w="0" w:type="auto"/>
            <w:hideMark/>
          </w:tcPr>
          <w:p w14:paraId="52C04FE7"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ling_ling_word_count</w:t>
            </w:r>
            <w:proofErr w:type="spellEnd"/>
          </w:p>
        </w:tc>
        <w:tc>
          <w:tcPr>
            <w:tcW w:w="0" w:type="auto"/>
            <w:hideMark/>
          </w:tcPr>
          <w:p w14:paraId="36C64236"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Total word count</w:t>
            </w:r>
          </w:p>
        </w:tc>
      </w:tr>
      <w:tr w:rsidR="000D4D11" w:rsidRPr="00F214A9" w14:paraId="173E5752" w14:textId="77777777" w:rsidTr="002E4A79">
        <w:trPr>
          <w:trHeight w:val="50"/>
        </w:trPr>
        <w:tc>
          <w:tcPr>
            <w:tcW w:w="0" w:type="auto"/>
            <w:hideMark/>
          </w:tcPr>
          <w:p w14:paraId="29D2D0F9" w14:textId="77777777" w:rsidR="000D4D11" w:rsidRPr="00F214A9" w:rsidRDefault="000D4D11" w:rsidP="002E4A79">
            <w:pPr>
              <w:spacing w:after="160" w:line="278" w:lineRule="auto"/>
              <w:rPr>
                <w:rFonts w:ascii="Arial" w:hAnsi="Arial" w:cs="Arial"/>
                <w:sz w:val="18"/>
                <w:szCs w:val="18"/>
              </w:rPr>
            </w:pPr>
            <w:proofErr w:type="spellStart"/>
            <w:r w:rsidRPr="00F214A9">
              <w:rPr>
                <w:rFonts w:ascii="Arial" w:hAnsi="Arial" w:cs="Arial"/>
                <w:sz w:val="18"/>
                <w:szCs w:val="18"/>
              </w:rPr>
              <w:t>ling_ling_worry</w:t>
            </w:r>
            <w:proofErr w:type="spellEnd"/>
          </w:p>
        </w:tc>
        <w:tc>
          <w:tcPr>
            <w:tcW w:w="0" w:type="auto"/>
            <w:hideMark/>
          </w:tcPr>
          <w:p w14:paraId="17A7B102" w14:textId="77777777" w:rsidR="000D4D11" w:rsidRPr="00F214A9" w:rsidRDefault="000D4D11" w:rsidP="002E4A79">
            <w:pPr>
              <w:spacing w:after="160" w:line="278" w:lineRule="auto"/>
              <w:rPr>
                <w:rFonts w:ascii="Arial" w:hAnsi="Arial" w:cs="Arial"/>
                <w:sz w:val="18"/>
                <w:szCs w:val="18"/>
              </w:rPr>
            </w:pPr>
            <w:r w:rsidRPr="00F214A9">
              <w:rPr>
                <w:rFonts w:ascii="Arial" w:hAnsi="Arial" w:cs="Arial"/>
                <w:sz w:val="18"/>
                <w:szCs w:val="18"/>
              </w:rPr>
              <w:t>Worry-related language</w:t>
            </w:r>
          </w:p>
        </w:tc>
      </w:tr>
    </w:tbl>
    <w:p w14:paraId="4DA8A41A" w14:textId="77777777" w:rsidR="000D4D11" w:rsidRPr="00467BF0" w:rsidRDefault="000D4D11" w:rsidP="000D4D11">
      <w:pPr>
        <w:rPr>
          <w:rFonts w:ascii="Arial" w:hAnsi="Arial" w:cs="Arial"/>
          <w:i/>
          <w:iCs/>
          <w:sz w:val="20"/>
          <w:szCs w:val="20"/>
        </w:rPr>
      </w:pPr>
      <w:r w:rsidRPr="00467BF0">
        <w:rPr>
          <w:rFonts w:ascii="Arial" w:hAnsi="Arial" w:cs="Arial"/>
          <w:i/>
          <w:iCs/>
          <w:sz w:val="20"/>
          <w:szCs w:val="20"/>
        </w:rPr>
        <w:t>Note: Derived from a natural language processing pipeline informed by cognitive behavioral theory and psychological linguistics.</w:t>
      </w:r>
    </w:p>
    <w:p w14:paraId="59AC65F1" w14:textId="77777777" w:rsidR="000D4D11" w:rsidRDefault="000D4D11" w:rsidP="000D4D11">
      <w:pPr>
        <w:spacing w:line="480" w:lineRule="auto"/>
        <w:rPr>
          <w:rFonts w:ascii="Arial" w:hAnsi="Arial" w:cs="Arial"/>
          <w:sz w:val="22"/>
          <w:szCs w:val="22"/>
        </w:rPr>
      </w:pPr>
      <w:r w:rsidRPr="005E420F">
        <w:rPr>
          <w:rFonts w:ascii="Arial" w:hAnsi="Arial" w:cs="Arial"/>
          <w:b/>
          <w:bCs/>
          <w:noProof/>
          <w:sz w:val="22"/>
          <w:szCs w:val="22"/>
          <w:u w:val="single"/>
        </w:rPr>
        <w:lastRenderedPageBreak/>
        <w:drawing>
          <wp:anchor distT="0" distB="0" distL="114300" distR="114300" simplePos="0" relativeHeight="251659264" behindDoc="0" locked="0" layoutInCell="1" allowOverlap="1" wp14:anchorId="196E60D6" wp14:editId="065323B9">
            <wp:simplePos x="0" y="0"/>
            <wp:positionH relativeFrom="column">
              <wp:posOffset>-46355</wp:posOffset>
            </wp:positionH>
            <wp:positionV relativeFrom="paragraph">
              <wp:posOffset>242570</wp:posOffset>
            </wp:positionV>
            <wp:extent cx="5943600" cy="4068445"/>
            <wp:effectExtent l="0" t="0" r="0" b="8255"/>
            <wp:wrapSquare wrapText="bothSides"/>
            <wp:docPr id="6607925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792570" name="Picture 660792570"/>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4068445"/>
                    </a:xfrm>
                    <a:prstGeom prst="rect">
                      <a:avLst/>
                    </a:prstGeom>
                  </pic:spPr>
                </pic:pic>
              </a:graphicData>
            </a:graphic>
          </wp:anchor>
        </w:drawing>
      </w:r>
    </w:p>
    <w:p w14:paraId="6B49E148" w14:textId="77777777" w:rsidR="00874036" w:rsidRDefault="00874036" w:rsidP="000D4D11">
      <w:pPr>
        <w:spacing w:line="480" w:lineRule="auto"/>
        <w:rPr>
          <w:rStyle w:val="Strong"/>
          <w:rFonts w:ascii="Arial" w:hAnsi="Arial" w:cs="Arial"/>
          <w:sz w:val="22"/>
          <w:szCs w:val="22"/>
        </w:rPr>
      </w:pPr>
    </w:p>
    <w:p w14:paraId="45CFA8FD" w14:textId="3E8E11B3" w:rsidR="000D4D11" w:rsidRPr="005E420F" w:rsidRDefault="000D4D11" w:rsidP="000D4D11">
      <w:pPr>
        <w:spacing w:line="480" w:lineRule="auto"/>
        <w:rPr>
          <w:rFonts w:ascii="Arial" w:hAnsi="Arial" w:cs="Arial"/>
          <w:sz w:val="22"/>
          <w:szCs w:val="22"/>
        </w:rPr>
      </w:pPr>
      <w:r w:rsidRPr="005E420F">
        <w:rPr>
          <w:rStyle w:val="Strong"/>
          <w:rFonts w:ascii="Arial" w:hAnsi="Arial" w:cs="Arial"/>
          <w:sz w:val="22"/>
          <w:szCs w:val="22"/>
        </w:rPr>
        <w:t>Figure S1. Session-level availability of audio recordings across participants.</w:t>
      </w:r>
      <w:r>
        <w:rPr>
          <w:rStyle w:val="Strong"/>
          <w:rFonts w:ascii="Arial" w:hAnsi="Arial" w:cs="Arial"/>
          <w:sz w:val="22"/>
          <w:szCs w:val="22"/>
        </w:rPr>
        <w:t xml:space="preserve"> </w:t>
      </w:r>
      <w:r w:rsidRPr="005E420F">
        <w:rPr>
          <w:rFonts w:ascii="Arial" w:hAnsi="Arial" w:cs="Arial"/>
          <w:sz w:val="22"/>
          <w:szCs w:val="22"/>
        </w:rPr>
        <w:t>Heatmap showing the presence of usable audio recordings for each participant (rows) across the 12-session EF-CBT protocol (columns). Blue cells indicate sessions with available audio recordings; light gray cells indicate sessions without usable audio data. Red dashed vertical lines mark sessions with Pediatric Anxiety Rating Scale (PARS) assessments (Sessions 1, 6, 9, and 12). The number of participants contributing usable audio at each session is shown along the x-axis.</w:t>
      </w:r>
    </w:p>
    <w:p w14:paraId="4A92D4F7" w14:textId="77777777" w:rsidR="000D4D11" w:rsidRPr="005E420F" w:rsidRDefault="000D4D11" w:rsidP="000D4D11">
      <w:pPr>
        <w:spacing w:line="480" w:lineRule="auto"/>
        <w:rPr>
          <w:rFonts w:ascii="Arial" w:hAnsi="Arial" w:cs="Arial"/>
          <w:b/>
          <w:bCs/>
          <w:sz w:val="22"/>
          <w:szCs w:val="22"/>
          <w:u w:val="single"/>
        </w:rPr>
      </w:pPr>
    </w:p>
    <w:p w14:paraId="7E00E683" w14:textId="77777777" w:rsidR="000D4D11" w:rsidRPr="005E420F" w:rsidRDefault="000D4D11" w:rsidP="000D4D11">
      <w:pPr>
        <w:spacing w:line="480" w:lineRule="auto"/>
        <w:rPr>
          <w:rFonts w:ascii="Arial" w:hAnsi="Arial" w:cs="Arial"/>
          <w:sz w:val="22"/>
          <w:szCs w:val="22"/>
        </w:rPr>
      </w:pPr>
      <w:r w:rsidRPr="005E420F">
        <w:rPr>
          <w:rFonts w:ascii="Arial" w:hAnsi="Arial" w:cs="Arial"/>
          <w:noProof/>
          <w:sz w:val="22"/>
          <w:szCs w:val="22"/>
        </w:rPr>
        <w:lastRenderedPageBreak/>
        <w:drawing>
          <wp:inline distT="0" distB="0" distL="0" distR="0" wp14:anchorId="377300BC" wp14:editId="51F00D7A">
            <wp:extent cx="5943600" cy="5083175"/>
            <wp:effectExtent l="0" t="0" r="0" b="3175"/>
            <wp:docPr id="5451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169" name="Picture 5451169"/>
                    <pic:cNvPicPr/>
                  </pic:nvPicPr>
                  <pic:blipFill>
                    <a:blip r:embed="rId5">
                      <a:extLst>
                        <a:ext uri="{28A0092B-C50C-407E-A947-70E740481C1C}">
                          <a14:useLocalDpi xmlns:a14="http://schemas.microsoft.com/office/drawing/2010/main" val="0"/>
                        </a:ext>
                      </a:extLst>
                    </a:blip>
                    <a:stretch>
                      <a:fillRect/>
                    </a:stretch>
                  </pic:blipFill>
                  <pic:spPr>
                    <a:xfrm>
                      <a:off x="0" y="0"/>
                      <a:ext cx="5943600" cy="5083175"/>
                    </a:xfrm>
                    <a:prstGeom prst="rect">
                      <a:avLst/>
                    </a:prstGeom>
                  </pic:spPr>
                </pic:pic>
              </a:graphicData>
            </a:graphic>
          </wp:inline>
        </w:drawing>
      </w:r>
    </w:p>
    <w:p w14:paraId="0398272E" w14:textId="77777777" w:rsidR="000D4D11" w:rsidRPr="00B428AF" w:rsidRDefault="000D4D11" w:rsidP="000D4D11">
      <w:pPr>
        <w:spacing w:line="480" w:lineRule="auto"/>
        <w:rPr>
          <w:rFonts w:ascii="Arial" w:hAnsi="Arial" w:cs="Arial"/>
          <w:sz w:val="22"/>
          <w:szCs w:val="22"/>
        </w:rPr>
      </w:pPr>
      <w:r w:rsidRPr="00B428AF">
        <w:rPr>
          <w:rFonts w:ascii="Arial" w:hAnsi="Arial" w:cs="Arial"/>
          <w:b/>
          <w:bCs/>
          <w:sz w:val="22"/>
          <w:szCs w:val="22"/>
        </w:rPr>
        <w:t>Figure S</w:t>
      </w:r>
      <w:r w:rsidRPr="005E420F">
        <w:rPr>
          <w:rFonts w:ascii="Arial" w:hAnsi="Arial" w:cs="Arial"/>
          <w:b/>
          <w:bCs/>
          <w:sz w:val="22"/>
          <w:szCs w:val="22"/>
        </w:rPr>
        <w:t>2</w:t>
      </w:r>
      <w:r w:rsidRPr="00B428AF">
        <w:rPr>
          <w:rFonts w:ascii="Arial" w:hAnsi="Arial" w:cs="Arial"/>
          <w:b/>
          <w:bCs/>
          <w:sz w:val="22"/>
          <w:szCs w:val="22"/>
        </w:rPr>
        <w:t>. Receiver operating characteristic (ROC) curves by age group for prediction of anxiety improvement.</w:t>
      </w:r>
      <w:r>
        <w:rPr>
          <w:rFonts w:ascii="Arial" w:hAnsi="Arial" w:cs="Arial"/>
          <w:b/>
          <w:bCs/>
          <w:sz w:val="22"/>
          <w:szCs w:val="22"/>
        </w:rPr>
        <w:t xml:space="preserve"> </w:t>
      </w:r>
      <w:r w:rsidRPr="00B428AF">
        <w:rPr>
          <w:rFonts w:ascii="Arial" w:hAnsi="Arial" w:cs="Arial"/>
          <w:sz w:val="22"/>
          <w:szCs w:val="22"/>
        </w:rPr>
        <w:t xml:space="preserve">ROC curves comparing model performance between younger (≤11 years) and older (≥12 years) participants using the best-performing model (Random Forest with later-session features in mid-to-late session pairs). The model demonstrated higher discrimination in younger participants (AUC = 0.93; </w:t>
      </w:r>
      <w:r w:rsidRPr="00747BE2">
        <w:rPr>
          <w:rFonts w:ascii="Arial" w:hAnsi="Arial"/>
          <w:i/>
          <w:sz w:val="22"/>
        </w:rPr>
        <w:t>n</w:t>
      </w:r>
      <w:r w:rsidRPr="00B428AF">
        <w:rPr>
          <w:rFonts w:ascii="Arial" w:hAnsi="Arial" w:cs="Arial"/>
          <w:sz w:val="22"/>
          <w:szCs w:val="22"/>
        </w:rPr>
        <w:t xml:space="preserve"> = 26) compared with older participants (AUC = 0.80; </w:t>
      </w:r>
      <w:r w:rsidRPr="00747BE2">
        <w:rPr>
          <w:rFonts w:ascii="Arial" w:hAnsi="Arial"/>
          <w:i/>
          <w:sz w:val="22"/>
        </w:rPr>
        <w:t>n</w:t>
      </w:r>
      <w:r w:rsidRPr="00B428AF">
        <w:rPr>
          <w:rFonts w:ascii="Arial" w:hAnsi="Arial" w:cs="Arial"/>
          <w:sz w:val="22"/>
          <w:szCs w:val="22"/>
        </w:rPr>
        <w:t xml:space="preserve"> = 25), although performance remained above chance in both groups. The dashed line represents overall model performance across all participants (AUC = 0.86).</w:t>
      </w:r>
      <w:r>
        <w:rPr>
          <w:rFonts w:ascii="Arial" w:hAnsi="Arial" w:cs="Arial"/>
          <w:sz w:val="22"/>
          <w:szCs w:val="22"/>
        </w:rPr>
        <w:t xml:space="preserve"> </w:t>
      </w:r>
    </w:p>
    <w:p w14:paraId="78FD8498" w14:textId="77777777" w:rsidR="000D4D11" w:rsidRDefault="000D4D11"/>
    <w:sectPr w:rsidR="000D4D11" w:rsidSect="000D4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11"/>
    <w:rsid w:val="000D4D11"/>
    <w:rsid w:val="00874036"/>
    <w:rsid w:val="00A116A3"/>
    <w:rsid w:val="00BF769E"/>
    <w:rsid w:val="00FF7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A50E"/>
  <w15:chartTrackingRefBased/>
  <w15:docId w15:val="{A566AE80-D688-43DA-B3DE-770E0046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D11"/>
    <w:rPr>
      <w:rFonts w:eastAsiaTheme="minorEastAsia"/>
      <w:lang w:eastAsia="zh-CN"/>
    </w:rPr>
  </w:style>
  <w:style w:type="paragraph" w:styleId="Heading1">
    <w:name w:val="heading 1"/>
    <w:basedOn w:val="Normal"/>
    <w:next w:val="Normal"/>
    <w:link w:val="Heading1Char"/>
    <w:uiPriority w:val="9"/>
    <w:qFormat/>
    <w:rsid w:val="000D4D11"/>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0D4D11"/>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0D4D11"/>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0D4D11"/>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0D4D11"/>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0D4D11"/>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0D4D11"/>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0D4D11"/>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0D4D11"/>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D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D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D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D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D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D11"/>
    <w:rPr>
      <w:rFonts w:eastAsiaTheme="majorEastAsia" w:cstheme="majorBidi"/>
      <w:color w:val="272727" w:themeColor="text1" w:themeTint="D8"/>
    </w:rPr>
  </w:style>
  <w:style w:type="paragraph" w:styleId="Title">
    <w:name w:val="Title"/>
    <w:basedOn w:val="Normal"/>
    <w:next w:val="Normal"/>
    <w:link w:val="TitleChar"/>
    <w:uiPriority w:val="10"/>
    <w:qFormat/>
    <w:rsid w:val="000D4D11"/>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0D4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D11"/>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0D4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D11"/>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0D4D11"/>
    <w:rPr>
      <w:i/>
      <w:iCs/>
      <w:color w:val="404040" w:themeColor="text1" w:themeTint="BF"/>
    </w:rPr>
  </w:style>
  <w:style w:type="paragraph" w:styleId="ListParagraph">
    <w:name w:val="List Paragraph"/>
    <w:basedOn w:val="Normal"/>
    <w:uiPriority w:val="34"/>
    <w:qFormat/>
    <w:rsid w:val="000D4D11"/>
    <w:pPr>
      <w:ind w:left="720"/>
      <w:contextualSpacing/>
    </w:pPr>
    <w:rPr>
      <w:rFonts w:eastAsiaTheme="minorHAnsi"/>
      <w:lang w:eastAsia="en-US"/>
    </w:rPr>
  </w:style>
  <w:style w:type="character" w:styleId="IntenseEmphasis">
    <w:name w:val="Intense Emphasis"/>
    <w:basedOn w:val="DefaultParagraphFont"/>
    <w:uiPriority w:val="21"/>
    <w:qFormat/>
    <w:rsid w:val="000D4D11"/>
    <w:rPr>
      <w:i/>
      <w:iCs/>
      <w:color w:val="0F4761" w:themeColor="accent1" w:themeShade="BF"/>
    </w:rPr>
  </w:style>
  <w:style w:type="paragraph" w:styleId="IntenseQuote">
    <w:name w:val="Intense Quote"/>
    <w:basedOn w:val="Normal"/>
    <w:next w:val="Normal"/>
    <w:link w:val="IntenseQuoteChar"/>
    <w:uiPriority w:val="30"/>
    <w:qFormat/>
    <w:rsid w:val="000D4D11"/>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0D4D11"/>
    <w:rPr>
      <w:i/>
      <w:iCs/>
      <w:color w:val="0F4761" w:themeColor="accent1" w:themeShade="BF"/>
    </w:rPr>
  </w:style>
  <w:style w:type="character" w:styleId="IntenseReference">
    <w:name w:val="Intense Reference"/>
    <w:basedOn w:val="DefaultParagraphFont"/>
    <w:uiPriority w:val="32"/>
    <w:qFormat/>
    <w:rsid w:val="000D4D11"/>
    <w:rPr>
      <w:b/>
      <w:bCs/>
      <w:smallCaps/>
      <w:color w:val="0F4761" w:themeColor="accent1" w:themeShade="BF"/>
      <w:spacing w:val="5"/>
    </w:rPr>
  </w:style>
  <w:style w:type="table" w:styleId="TableGrid">
    <w:name w:val="Table Grid"/>
    <w:basedOn w:val="TableNormal"/>
    <w:uiPriority w:val="39"/>
    <w:rsid w:val="000D4D11"/>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D4D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0002a9b-0017-404d-97dc-3d3bab09be81}" enabled="0" method="" siteId="{b0002a9b-0017-404d-97dc-3d3bab09be81}"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549</Words>
  <Characters>3559</Characters>
  <Application>Microsoft Office Word</Application>
  <DocSecurity>0</DocSecurity>
  <Lines>69</Lines>
  <Paragraphs>26</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Iturra Mena, Ann</dc:creator>
  <cp:keywords/>
  <dc:description/>
  <cp:lastModifiedBy>Iturra Mena, Ann</cp:lastModifiedBy>
  <cp:revision>3</cp:revision>
  <dcterms:created xsi:type="dcterms:W3CDTF">2026-05-06T01:45:00Z</dcterms:created>
  <dcterms:modified xsi:type="dcterms:W3CDTF">2026-05-11T15:17:00Z</dcterms:modified>
</cp:coreProperties>
</file>