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line="276" w:lineRule="auto"/>
        <w:jc w:val="both"/>
        <w:rPr>
          <w:rFonts w:ascii="Cambria" w:cs="Cambria" w:eastAsia="Cambria" w:hAnsi="Cambria"/>
          <w:b w:val="1"/>
          <w:bCs w:val="1"/>
          <w:sz w:val="26"/>
          <w:szCs w:val="26"/>
        </w:rPr>
      </w:pPr>
      <w:r w:rsidDel="00000000" w:rsidR="00000000" w:rsidRPr="00000000">
        <w:rPr>
          <w:rFonts w:ascii="Cambria" w:cs="Cambria" w:eastAsia="Cambria" w:hAnsi="Cambria"/>
          <w:b w:val="1"/>
          <w:bCs w:val="1"/>
          <w:sz w:val="26"/>
          <w:szCs w:val="26"/>
          <w:rtl w:val="0"/>
        </w:rPr>
        <w:t xml:space="preserve">Allosteric crosstalk between Fc glycans and Fab regions in full-length IgG2 and IgG4 antibodies</w:t>
      </w:r>
    </w:p>
    <w:p w:rsidR="00000000" w:rsidDel="00000000" w:rsidP="00000000" w:rsidRDefault="00000000" w:rsidRPr="00000000" w14:paraId="00000002">
      <w:pPr>
        <w:spacing w:line="276" w:lineRule="auto"/>
        <w:jc w:val="both"/>
        <w:rPr>
          <w:rFonts w:ascii="Cambria" w:cs="Cambria" w:eastAsia="Cambria" w:hAnsi="Cambria"/>
          <w:b w:val="1"/>
          <w:bCs w:val="1"/>
          <w:sz w:val="26"/>
          <w:szCs w:val="26"/>
        </w:rPr>
      </w:pPr>
      <w:r w:rsidDel="00000000" w:rsidR="00000000" w:rsidRPr="00000000">
        <w:rPr>
          <w:rtl w:val="0"/>
        </w:rPr>
      </w:r>
    </w:p>
    <w:p w:rsidR="00000000" w:rsidDel="00000000" w:rsidP="00000000" w:rsidRDefault="00000000" w:rsidRPr="00000000" w14:paraId="00000003">
      <w:pPr>
        <w:spacing w:line="276" w:lineRule="auto"/>
        <w:jc w:val="both"/>
        <w:rPr>
          <w:rFonts w:ascii="Cambria" w:cs="Cambria" w:eastAsia="Cambria" w:hAnsi="Cambria"/>
          <w:b w:val="1"/>
          <w:bCs w:val="1"/>
          <w:sz w:val="26"/>
          <w:szCs w:val="26"/>
        </w:rPr>
      </w:pPr>
      <w:r w:rsidDel="00000000" w:rsidR="00000000" w:rsidRPr="00000000">
        <w:rPr>
          <w:rtl w:val="0"/>
        </w:rPr>
      </w:r>
    </w:p>
    <w:tbl>
      <w:tblPr>
        <w:tblStyle w:val="Table1"/>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009.6666666666665"/>
        <w:gridCol w:w="3009.6666666666665"/>
        <w:gridCol w:w="3009.6666666666665"/>
        <w:tblGridChange w:id="0">
          <w:tblGrid>
            <w:gridCol w:w="3009.6666666666665"/>
            <w:gridCol w:w="3009.6666666666665"/>
            <w:gridCol w:w="3009.6666666666665"/>
          </w:tblGrid>
        </w:tblGridChange>
      </w:tblGrid>
      <w:tr>
        <w:trPr>
          <w:cantSplit w:val="0"/>
          <w:tblHeader w:val="0"/>
        </w:trPr>
        <w:tc>
          <w:tcPr>
            <w:shd w:fill="b7b7b7" w:val="clear"/>
            <w:tcMar>
              <w:top w:w="100.0" w:type="dxa"/>
              <w:left w:w="100.0" w:type="dxa"/>
              <w:bottom w:w="100.0" w:type="dxa"/>
              <w:right w:w="100.0" w:type="dxa"/>
            </w:tcMar>
            <w:vAlign w:val="top"/>
          </w:tcPr>
          <w:p w:rsidR="00000000" w:rsidDel="00000000" w:rsidP="00000000" w:rsidRDefault="00000000" w:rsidRPr="00000000" w14:paraId="00000004">
            <w:pPr>
              <w:widowControl w:val="0"/>
              <w:spacing w:line="240" w:lineRule="auto"/>
              <w:jc w:val="center"/>
              <w:rPr>
                <w:rFonts w:ascii="Times New Roman" w:cs="Times New Roman" w:eastAsia="Times New Roman" w:hAnsi="Times New Roman"/>
                <w:b w:val="1"/>
                <w:bCs w:val="1"/>
                <w:sz w:val="24"/>
                <w:szCs w:val="24"/>
              </w:rPr>
            </w:pPr>
            <w:r w:rsidDel="00000000" w:rsidR="00000000" w:rsidRPr="00000000">
              <w:rPr>
                <w:rtl w:val="0"/>
              </w:rPr>
            </w:r>
          </w:p>
        </w:tc>
        <w:tc>
          <w:tcPr>
            <w:shd w:fill="b7b7b7" w:val="clear"/>
            <w:tcMar>
              <w:top w:w="100.0" w:type="dxa"/>
              <w:left w:w="100.0" w:type="dxa"/>
              <w:bottom w:w="100.0" w:type="dxa"/>
              <w:right w:w="100.0" w:type="dxa"/>
            </w:tcMar>
            <w:vAlign w:val="top"/>
          </w:tcPr>
          <w:p w:rsidR="00000000" w:rsidDel="00000000" w:rsidP="00000000" w:rsidRDefault="00000000" w:rsidRPr="00000000" w14:paraId="00000005">
            <w:pPr>
              <w:widowControl w:val="0"/>
              <w:spacing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Identities</w:t>
            </w:r>
          </w:p>
        </w:tc>
        <w:tc>
          <w:tcPr>
            <w:shd w:fill="b7b7b7" w:val="clear"/>
            <w:tcMar>
              <w:top w:w="100.0" w:type="dxa"/>
              <w:left w:w="100.0" w:type="dxa"/>
              <w:bottom w:w="100.0" w:type="dxa"/>
              <w:right w:w="100.0" w:type="dxa"/>
            </w:tcMar>
            <w:vAlign w:val="top"/>
          </w:tcPr>
          <w:p w:rsidR="00000000" w:rsidDel="00000000" w:rsidP="00000000" w:rsidRDefault="00000000" w:rsidRPr="00000000" w14:paraId="00000006">
            <w:pPr>
              <w:widowControl w:val="0"/>
              <w:spacing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Positives</w:t>
            </w:r>
          </w:p>
        </w:tc>
      </w:tr>
      <w:tr>
        <w:trPr>
          <w:cantSplit w:val="0"/>
          <w:tblHeader w:val="0"/>
        </w:trPr>
        <w:tc>
          <w:tcPr>
            <w:shd w:fill="b7b7b7" w:val="clear"/>
            <w:tcMar>
              <w:top w:w="100.0" w:type="dxa"/>
              <w:left w:w="100.0" w:type="dxa"/>
              <w:bottom w:w="100.0" w:type="dxa"/>
              <w:right w:w="100.0" w:type="dxa"/>
            </w:tcMar>
            <w:vAlign w:val="top"/>
          </w:tcPr>
          <w:p w:rsidR="00000000" w:rsidDel="00000000" w:rsidP="00000000" w:rsidRDefault="00000000" w:rsidRPr="00000000" w14:paraId="00000007">
            <w:pPr>
              <w:widowControl w:val="0"/>
              <w:spacing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Heavy Chains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08">
            <w:pPr>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59%</w:t>
            </w:r>
          </w:p>
        </w:tc>
        <w:tc>
          <w:tcPr>
            <w:shd w:fill="auto" w:val="clear"/>
            <w:tcMar>
              <w:top w:w="100.0" w:type="dxa"/>
              <w:left w:w="100.0" w:type="dxa"/>
              <w:bottom w:w="100.0" w:type="dxa"/>
              <w:right w:w="100.0" w:type="dxa"/>
            </w:tcMar>
            <w:vAlign w:val="top"/>
          </w:tcPr>
          <w:p w:rsidR="00000000" w:rsidDel="00000000" w:rsidP="00000000" w:rsidRDefault="00000000" w:rsidRPr="00000000" w14:paraId="00000009">
            <w:pPr>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75%</w:t>
            </w:r>
          </w:p>
        </w:tc>
      </w:tr>
      <w:tr>
        <w:trPr>
          <w:cantSplit w:val="0"/>
          <w:tblHeader w:val="0"/>
        </w:trPr>
        <w:tc>
          <w:tcPr>
            <w:shd w:fill="b7b7b7" w:val="clear"/>
            <w:tcMar>
              <w:top w:w="100.0" w:type="dxa"/>
              <w:left w:w="100.0" w:type="dxa"/>
              <w:bottom w:w="100.0" w:type="dxa"/>
              <w:right w:w="100.0" w:type="dxa"/>
            </w:tcMar>
            <w:vAlign w:val="top"/>
          </w:tcPr>
          <w:p w:rsidR="00000000" w:rsidDel="00000000" w:rsidP="00000000" w:rsidRDefault="00000000" w:rsidRPr="00000000" w14:paraId="0000000A">
            <w:pPr>
              <w:widowControl w:val="0"/>
              <w:spacing w:line="240" w:lineRule="auto"/>
              <w:jc w:val="center"/>
              <w:rPr>
                <w:rFonts w:ascii="Times New Roman" w:cs="Times New Roman" w:eastAsia="Times New Roman" w:hAnsi="Times New Roman"/>
                <w:b w:val="1"/>
                <w:bCs w:val="1"/>
                <w:sz w:val="24"/>
                <w:szCs w:val="24"/>
              </w:rPr>
            </w:pPr>
            <w:r w:rsidDel="00000000" w:rsidR="00000000" w:rsidRPr="00000000">
              <w:rPr>
                <w:rFonts w:ascii="Times New Roman" w:cs="Times New Roman" w:eastAsia="Times New Roman" w:hAnsi="Times New Roman"/>
                <w:b w:val="1"/>
                <w:bCs w:val="1"/>
                <w:sz w:val="24"/>
                <w:szCs w:val="24"/>
                <w:rtl w:val="0"/>
              </w:rPr>
              <w:t xml:space="preserve">Light Chains</w:t>
            </w:r>
          </w:p>
        </w:tc>
        <w:tc>
          <w:tcPr>
            <w:shd w:fill="auto" w:val="clear"/>
            <w:tcMar>
              <w:top w:w="100.0" w:type="dxa"/>
              <w:left w:w="100.0" w:type="dxa"/>
              <w:bottom w:w="100.0" w:type="dxa"/>
              <w:right w:w="100.0" w:type="dxa"/>
            </w:tcMar>
            <w:vAlign w:val="top"/>
          </w:tcPr>
          <w:p w:rsidR="00000000" w:rsidDel="00000000" w:rsidP="00000000" w:rsidRDefault="00000000" w:rsidRPr="00000000" w14:paraId="0000000B">
            <w:pPr>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62%</w:t>
            </w:r>
          </w:p>
        </w:tc>
        <w:tc>
          <w:tcPr>
            <w:shd w:fill="auto" w:val="clear"/>
            <w:tcMar>
              <w:top w:w="100.0" w:type="dxa"/>
              <w:left w:w="100.0" w:type="dxa"/>
              <w:bottom w:w="100.0" w:type="dxa"/>
              <w:right w:w="100.0" w:type="dxa"/>
            </w:tcMar>
            <w:vAlign w:val="top"/>
          </w:tcPr>
          <w:p w:rsidR="00000000" w:rsidDel="00000000" w:rsidP="00000000" w:rsidRDefault="00000000" w:rsidRPr="00000000" w14:paraId="0000000C">
            <w:pPr>
              <w:widowControl w:val="0"/>
              <w:spacing w:line="240" w:lineRule="auto"/>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76%</w:t>
            </w:r>
          </w:p>
        </w:tc>
      </w:tr>
    </w:tbl>
    <w:p w:rsidR="00000000" w:rsidDel="00000000" w:rsidP="00000000" w:rsidRDefault="00000000" w:rsidRPr="00000000" w14:paraId="0000000D">
      <w:pPr>
        <w:jc w:val="both"/>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tl w:val="0"/>
        </w:rPr>
        <w:t xml:space="preserve">Table S1: Metrics from the structure alignment between heavy chains and light chains between PMB and Mab231. Computed using the Needleman-Wunsh algorithm from NCBI.</w:t>
      </w:r>
    </w:p>
    <w:p w:rsidR="00000000" w:rsidDel="00000000" w:rsidP="00000000" w:rsidRDefault="00000000" w:rsidRPr="00000000" w14:paraId="0000000E">
      <w:pPr>
        <w:jc w:val="both"/>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0F">
      <w:pPr>
        <w:jc w:val="center"/>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114300" distT="114300" distL="114300" distR="114300">
            <wp:extent cx="5699071" cy="3558202"/>
            <wp:effectExtent b="0" l="0" r="0" t="0"/>
            <wp:docPr id="5" name="image7.png"/>
            <a:graphic>
              <a:graphicData uri="http://schemas.openxmlformats.org/drawingml/2006/picture">
                <pic:pic>
                  <pic:nvPicPr>
                    <pic:cNvPr id="0" name="image7.png"/>
                    <pic:cNvPicPr preferRelativeResize="0"/>
                  </pic:nvPicPr>
                  <pic:blipFill>
                    <a:blip r:embed="rId6"/>
                    <a:srcRect b="8166" l="5814" r="8472" t="9479"/>
                    <a:stretch>
                      <a:fillRect/>
                    </a:stretch>
                  </pic:blipFill>
                  <pic:spPr>
                    <a:xfrm>
                      <a:off x="0" y="0"/>
                      <a:ext cx="5699071" cy="3558202"/>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spacing w:line="276" w:lineRule="auto"/>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Figure S1: Definition of the angular descriptors used to characterize antibody conformational states. (A) Schematic representation of the full IgG antibody with the coordinate system used to define Fab orientation relative to the Fc domain. </w:t>
      </w:r>
      <w:r w:rsidDel="00000000" w:rsidR="00000000" w:rsidRPr="00000000">
        <w:rPr>
          <w:rFonts w:ascii="Cambria" w:cs="Cambria" w:eastAsia="Cambria" w:hAnsi="Cambria"/>
          <w:sz w:val="24"/>
          <w:szCs w:val="24"/>
          <w:rtl w:val="0"/>
        </w:rPr>
        <w:t xml:space="preserve">The origin is placed at the center of mass of the Hinge domain (CoM-Hinge, orange dot)</w:t>
      </w:r>
      <w:r w:rsidDel="00000000" w:rsidR="00000000" w:rsidRPr="00000000">
        <w:rPr>
          <w:rFonts w:ascii="Cambria" w:cs="Cambria" w:eastAsia="Cambria" w:hAnsi="Cambria"/>
          <w:sz w:val="24"/>
          <w:szCs w:val="24"/>
          <w:rtl w:val="0"/>
        </w:rPr>
        <w:t xml:space="preserve">. The z-axis is defined as the vector from the hinge region to CoM-CH2, oriented toward the Fc C-terminus. The x-axis lies in the plane of the antibody and is perpendicular to z, while the y-axis completes the right-handed coordinate system. The polar angles θ₁ and θ₂ (red dashed arcs) measure the angle between the z-axis and the principal inertia axis of Fab1 and Fab2, respectively. The azimuthal angles φ₁ and φ₂ (green dashed arrows) describe the out-of-plane rotation of each Fab arm around the Fc long axis. The inter-Fab angle θ InterFabs (blue dashed arc) is defined as the angle between the two Fab principal inertia axes. The hinge region is indicated by the orange circle. Heavy chain domains (VH, CH1, CH2, CH3) are shown in shades of blue; light chain domains (VL, CL) are shown in shades of green. (B) Close-up of a single Fab domain illustrating the elbow angle (red dashed lines), defined as the angle between the VH→VL center-of-mass vector and the CH1→CL center-of-mass vector. This angle quantifies the degree of bending between the variable and constant regions of the Fab, providing a measure of intra-Fab rigidity. The azimuthal angle φ (green dashed arrow) is also indicated for reference.</w:t>
      </w:r>
    </w:p>
    <w:p w:rsidR="00000000" w:rsidDel="00000000" w:rsidP="00000000" w:rsidRDefault="00000000" w:rsidRPr="00000000" w14:paraId="00000011">
      <w:pPr>
        <w:spacing w:line="276" w:lineRule="auto"/>
        <w:jc w:val="both"/>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12">
      <w:pPr>
        <w:spacing w:line="276" w:lineRule="auto"/>
        <w:jc w:val="both"/>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5731200" cy="5003800"/>
            <wp:effectExtent b="0" l="0" r="0" t="0"/>
            <wp:docPr id="3" name="image2.png"/>
            <a:graphic>
              <a:graphicData uri="http://schemas.openxmlformats.org/drawingml/2006/picture">
                <pic:pic>
                  <pic:nvPicPr>
                    <pic:cNvPr id="0" name="image2.png"/>
                    <pic:cNvPicPr preferRelativeResize="0"/>
                  </pic:nvPicPr>
                  <pic:blipFill>
                    <a:blip r:embed="rId7"/>
                    <a:srcRect b="0" l="0" r="0" t="0"/>
                    <a:stretch>
                      <a:fillRect/>
                    </a:stretch>
                  </pic:blipFill>
                  <pic:spPr>
                    <a:xfrm>
                      <a:off x="0" y="0"/>
                      <a:ext cx="5731200" cy="5003800"/>
                    </a:xfrm>
                    <a:prstGeom prst="rect"/>
                    <a:ln/>
                  </pic:spPr>
                </pic:pic>
              </a:graphicData>
            </a:graphic>
          </wp:inline>
        </w:drawing>
      </w:r>
      <w:r w:rsidDel="00000000" w:rsidR="00000000" w:rsidRPr="00000000">
        <w:rPr>
          <w:rtl w:val="0"/>
        </w:rPr>
      </w:r>
    </w:p>
    <w:p w:rsidR="00000000" w:rsidDel="00000000" w:rsidP="00000000" w:rsidRDefault="00000000" w:rsidRPr="00000000" w14:paraId="00000013">
      <w:pPr>
        <w:spacing w:line="276" w:lineRule="auto"/>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Figure S2: Evolution of the mean RMSD on each replicate for PMB without (A) and with (B) the carbohydrates. And Mab231 without (C) and with (D) the N-glycosylation. The blue curve is the RMSD of the full backbone of the antibody. The red is the Fc-1 chain. The purple is the Fc-2 chain. The green is the Fab-2 region. And the yellow is the Fab-1 region.</w:t>
      </w:r>
    </w:p>
    <w:p w:rsidR="00000000" w:rsidDel="00000000" w:rsidP="00000000" w:rsidRDefault="00000000" w:rsidRPr="00000000" w14:paraId="00000014">
      <w:pPr>
        <w:spacing w:line="276" w:lineRule="auto"/>
        <w:jc w:val="both"/>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15">
      <w:pPr>
        <w:spacing w:line="276" w:lineRule="auto"/>
        <w:jc w:val="both"/>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16">
      <w:pPr>
        <w:spacing w:line="276" w:lineRule="auto"/>
        <w:jc w:val="both"/>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5731200" cy="4076700"/>
            <wp:effectExtent b="0" l="0" r="0" t="0"/>
            <wp:docPr id="9" name="image8.png"/>
            <a:graphic>
              <a:graphicData uri="http://schemas.openxmlformats.org/drawingml/2006/picture">
                <pic:pic>
                  <pic:nvPicPr>
                    <pic:cNvPr id="0" name="image8.png"/>
                    <pic:cNvPicPr preferRelativeResize="0"/>
                  </pic:nvPicPr>
                  <pic:blipFill>
                    <a:blip r:embed="rId8"/>
                    <a:srcRect b="0" l="0" r="0" t="0"/>
                    <a:stretch>
                      <a:fillRect/>
                    </a:stretch>
                  </pic:blipFill>
                  <pic:spPr>
                    <a:xfrm>
                      <a:off x="0" y="0"/>
                      <a:ext cx="5731200" cy="4076700"/>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spacing w:line="276" w:lineRule="auto"/>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Figure S3: E</w:t>
      </w:r>
      <w:r w:rsidDel="00000000" w:rsidR="00000000" w:rsidRPr="00000000">
        <w:rPr>
          <w:rFonts w:ascii="Cambria" w:cs="Cambria" w:eastAsia="Cambria" w:hAnsi="Cambria"/>
          <w:sz w:val="24"/>
          <w:szCs w:val="24"/>
          <w:rtl w:val="0"/>
        </w:rPr>
        <w:t xml:space="preserve">volution of the rate of the average native contacts (NC, A &amp; C) and non-natives contacts (NN, B &amp; D). Glycosylated systems are represented in blue and aglycosylated systems are represented in orange in each plot. This is calculated for both Pembrolizumab (A &amp; B) and Mab231 (C &amp; D).</w:t>
      </w:r>
      <w:r w:rsidDel="00000000" w:rsidR="00000000" w:rsidRPr="00000000">
        <w:rPr>
          <w:rtl w:val="0"/>
        </w:rPr>
      </w:r>
    </w:p>
    <w:p w:rsidR="00000000" w:rsidDel="00000000" w:rsidP="00000000" w:rsidRDefault="00000000" w:rsidRPr="00000000" w14:paraId="00000018">
      <w:pPr>
        <w:spacing w:line="276" w:lineRule="auto"/>
        <w:jc w:val="both"/>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5731200" cy="4546600"/>
            <wp:effectExtent b="0" l="0" r="0" t="0"/>
            <wp:docPr id="14" name="image10.png"/>
            <a:graphic>
              <a:graphicData uri="http://schemas.openxmlformats.org/drawingml/2006/picture">
                <pic:pic>
                  <pic:nvPicPr>
                    <pic:cNvPr id="0" name="image10.png"/>
                    <pic:cNvPicPr preferRelativeResize="0"/>
                  </pic:nvPicPr>
                  <pic:blipFill>
                    <a:blip r:embed="rId9"/>
                    <a:srcRect b="0" l="0" r="0" t="0"/>
                    <a:stretch>
                      <a:fillRect/>
                    </a:stretch>
                  </pic:blipFill>
                  <pic:spPr>
                    <a:xfrm>
                      <a:off x="0" y="0"/>
                      <a:ext cx="5731200" cy="4546600"/>
                    </a:xfrm>
                    <a:prstGeom prst="rect"/>
                    <a:ln/>
                  </pic:spPr>
                </pic:pic>
              </a:graphicData>
            </a:graphic>
          </wp:inline>
        </w:drawing>
      </w:r>
      <w:r w:rsidDel="00000000" w:rsidR="00000000" w:rsidRPr="00000000">
        <w:rPr>
          <w:rFonts w:ascii="Cambria" w:cs="Cambria" w:eastAsia="Cambria" w:hAnsi="Cambria"/>
          <w:sz w:val="24"/>
          <w:szCs w:val="24"/>
          <w:rtl w:val="0"/>
        </w:rPr>
        <w:t xml:space="preserve">Figure S4: Measure of the mean </w:t>
      </w:r>
      <w:r w:rsidDel="00000000" w:rsidR="00000000" w:rsidRPr="00000000">
        <w:rPr>
          <w:rFonts w:ascii="Cambria" w:cs="Cambria" w:eastAsia="Cambria" w:hAnsi="Cambria"/>
          <w:sz w:val="24"/>
          <w:szCs w:val="24"/>
          <w:rtl w:val="0"/>
        </w:rPr>
        <w:t xml:space="preserve">N</w:t>
      </w:r>
      <w:r w:rsidDel="00000000" w:rsidR="00000000" w:rsidRPr="00000000">
        <w:rPr>
          <w:rFonts w:ascii="Cambria" w:cs="Cambria" w:eastAsia="Cambria" w:hAnsi="Cambria"/>
          <w:sz w:val="24"/>
          <w:szCs w:val="24"/>
          <w:vertAlign w:val="subscript"/>
          <w:rtl w:val="0"/>
        </w:rPr>
        <w:t xml:space="preserve">eqs</w:t>
      </w:r>
      <w:r w:rsidDel="00000000" w:rsidR="00000000" w:rsidRPr="00000000">
        <w:rPr>
          <w:rFonts w:ascii="Cambria" w:cs="Cambria" w:eastAsia="Cambria" w:hAnsi="Cambria"/>
          <w:sz w:val="24"/>
          <w:szCs w:val="24"/>
          <w:rtl w:val="0"/>
        </w:rPr>
        <w:t xml:space="preserve"> for PMB (A) and Mab231 (B) for both conditions. The orange curve represents the mean Neq without the N-glycosylation and the blue one, with the N-glycosylation. Each red line represents the position of the residue linked to the carbohydrate. Dash represents two domains that are disconnected in the structure.</w:t>
      </w:r>
    </w:p>
    <w:p w:rsidR="00000000" w:rsidDel="00000000" w:rsidP="00000000" w:rsidRDefault="00000000" w:rsidRPr="00000000" w14:paraId="00000019">
      <w:pPr>
        <w:spacing w:line="276"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5731200" cy="2997200"/>
            <wp:effectExtent b="0" l="0" r="0" t="0"/>
            <wp:docPr id="4"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5731200" cy="2997200"/>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spacing w:line="276"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5731200" cy="2819400"/>
            <wp:effectExtent b="0" l="0" r="0" t="0"/>
            <wp:docPr id="11" name="image11.png"/>
            <a:graphic>
              <a:graphicData uri="http://schemas.openxmlformats.org/drawingml/2006/picture">
                <pic:pic>
                  <pic:nvPicPr>
                    <pic:cNvPr id="0" name="image11.png"/>
                    <pic:cNvPicPr preferRelativeResize="0"/>
                  </pic:nvPicPr>
                  <pic:blipFill>
                    <a:blip r:embed="rId11"/>
                    <a:srcRect b="0" l="0" r="0" t="0"/>
                    <a:stretch>
                      <a:fillRect/>
                    </a:stretch>
                  </pic:blipFill>
                  <pic:spPr>
                    <a:xfrm>
                      <a:off x="0" y="0"/>
                      <a:ext cx="5731200" cy="281940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spacing w:line="276" w:lineRule="auto"/>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Figure S5: DCCM for PMB (A) and (B) and Mab231 (C) and (D). With and without the N-glycosylation. The values go from -1 to 1. The X and Y axis represent the amino acids composing the protein. The orange square represents the amino acids from the Fab-1. The green square represents the amino acids from Fab-2. The red square represents the amino acids from the Fc-1. The pink square represents the amino acids from the Fc-2.</w:t>
      </w:r>
    </w:p>
    <w:p w:rsidR="00000000" w:rsidDel="00000000" w:rsidP="00000000" w:rsidRDefault="00000000" w:rsidRPr="00000000" w14:paraId="0000001C">
      <w:pPr>
        <w:spacing w:line="276" w:lineRule="auto"/>
        <w:jc w:val="both"/>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1D">
      <w:pPr>
        <w:spacing w:line="276" w:lineRule="auto"/>
        <w:jc w:val="both"/>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5731200" cy="3644900"/>
            <wp:effectExtent b="0" l="0" r="0" t="0"/>
            <wp:docPr id="8" name="image9.png"/>
            <a:graphic>
              <a:graphicData uri="http://schemas.openxmlformats.org/drawingml/2006/picture">
                <pic:pic>
                  <pic:nvPicPr>
                    <pic:cNvPr id="0" name="image9.png"/>
                    <pic:cNvPicPr preferRelativeResize="0"/>
                  </pic:nvPicPr>
                  <pic:blipFill>
                    <a:blip r:embed="rId12"/>
                    <a:srcRect b="0" l="0" r="0" t="0"/>
                    <a:stretch>
                      <a:fillRect/>
                    </a:stretch>
                  </pic:blipFill>
                  <pic:spPr>
                    <a:xfrm>
                      <a:off x="0" y="0"/>
                      <a:ext cx="5731200" cy="3644900"/>
                    </a:xfrm>
                    <a:prstGeom prst="rect"/>
                    <a:ln/>
                  </pic:spPr>
                </pic:pic>
              </a:graphicData>
            </a:graphic>
          </wp:inline>
        </w:drawing>
      </w:r>
      <w:r w:rsidDel="00000000" w:rsidR="00000000" w:rsidRPr="00000000">
        <w:rPr>
          <w:rtl w:val="0"/>
        </w:rPr>
      </w:r>
    </w:p>
    <w:p w:rsidR="00000000" w:rsidDel="00000000" w:rsidP="00000000" w:rsidRDefault="00000000" w:rsidRPr="00000000" w14:paraId="0000001E">
      <w:pPr>
        <w:spacing w:line="276" w:lineRule="auto"/>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Figure S6: Projection on the structure of the amino acids which have correlated movements between each other. With and without the presence of the N-glycosylation. PMB is represented without the glycosylation in A and with B. Mab231 is represented without the glycosylation in C and with D. A red link exists when the correlation is between 0.8 and 1 between two amino acids.</w:t>
      </w:r>
    </w:p>
    <w:p w:rsidR="00000000" w:rsidDel="00000000" w:rsidP="00000000" w:rsidRDefault="00000000" w:rsidRPr="00000000" w14:paraId="0000001F">
      <w:pPr>
        <w:spacing w:line="276" w:lineRule="auto"/>
        <w:jc w:val="both"/>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20">
      <w:pPr>
        <w:spacing w:line="276" w:lineRule="auto"/>
        <w:jc w:val="both"/>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6434138" cy="1936292"/>
            <wp:effectExtent b="0" l="0" r="0" t="0"/>
            <wp:docPr id="15" name="image3.png"/>
            <a:graphic>
              <a:graphicData uri="http://schemas.openxmlformats.org/drawingml/2006/picture">
                <pic:pic>
                  <pic:nvPicPr>
                    <pic:cNvPr id="0" name="image3.png"/>
                    <pic:cNvPicPr preferRelativeResize="0"/>
                  </pic:nvPicPr>
                  <pic:blipFill>
                    <a:blip r:embed="rId13"/>
                    <a:srcRect b="0" l="0" r="0" t="0"/>
                    <a:stretch>
                      <a:fillRect/>
                    </a:stretch>
                  </pic:blipFill>
                  <pic:spPr>
                    <a:xfrm>
                      <a:off x="0" y="0"/>
                      <a:ext cx="6434138" cy="1936292"/>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spacing w:line="276" w:lineRule="auto"/>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Figure S7: Projection of the pairs of residues that present the difference in the difference DCCM for Mab231 (A) and PMB (B).</w:t>
      </w:r>
    </w:p>
    <w:p w:rsidR="00000000" w:rsidDel="00000000" w:rsidP="00000000" w:rsidRDefault="00000000" w:rsidRPr="00000000" w14:paraId="00000022">
      <w:pPr>
        <w:spacing w:line="276" w:lineRule="auto"/>
        <w:jc w:val="both"/>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23">
      <w:pPr>
        <w:spacing w:line="276"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19050" distT="19050" distL="19050" distR="19050">
            <wp:extent cx="5073002" cy="5129213"/>
            <wp:effectExtent b="0" l="0" r="0" t="0"/>
            <wp:docPr id="6" name="image1.png"/>
            <a:graphic>
              <a:graphicData uri="http://schemas.openxmlformats.org/drawingml/2006/picture">
                <pic:pic>
                  <pic:nvPicPr>
                    <pic:cNvPr id="0" name="image1.png"/>
                    <pic:cNvPicPr preferRelativeResize="0"/>
                  </pic:nvPicPr>
                  <pic:blipFill>
                    <a:blip r:embed="rId14"/>
                    <a:srcRect b="0" l="25495" r="30204" t="0"/>
                    <a:stretch>
                      <a:fillRect/>
                    </a:stretch>
                  </pic:blipFill>
                  <pic:spPr>
                    <a:xfrm>
                      <a:off x="0" y="0"/>
                      <a:ext cx="5073002" cy="5129213"/>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spacing w:line="276" w:lineRule="auto"/>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Figure S8: 𝛌 conformation obtain</w:t>
      </w:r>
      <w:r w:rsidDel="00000000" w:rsidR="00000000" w:rsidRPr="00000000">
        <w:rPr>
          <w:rFonts w:ascii="Cambria" w:cs="Cambria" w:eastAsia="Cambria" w:hAnsi="Cambria"/>
          <w:sz w:val="24"/>
          <w:szCs w:val="24"/>
          <w:rtl w:val="0"/>
        </w:rPr>
        <w:t xml:space="preserve">ed by Mab231 in the </w:t>
      </w:r>
      <w:r w:rsidDel="00000000" w:rsidR="00000000" w:rsidRPr="00000000">
        <w:rPr>
          <w:rFonts w:ascii="Cambria" w:cs="Cambria" w:eastAsia="Cambria" w:hAnsi="Cambria"/>
          <w:sz w:val="24"/>
          <w:szCs w:val="24"/>
          <w:rtl w:val="0"/>
        </w:rPr>
        <w:t xml:space="preserve">simulations</w:t>
      </w:r>
      <w:hyperlink r:id="rId15">
        <w:r w:rsidDel="00000000" w:rsidR="00000000" w:rsidRPr="00000000">
          <w:rPr>
            <w:rFonts w:ascii="Cambria" w:cs="Cambria" w:eastAsia="Cambria" w:hAnsi="Cambria"/>
            <w:color w:val="1155cc"/>
            <w:sz w:val="24"/>
            <w:szCs w:val="24"/>
            <w:u w:val="single"/>
            <w:rtl w:val="0"/>
          </w:rPr>
          <w:t xml:space="preserve">. </w:t>
        </w:r>
      </w:hyperlink>
      <w:r w:rsidDel="00000000" w:rsidR="00000000" w:rsidRPr="00000000">
        <w:rPr>
          <w:rFonts w:ascii="Cambria" w:cs="Cambria" w:eastAsia="Cambria" w:hAnsi="Cambria"/>
          <w:sz w:val="24"/>
          <w:szCs w:val="24"/>
          <w:rtl w:val="0"/>
        </w:rPr>
        <w:t xml:space="preserve">The blue chains are the heavy chains and the orange chains are the light chains. The glycans are  represented in grey licorices.</w:t>
      </w:r>
      <w:r w:rsidDel="00000000" w:rsidR="00000000" w:rsidRPr="00000000">
        <w:rPr>
          <w:rtl w:val="0"/>
        </w:rPr>
      </w:r>
    </w:p>
    <w:tbl>
      <w:tblPr>
        <w:tblStyle w:val="Table2"/>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029"/>
        <w:tblGridChange w:id="0">
          <w:tblGrid>
            <w:gridCol w:w="9029"/>
          </w:tblGrid>
        </w:tblGridChange>
      </w:tblGrid>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tcPr>
          <w:p w:rsidR="00000000" w:rsidDel="00000000" w:rsidP="00000000" w:rsidRDefault="00000000" w:rsidRPr="00000000" w14:paraId="00000025">
            <w:pPr>
              <w:spacing w:line="276" w:lineRule="auto"/>
              <w:jc w:val="both"/>
              <w:rPr>
                <w:rFonts w:ascii="Cambria" w:cs="Cambria" w:eastAsia="Cambria" w:hAnsi="Cambria"/>
                <w:b w:val="1"/>
                <w:bCs w:val="1"/>
                <w:sz w:val="30"/>
                <w:szCs w:val="30"/>
              </w:rPr>
            </w:pPr>
            <w:r w:rsidDel="00000000" w:rsidR="00000000" w:rsidRPr="00000000">
              <w:rPr>
                <w:rFonts w:ascii="Cambria" w:cs="Cambria" w:eastAsia="Cambria" w:hAnsi="Cambria"/>
                <w:b w:val="1"/>
                <w:bCs w:val="1"/>
                <w:sz w:val="30"/>
                <w:szCs w:val="30"/>
                <w:rtl w:val="0"/>
              </w:rPr>
              <w:t xml:space="preserve">A</w:t>
            </w:r>
          </w:p>
          <w:p w:rsidR="00000000" w:rsidDel="00000000" w:rsidP="00000000" w:rsidRDefault="00000000" w:rsidRPr="00000000" w14:paraId="00000026">
            <w:pPr>
              <w:spacing w:line="276"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5357813" cy="3697645"/>
                  <wp:effectExtent b="0" l="0" r="0" t="0"/>
                  <wp:docPr id="12" name="image14.png"/>
                  <a:graphic>
                    <a:graphicData uri="http://schemas.openxmlformats.org/drawingml/2006/picture">
                      <pic:pic>
                        <pic:nvPicPr>
                          <pic:cNvPr id="0" name="image14.png"/>
                          <pic:cNvPicPr preferRelativeResize="0"/>
                        </pic:nvPicPr>
                        <pic:blipFill>
                          <a:blip r:embed="rId16"/>
                          <a:srcRect b="0" l="24252" r="0" t="0"/>
                          <a:stretch>
                            <a:fillRect/>
                          </a:stretch>
                        </pic:blipFill>
                        <pic:spPr>
                          <a:xfrm>
                            <a:off x="0" y="0"/>
                            <a:ext cx="5357813" cy="3697645"/>
                          </a:xfrm>
                          <a:prstGeom prst="rect"/>
                          <a:ln/>
                        </pic:spPr>
                      </pic:pic>
                    </a:graphicData>
                  </a:graphic>
                </wp:inline>
              </w:drawing>
            </w:r>
            <w:r w:rsidDel="00000000" w:rsidR="00000000" w:rsidRPr="00000000">
              <w:rPr>
                <w:rtl w:val="0"/>
              </w:rPr>
            </w:r>
          </w:p>
        </w:tc>
      </w:tr>
      <w:tr>
        <w:trPr>
          <w:cantSplit w:val="0"/>
          <w:tblHeader w:val="0"/>
        </w:trPr>
        <w:tc>
          <w:tcPr>
            <w:tcBorders>
              <w:top w:color="ffffff" w:space="0" w:sz="8" w:val="single"/>
              <w:left w:color="ffffff" w:space="0" w:sz="8" w:val="single"/>
              <w:bottom w:color="ffffff" w:space="0" w:sz="8" w:val="single"/>
              <w:right w:color="ffffff" w:space="0" w:sz="8" w:val="single"/>
            </w:tcBorders>
            <w:shd w:fill="auto" w:val="clear"/>
            <w:tcMar>
              <w:top w:w="100.0" w:type="dxa"/>
              <w:left w:w="100.0" w:type="dxa"/>
              <w:bottom w:w="100.0" w:type="dxa"/>
              <w:right w:w="100.0" w:type="dxa"/>
            </w:tcMar>
          </w:tcPr>
          <w:p w:rsidR="00000000" w:rsidDel="00000000" w:rsidP="00000000" w:rsidRDefault="00000000" w:rsidRPr="00000000" w14:paraId="00000027">
            <w:pPr>
              <w:spacing w:line="276" w:lineRule="auto"/>
              <w:jc w:val="both"/>
              <w:rPr>
                <w:rFonts w:ascii="Cambria" w:cs="Cambria" w:eastAsia="Cambria" w:hAnsi="Cambria"/>
                <w:b w:val="1"/>
                <w:bCs w:val="1"/>
                <w:sz w:val="30"/>
                <w:szCs w:val="30"/>
              </w:rPr>
            </w:pPr>
            <w:r w:rsidDel="00000000" w:rsidR="00000000" w:rsidRPr="00000000">
              <w:rPr>
                <w:rFonts w:ascii="Cambria" w:cs="Cambria" w:eastAsia="Cambria" w:hAnsi="Cambria"/>
                <w:b w:val="1"/>
                <w:bCs w:val="1"/>
                <w:sz w:val="30"/>
                <w:szCs w:val="30"/>
                <w:rtl w:val="0"/>
              </w:rPr>
              <w:t xml:space="preserve">B</w:t>
            </w:r>
          </w:p>
          <w:p w:rsidR="00000000" w:rsidDel="00000000" w:rsidP="00000000" w:rsidRDefault="00000000" w:rsidRPr="00000000" w14:paraId="00000028">
            <w:pPr>
              <w:spacing w:line="276" w:lineRule="auto"/>
              <w:jc w:val="center"/>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4233863" cy="3082685"/>
                  <wp:effectExtent b="0" l="0" r="0" t="0"/>
                  <wp:docPr id="7" name="image12.png"/>
                  <a:graphic>
                    <a:graphicData uri="http://schemas.openxmlformats.org/drawingml/2006/picture">
                      <pic:pic>
                        <pic:nvPicPr>
                          <pic:cNvPr id="0" name="image12.png"/>
                          <pic:cNvPicPr preferRelativeResize="0"/>
                        </pic:nvPicPr>
                        <pic:blipFill>
                          <a:blip r:embed="rId17"/>
                          <a:srcRect b="0" l="0" r="0" t="0"/>
                          <a:stretch>
                            <a:fillRect/>
                          </a:stretch>
                        </pic:blipFill>
                        <pic:spPr>
                          <a:xfrm>
                            <a:off x="0" y="0"/>
                            <a:ext cx="4233863" cy="3082685"/>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29">
      <w:pPr>
        <w:spacing w:line="276" w:lineRule="auto"/>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Figure S9: Examples of conformations where Fabs get closer to the carbohydrates, for PMB (A) and Mab231 (B)</w:t>
      </w:r>
    </w:p>
    <w:p w:rsidR="00000000" w:rsidDel="00000000" w:rsidP="00000000" w:rsidRDefault="00000000" w:rsidRPr="00000000" w14:paraId="0000002A">
      <w:pPr>
        <w:spacing w:line="276" w:lineRule="auto"/>
        <w:jc w:val="both"/>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2B">
      <w:pPr>
        <w:spacing w:line="276" w:lineRule="auto"/>
        <w:jc w:val="both"/>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2C">
      <w:pPr>
        <w:spacing w:line="276" w:lineRule="auto"/>
        <w:jc w:val="both"/>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5731200" cy="2349500"/>
            <wp:effectExtent b="0" l="0" r="0" t="0"/>
            <wp:docPr id="1" name="image4.png"/>
            <a:graphic>
              <a:graphicData uri="http://schemas.openxmlformats.org/drawingml/2006/picture">
                <pic:pic>
                  <pic:nvPicPr>
                    <pic:cNvPr id="0" name="image4.png"/>
                    <pic:cNvPicPr preferRelativeResize="0"/>
                  </pic:nvPicPr>
                  <pic:blipFill>
                    <a:blip r:embed="rId18"/>
                    <a:srcRect b="0" l="0" r="0" t="0"/>
                    <a:stretch>
                      <a:fillRect/>
                    </a:stretch>
                  </pic:blipFill>
                  <pic:spPr>
                    <a:xfrm>
                      <a:off x="0" y="0"/>
                      <a:ext cx="5731200" cy="2349500"/>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spacing w:line="276" w:lineRule="auto"/>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Figure S10: PaCMAP analysis applied on Cɑ-Cɑ distance evolution. The orange dots are the glycosylated data. The blue dots are aglycosylated data.</w:t>
      </w:r>
    </w:p>
    <w:p w:rsidR="00000000" w:rsidDel="00000000" w:rsidP="00000000" w:rsidRDefault="00000000" w:rsidRPr="00000000" w14:paraId="0000002E">
      <w:pPr>
        <w:spacing w:line="276" w:lineRule="auto"/>
        <w:jc w:val="both"/>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2F">
      <w:pPr>
        <w:spacing w:line="276" w:lineRule="auto"/>
        <w:jc w:val="both"/>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5731200" cy="2400300"/>
            <wp:effectExtent b="0" l="0" r="0" t="0"/>
            <wp:docPr id="13" name="image5.png"/>
            <a:graphic>
              <a:graphicData uri="http://schemas.openxmlformats.org/drawingml/2006/picture">
                <pic:pic>
                  <pic:nvPicPr>
                    <pic:cNvPr id="0" name="image5.png"/>
                    <pic:cNvPicPr preferRelativeResize="0"/>
                  </pic:nvPicPr>
                  <pic:blipFill>
                    <a:blip r:embed="rId19"/>
                    <a:srcRect b="0" l="0" r="0" t="0"/>
                    <a:stretch>
                      <a:fillRect/>
                    </a:stretch>
                  </pic:blipFill>
                  <pic:spPr>
                    <a:xfrm>
                      <a:off x="0" y="0"/>
                      <a:ext cx="5731200" cy="2400300"/>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spacing w:line="276" w:lineRule="auto"/>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Figure S11: UMAP realised data from the difference DCCM. For PMB (</w:t>
      </w:r>
      <w:r w:rsidDel="00000000" w:rsidR="00000000" w:rsidRPr="00000000">
        <w:rPr>
          <w:rFonts w:ascii="Cambria" w:cs="Cambria" w:eastAsia="Cambria" w:hAnsi="Cambria"/>
          <w:b w:val="1"/>
          <w:bCs w:val="1"/>
          <w:sz w:val="24"/>
          <w:szCs w:val="24"/>
          <w:rtl w:val="0"/>
        </w:rPr>
        <w:t xml:space="preserve">A</w:t>
      </w:r>
      <w:r w:rsidDel="00000000" w:rsidR="00000000" w:rsidRPr="00000000">
        <w:rPr>
          <w:rFonts w:ascii="Cambria" w:cs="Cambria" w:eastAsia="Cambria" w:hAnsi="Cambria"/>
          <w:sz w:val="24"/>
          <w:szCs w:val="24"/>
          <w:rtl w:val="0"/>
        </w:rPr>
        <w:t xml:space="preserve">) and Mab231 (</w:t>
      </w:r>
      <w:r w:rsidDel="00000000" w:rsidR="00000000" w:rsidRPr="00000000">
        <w:rPr>
          <w:rFonts w:ascii="Cambria" w:cs="Cambria" w:eastAsia="Cambria" w:hAnsi="Cambria"/>
          <w:b w:val="1"/>
          <w:bCs w:val="1"/>
          <w:sz w:val="24"/>
          <w:szCs w:val="24"/>
          <w:rtl w:val="0"/>
        </w:rPr>
        <w:t xml:space="preserve">B</w:t>
      </w:r>
      <w:r w:rsidDel="00000000" w:rsidR="00000000" w:rsidRPr="00000000">
        <w:rPr>
          <w:rFonts w:ascii="Cambria" w:cs="Cambria" w:eastAsia="Cambria" w:hAnsi="Cambria"/>
          <w:sz w:val="24"/>
          <w:szCs w:val="24"/>
          <w:rtl w:val="0"/>
        </w:rPr>
        <w:t xml:space="preserve">). The blue dots are the aglycosylated data, the orange dots are the glycosylated data.</w:t>
      </w:r>
    </w:p>
    <w:p w:rsidR="00000000" w:rsidDel="00000000" w:rsidP="00000000" w:rsidRDefault="00000000" w:rsidRPr="00000000" w14:paraId="00000031">
      <w:pPr>
        <w:spacing w:line="276" w:lineRule="auto"/>
        <w:jc w:val="both"/>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32">
      <w:pPr>
        <w:spacing w:line="276" w:lineRule="auto"/>
        <w:jc w:val="both"/>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5731200" cy="2413000"/>
            <wp:effectExtent b="0" l="0" r="0" t="0"/>
            <wp:docPr id="10" name="image15.png"/>
            <a:graphic>
              <a:graphicData uri="http://schemas.openxmlformats.org/drawingml/2006/picture">
                <pic:pic>
                  <pic:nvPicPr>
                    <pic:cNvPr id="0" name="image15.png"/>
                    <pic:cNvPicPr preferRelativeResize="0"/>
                  </pic:nvPicPr>
                  <pic:blipFill>
                    <a:blip r:embed="rId20"/>
                    <a:srcRect b="0" l="0" r="0" t="0"/>
                    <a:stretch>
                      <a:fillRect/>
                    </a:stretch>
                  </pic:blipFill>
                  <pic:spPr>
                    <a:xfrm>
                      <a:off x="0" y="0"/>
                      <a:ext cx="5731200" cy="2413000"/>
                    </a:xfrm>
                    <a:prstGeom prst="rect"/>
                    <a:ln/>
                  </pic:spPr>
                </pic:pic>
              </a:graphicData>
            </a:graphic>
          </wp:inline>
        </w:drawing>
      </w:r>
      <w:r w:rsidDel="00000000" w:rsidR="00000000" w:rsidRPr="00000000">
        <w:rPr>
          <w:rFonts w:ascii="Cambria" w:cs="Cambria" w:eastAsia="Cambria" w:hAnsi="Cambria"/>
          <w:sz w:val="24"/>
          <w:szCs w:val="24"/>
          <w:rtl w:val="0"/>
        </w:rPr>
        <w:t xml:space="preserve">Figure S12: T-SNE realised data from the difference DCCM. For PMB (</w:t>
      </w:r>
      <w:r w:rsidDel="00000000" w:rsidR="00000000" w:rsidRPr="00000000">
        <w:rPr>
          <w:rFonts w:ascii="Cambria" w:cs="Cambria" w:eastAsia="Cambria" w:hAnsi="Cambria"/>
          <w:b w:val="1"/>
          <w:bCs w:val="1"/>
          <w:sz w:val="24"/>
          <w:szCs w:val="24"/>
          <w:rtl w:val="0"/>
        </w:rPr>
        <w:t xml:space="preserve">A</w:t>
      </w:r>
      <w:r w:rsidDel="00000000" w:rsidR="00000000" w:rsidRPr="00000000">
        <w:rPr>
          <w:rFonts w:ascii="Cambria" w:cs="Cambria" w:eastAsia="Cambria" w:hAnsi="Cambria"/>
          <w:sz w:val="24"/>
          <w:szCs w:val="24"/>
          <w:rtl w:val="0"/>
        </w:rPr>
        <w:t xml:space="preserve">) and Mab231 (</w:t>
      </w:r>
      <w:r w:rsidDel="00000000" w:rsidR="00000000" w:rsidRPr="00000000">
        <w:rPr>
          <w:rFonts w:ascii="Cambria" w:cs="Cambria" w:eastAsia="Cambria" w:hAnsi="Cambria"/>
          <w:b w:val="1"/>
          <w:bCs w:val="1"/>
          <w:sz w:val="24"/>
          <w:szCs w:val="24"/>
          <w:rtl w:val="0"/>
        </w:rPr>
        <w:t xml:space="preserve">B</w:t>
      </w:r>
      <w:r w:rsidDel="00000000" w:rsidR="00000000" w:rsidRPr="00000000">
        <w:rPr>
          <w:rFonts w:ascii="Cambria" w:cs="Cambria" w:eastAsia="Cambria" w:hAnsi="Cambria"/>
          <w:sz w:val="24"/>
          <w:szCs w:val="24"/>
          <w:rtl w:val="0"/>
        </w:rPr>
        <w:t xml:space="preserve">). The blue dots are the aglycosylated data, the orange dots are the glycosylated data.</w:t>
      </w:r>
    </w:p>
    <w:p w:rsidR="00000000" w:rsidDel="00000000" w:rsidP="00000000" w:rsidRDefault="00000000" w:rsidRPr="00000000" w14:paraId="00000033">
      <w:pPr>
        <w:spacing w:line="276" w:lineRule="auto"/>
        <w:jc w:val="both"/>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34">
      <w:pPr>
        <w:spacing w:line="276" w:lineRule="auto"/>
        <w:jc w:val="both"/>
        <w:rPr>
          <w:rFonts w:ascii="Cambria" w:cs="Cambria" w:eastAsia="Cambria" w:hAnsi="Cambria"/>
          <w:sz w:val="24"/>
          <w:szCs w:val="24"/>
        </w:rPr>
      </w:pPr>
      <w:r w:rsidDel="00000000" w:rsidR="00000000" w:rsidRPr="00000000">
        <w:rPr>
          <w:rFonts w:ascii="Cambria" w:cs="Cambria" w:eastAsia="Cambria" w:hAnsi="Cambria"/>
          <w:sz w:val="24"/>
          <w:szCs w:val="24"/>
        </w:rPr>
        <w:drawing>
          <wp:inline distB="114300" distT="114300" distL="114300" distR="114300">
            <wp:extent cx="5731200" cy="4597400"/>
            <wp:effectExtent b="0" l="0" r="0" t="0"/>
            <wp:docPr id="2" name="image6.png"/>
            <a:graphic>
              <a:graphicData uri="http://schemas.openxmlformats.org/drawingml/2006/picture">
                <pic:pic>
                  <pic:nvPicPr>
                    <pic:cNvPr id="0" name="image6.png"/>
                    <pic:cNvPicPr preferRelativeResize="0"/>
                  </pic:nvPicPr>
                  <pic:blipFill>
                    <a:blip r:embed="rId21"/>
                    <a:srcRect b="0" l="0" r="0" t="0"/>
                    <a:stretch>
                      <a:fillRect/>
                    </a:stretch>
                  </pic:blipFill>
                  <pic:spPr>
                    <a:xfrm>
                      <a:off x="0" y="0"/>
                      <a:ext cx="5731200" cy="4597400"/>
                    </a:xfrm>
                    <a:prstGeom prst="rect"/>
                    <a:ln/>
                  </pic:spPr>
                </pic:pic>
              </a:graphicData>
            </a:graphic>
          </wp:inline>
        </w:drawing>
      </w:r>
      <w:r w:rsidDel="00000000" w:rsidR="00000000" w:rsidRPr="00000000">
        <w:rPr>
          <w:rtl w:val="0"/>
        </w:rPr>
      </w:r>
    </w:p>
    <w:p w:rsidR="00000000" w:rsidDel="00000000" w:rsidP="00000000" w:rsidRDefault="00000000" w:rsidRPr="00000000" w14:paraId="00000035">
      <w:pPr>
        <w:spacing w:line="276" w:lineRule="auto"/>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Figure S13: Violin plots of the distribution of the distances between top)  the Asn residues bearing the glycosylation and bottom) the center of mass of the  Fc domains, glycosylated and aglycosylated. For PMB (A) and Mab231 (B) using ASN distances. And PMB (C) and Mab231 (D) using CH2 CoM distances.</w:t>
      </w:r>
    </w:p>
    <w:p w:rsidR="00000000" w:rsidDel="00000000" w:rsidP="00000000" w:rsidRDefault="00000000" w:rsidRPr="00000000" w14:paraId="00000036">
      <w:pPr>
        <w:spacing w:line="276" w:lineRule="auto"/>
        <w:jc w:val="both"/>
        <w:rPr>
          <w:rFonts w:ascii="Cambria" w:cs="Cambria" w:eastAsia="Cambria" w:hAnsi="Cambria"/>
          <w:sz w:val="24"/>
          <w:szCs w:val="24"/>
        </w:rPr>
      </w:pPr>
      <w:r w:rsidDel="00000000" w:rsidR="00000000" w:rsidRPr="00000000">
        <w:rPr>
          <w:rtl w:val="0"/>
        </w:rPr>
      </w:r>
    </w:p>
    <w:p w:rsidR="00000000" w:rsidDel="00000000" w:rsidP="00000000" w:rsidRDefault="00000000" w:rsidRPr="00000000" w14:paraId="00000037">
      <w:pPr>
        <w:spacing w:line="276" w:lineRule="auto"/>
        <w:jc w:val="both"/>
        <w:rPr>
          <w:rFonts w:ascii="Cambria" w:cs="Cambria" w:eastAsia="Cambria" w:hAnsi="Cambria"/>
          <w:sz w:val="24"/>
          <w:szCs w:val="24"/>
        </w:rPr>
      </w:pPr>
      <w:r w:rsidDel="00000000" w:rsidR="00000000" w:rsidRPr="00000000">
        <w:rPr>
          <w:rtl w:val="0"/>
        </w:rPr>
      </w:r>
    </w:p>
    <w:tbl>
      <w:tblPr>
        <w:tblStyle w:val="Table3"/>
        <w:tblW w:w="8715.0" w:type="dxa"/>
        <w:jc w:val="left"/>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2100"/>
        <w:gridCol w:w="2130"/>
        <w:gridCol w:w="2265"/>
        <w:gridCol w:w="2220"/>
        <w:tblGridChange w:id="0">
          <w:tblGrid>
            <w:gridCol w:w="2100"/>
            <w:gridCol w:w="2130"/>
            <w:gridCol w:w="2265"/>
            <w:gridCol w:w="2220"/>
          </w:tblGrid>
        </w:tblGridChange>
      </w:tblGrid>
      <w:tr>
        <w:trPr>
          <w:cantSplit w:val="0"/>
          <w:trHeight w:val="570" w:hRule="atLeast"/>
          <w:tblHeader w:val="0"/>
        </w:trPr>
        <w:tc>
          <w:tcPr>
            <w:tcBorders>
              <w:top w:color="808080" w:space="0" w:sz="6" w:val="single"/>
              <w:left w:color="808080" w:space="0" w:sz="6" w:val="single"/>
              <w:bottom w:color="808080" w:space="0" w:sz="6" w:val="single"/>
              <w:right w:color="808080" w:space="0" w:sz="6"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38">
            <w:pPr>
              <w:spacing w:line="276" w:lineRule="auto"/>
              <w:jc w:val="center"/>
              <w:rPr>
                <w:b w:val="1"/>
                <w:bCs w:val="1"/>
                <w:sz w:val="24"/>
                <w:szCs w:val="24"/>
              </w:rPr>
            </w:pPr>
            <w:r w:rsidDel="00000000" w:rsidR="00000000" w:rsidRPr="00000000">
              <w:rPr>
                <w:b w:val="1"/>
                <w:bCs w:val="1"/>
                <w:sz w:val="24"/>
                <w:szCs w:val="24"/>
                <w:rtl w:val="0"/>
              </w:rPr>
              <w:t xml:space="preserve">Column</w:t>
            </w:r>
          </w:p>
        </w:tc>
        <w:tc>
          <w:tcPr>
            <w:tcBorders>
              <w:top w:color="808080" w:space="0" w:sz="6" w:val="single"/>
              <w:left w:color="808080" w:space="0" w:sz="6" w:val="single"/>
              <w:bottom w:color="808080" w:space="0" w:sz="6" w:val="single"/>
              <w:right w:color="808080" w:space="0" w:sz="6"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39">
            <w:pPr>
              <w:spacing w:line="276" w:lineRule="auto"/>
              <w:jc w:val="center"/>
              <w:rPr>
                <w:b w:val="1"/>
                <w:bCs w:val="1"/>
                <w:sz w:val="24"/>
                <w:szCs w:val="24"/>
              </w:rPr>
            </w:pPr>
            <w:r w:rsidDel="00000000" w:rsidR="00000000" w:rsidRPr="00000000">
              <w:rPr>
                <w:b w:val="1"/>
                <w:bCs w:val="1"/>
                <w:sz w:val="24"/>
                <w:szCs w:val="24"/>
                <w:rtl w:val="0"/>
              </w:rPr>
              <w:t xml:space="preserve">Test</w:t>
            </w:r>
          </w:p>
        </w:tc>
        <w:tc>
          <w:tcPr>
            <w:tcBorders>
              <w:top w:color="808080" w:space="0" w:sz="6" w:val="single"/>
              <w:left w:color="808080" w:space="0" w:sz="6" w:val="single"/>
              <w:bottom w:color="808080" w:space="0" w:sz="6" w:val="single"/>
              <w:right w:color="808080" w:space="0" w:sz="6"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3A">
            <w:pPr>
              <w:spacing w:line="276" w:lineRule="auto"/>
              <w:jc w:val="center"/>
              <w:rPr>
                <w:b w:val="1"/>
                <w:bCs w:val="1"/>
                <w:sz w:val="24"/>
                <w:szCs w:val="24"/>
              </w:rPr>
            </w:pPr>
            <w:r w:rsidDel="00000000" w:rsidR="00000000" w:rsidRPr="00000000">
              <w:rPr>
                <w:b w:val="1"/>
                <w:bCs w:val="1"/>
                <w:sz w:val="24"/>
                <w:szCs w:val="24"/>
                <w:rtl w:val="0"/>
              </w:rPr>
              <w:t xml:space="preserve">Statistic</w:t>
            </w:r>
          </w:p>
        </w:tc>
        <w:tc>
          <w:tcPr>
            <w:tcBorders>
              <w:top w:color="808080" w:space="0" w:sz="6" w:val="single"/>
              <w:left w:color="808080" w:space="0" w:sz="6" w:val="single"/>
              <w:bottom w:color="808080" w:space="0" w:sz="6" w:val="single"/>
              <w:right w:color="808080" w:space="0" w:sz="6"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3B">
            <w:pPr>
              <w:spacing w:line="276" w:lineRule="auto"/>
              <w:jc w:val="center"/>
              <w:rPr>
                <w:b w:val="1"/>
                <w:bCs w:val="1"/>
                <w:sz w:val="24"/>
                <w:szCs w:val="24"/>
              </w:rPr>
            </w:pPr>
            <w:r w:rsidDel="00000000" w:rsidR="00000000" w:rsidRPr="00000000">
              <w:rPr>
                <w:b w:val="1"/>
                <w:bCs w:val="1"/>
                <w:sz w:val="24"/>
                <w:szCs w:val="24"/>
                <w:rtl w:val="0"/>
              </w:rPr>
              <w:t xml:space="preserve">p-value</w:t>
            </w:r>
          </w:p>
        </w:tc>
      </w:tr>
      <w:tr>
        <w:trPr>
          <w:cantSplit w:val="0"/>
          <w:trHeight w:val="690" w:hRule="atLeast"/>
          <w:tblHeader w:val="0"/>
        </w:trPr>
        <w:tc>
          <w:tcPr>
            <w:tcBorders>
              <w:top w:color="808080" w:space="0" w:sz="6" w:val="single"/>
              <w:left w:color="808080" w:space="0" w:sz="6" w:val="single"/>
              <w:bottom w:color="808080" w:space="0" w:sz="6" w:val="single"/>
              <w:right w:color="808080" w:space="0" w:sz="6"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3C">
            <w:pPr>
              <w:spacing w:line="276" w:lineRule="auto"/>
              <w:jc w:val="center"/>
              <w:rPr>
                <w:b w:val="1"/>
                <w:bCs w:val="1"/>
                <w:sz w:val="24"/>
                <w:szCs w:val="24"/>
              </w:rPr>
            </w:pPr>
            <w:r w:rsidDel="00000000" w:rsidR="00000000" w:rsidRPr="00000000">
              <w:rPr>
                <w:b w:val="1"/>
                <w:bCs w:val="1"/>
                <w:sz w:val="24"/>
                <w:szCs w:val="24"/>
                <w:rtl w:val="0"/>
              </w:rPr>
              <w:t xml:space="preserve">theta F1 </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3D">
            <w:pPr>
              <w:spacing w:line="276" w:lineRule="auto"/>
              <w:jc w:val="center"/>
              <w:rPr>
                <w:sz w:val="24"/>
                <w:szCs w:val="24"/>
              </w:rPr>
            </w:pPr>
            <w:r w:rsidDel="00000000" w:rsidR="00000000" w:rsidRPr="00000000">
              <w:rPr>
                <w:sz w:val="24"/>
                <w:szCs w:val="24"/>
                <w:rtl w:val="0"/>
              </w:rPr>
              <w:t xml:space="preserve">Mann-Whitney U</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3E">
            <w:pPr>
              <w:spacing w:line="276" w:lineRule="auto"/>
              <w:jc w:val="center"/>
              <w:rPr>
                <w:sz w:val="24"/>
                <w:szCs w:val="24"/>
              </w:rPr>
            </w:pPr>
            <w:r w:rsidDel="00000000" w:rsidR="00000000" w:rsidRPr="00000000">
              <w:rPr>
                <w:sz w:val="24"/>
                <w:szCs w:val="24"/>
                <w:rtl w:val="0"/>
              </w:rPr>
              <w:t xml:space="preserve">1.07 × 10¹⁰</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3F">
            <w:pPr>
              <w:spacing w:line="276" w:lineRule="auto"/>
              <w:jc w:val="center"/>
              <w:rPr>
                <w:sz w:val="24"/>
                <w:szCs w:val="24"/>
              </w:rPr>
            </w:pPr>
            <w:r w:rsidDel="00000000" w:rsidR="00000000" w:rsidRPr="00000000">
              <w:rPr>
                <w:sz w:val="24"/>
                <w:szCs w:val="24"/>
                <w:rtl w:val="0"/>
              </w:rPr>
              <w:t xml:space="preserve">3.81 × 10⁻¹⁰²</w:t>
            </w:r>
          </w:p>
        </w:tc>
      </w:tr>
      <w:tr>
        <w:trPr>
          <w:cantSplit w:val="0"/>
          <w:trHeight w:val="570" w:hRule="atLeast"/>
          <w:tblHeader w:val="0"/>
        </w:trPr>
        <w:tc>
          <w:tcPr>
            <w:tcBorders>
              <w:top w:color="808080" w:space="0" w:sz="6" w:val="single"/>
              <w:left w:color="808080" w:space="0" w:sz="6" w:val="single"/>
              <w:bottom w:color="808080" w:space="0" w:sz="6" w:val="single"/>
              <w:right w:color="808080" w:space="0" w:sz="6"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40">
            <w:pPr>
              <w:spacing w:line="276" w:lineRule="auto"/>
              <w:jc w:val="center"/>
              <w:rPr>
                <w:b w:val="1"/>
                <w:bCs w:val="1"/>
                <w:sz w:val="24"/>
                <w:szCs w:val="24"/>
              </w:rPr>
            </w:pPr>
            <w:r w:rsidDel="00000000" w:rsidR="00000000" w:rsidRPr="00000000">
              <w:rPr>
                <w:b w:val="1"/>
                <w:bCs w:val="1"/>
                <w:sz w:val="24"/>
                <w:szCs w:val="24"/>
                <w:rtl w:val="0"/>
              </w:rPr>
              <w:t xml:space="preserve">theta F2</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41">
            <w:pPr>
              <w:spacing w:line="276" w:lineRule="auto"/>
              <w:jc w:val="center"/>
              <w:rPr>
                <w:sz w:val="24"/>
                <w:szCs w:val="24"/>
              </w:rPr>
            </w:pPr>
            <w:r w:rsidDel="00000000" w:rsidR="00000000" w:rsidRPr="00000000">
              <w:rPr>
                <w:sz w:val="24"/>
                <w:szCs w:val="24"/>
                <w:rtl w:val="0"/>
              </w:rPr>
              <w:t xml:space="preserve">Mann-Whitney U</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42">
            <w:pPr>
              <w:spacing w:line="276" w:lineRule="auto"/>
              <w:jc w:val="center"/>
              <w:rPr>
                <w:sz w:val="24"/>
                <w:szCs w:val="24"/>
              </w:rPr>
            </w:pPr>
            <w:r w:rsidDel="00000000" w:rsidR="00000000" w:rsidRPr="00000000">
              <w:rPr>
                <w:sz w:val="24"/>
                <w:szCs w:val="24"/>
                <w:rtl w:val="0"/>
              </w:rPr>
              <w:t xml:space="preserve">1.51 × 10¹⁰</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43">
            <w:pPr>
              <w:spacing w:line="276" w:lineRule="auto"/>
              <w:jc w:val="center"/>
              <w:rPr>
                <w:sz w:val="24"/>
                <w:szCs w:val="24"/>
              </w:rPr>
            </w:pPr>
            <w:r w:rsidDel="00000000" w:rsidR="00000000" w:rsidRPr="00000000">
              <w:rPr>
                <w:rFonts w:ascii="Arial Unicode MS" w:cs="Arial Unicode MS" w:eastAsia="Arial Unicode MS" w:hAnsi="Arial Unicode MS"/>
                <w:sz w:val="24"/>
                <w:szCs w:val="24"/>
                <w:rtl w:val="0"/>
              </w:rPr>
              <w:t xml:space="preserve">≈ 0</w:t>
            </w:r>
          </w:p>
        </w:tc>
      </w:tr>
      <w:tr>
        <w:trPr>
          <w:cantSplit w:val="0"/>
          <w:trHeight w:val="540" w:hRule="atLeast"/>
          <w:tblHeader w:val="0"/>
        </w:trPr>
        <w:tc>
          <w:tcPr>
            <w:tcBorders>
              <w:top w:color="808080" w:space="0" w:sz="6" w:val="single"/>
              <w:left w:color="808080" w:space="0" w:sz="6" w:val="single"/>
              <w:bottom w:color="808080" w:space="0" w:sz="6" w:val="single"/>
              <w:right w:color="808080" w:space="0" w:sz="6"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44">
            <w:pPr>
              <w:spacing w:line="276" w:lineRule="auto"/>
              <w:jc w:val="center"/>
              <w:rPr>
                <w:b w:val="1"/>
                <w:bCs w:val="1"/>
                <w:sz w:val="24"/>
                <w:szCs w:val="24"/>
              </w:rPr>
            </w:pPr>
            <w:r w:rsidDel="00000000" w:rsidR="00000000" w:rsidRPr="00000000">
              <w:rPr>
                <w:b w:val="1"/>
                <w:bCs w:val="1"/>
                <w:sz w:val="24"/>
                <w:szCs w:val="24"/>
                <w:rtl w:val="0"/>
              </w:rPr>
              <w:t xml:space="preserve">theta inter Fab</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45">
            <w:pPr>
              <w:spacing w:line="276" w:lineRule="auto"/>
              <w:jc w:val="center"/>
              <w:rPr>
                <w:sz w:val="24"/>
                <w:szCs w:val="24"/>
              </w:rPr>
            </w:pPr>
            <w:r w:rsidDel="00000000" w:rsidR="00000000" w:rsidRPr="00000000">
              <w:rPr>
                <w:sz w:val="24"/>
                <w:szCs w:val="24"/>
                <w:rtl w:val="0"/>
              </w:rPr>
              <w:t xml:space="preserve">Mann-Whitney U</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46">
            <w:pPr>
              <w:spacing w:line="276" w:lineRule="auto"/>
              <w:jc w:val="center"/>
              <w:rPr>
                <w:sz w:val="24"/>
                <w:szCs w:val="24"/>
              </w:rPr>
            </w:pPr>
            <w:r w:rsidDel="00000000" w:rsidR="00000000" w:rsidRPr="00000000">
              <w:rPr>
                <w:sz w:val="24"/>
                <w:szCs w:val="24"/>
                <w:rtl w:val="0"/>
              </w:rPr>
              <w:t xml:space="preserve">1.48 × 10¹⁰</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47">
            <w:pPr>
              <w:spacing w:line="276" w:lineRule="auto"/>
              <w:jc w:val="center"/>
              <w:rPr>
                <w:sz w:val="24"/>
                <w:szCs w:val="24"/>
              </w:rPr>
            </w:pPr>
            <w:r w:rsidDel="00000000" w:rsidR="00000000" w:rsidRPr="00000000">
              <w:rPr>
                <w:rFonts w:ascii="Arial Unicode MS" w:cs="Arial Unicode MS" w:eastAsia="Arial Unicode MS" w:hAnsi="Arial Unicode MS"/>
                <w:sz w:val="24"/>
                <w:szCs w:val="24"/>
                <w:rtl w:val="0"/>
              </w:rPr>
              <w:t xml:space="preserve">≈ 0</w:t>
            </w:r>
          </w:p>
        </w:tc>
      </w:tr>
      <w:tr>
        <w:trPr>
          <w:cantSplit w:val="0"/>
          <w:trHeight w:val="540" w:hRule="atLeast"/>
          <w:tblHeader w:val="0"/>
        </w:trPr>
        <w:tc>
          <w:tcPr>
            <w:tcBorders>
              <w:top w:color="808080" w:space="0" w:sz="6" w:val="single"/>
              <w:left w:color="808080" w:space="0" w:sz="6" w:val="single"/>
              <w:bottom w:color="808080" w:space="0" w:sz="6" w:val="single"/>
              <w:right w:color="808080" w:space="0" w:sz="6"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48">
            <w:pPr>
              <w:spacing w:line="276" w:lineRule="auto"/>
              <w:jc w:val="center"/>
              <w:rPr>
                <w:b w:val="1"/>
                <w:bCs w:val="1"/>
                <w:sz w:val="24"/>
                <w:szCs w:val="24"/>
              </w:rPr>
            </w:pPr>
            <w:r w:rsidDel="00000000" w:rsidR="00000000" w:rsidRPr="00000000">
              <w:rPr>
                <w:b w:val="1"/>
                <w:bCs w:val="1"/>
                <w:sz w:val="24"/>
                <w:szCs w:val="24"/>
                <w:rtl w:val="0"/>
              </w:rPr>
              <w:t xml:space="preserve">theta F1</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49">
            <w:pPr>
              <w:spacing w:line="276" w:lineRule="auto"/>
              <w:jc w:val="center"/>
              <w:rPr>
                <w:sz w:val="24"/>
                <w:szCs w:val="24"/>
              </w:rPr>
            </w:pPr>
            <w:r w:rsidDel="00000000" w:rsidR="00000000" w:rsidRPr="00000000">
              <w:rPr>
                <w:sz w:val="24"/>
                <w:szCs w:val="24"/>
                <w:rtl w:val="0"/>
              </w:rPr>
              <w:t xml:space="preserve">Watson U²</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4A">
            <w:pPr>
              <w:spacing w:line="276" w:lineRule="auto"/>
              <w:jc w:val="center"/>
              <w:rPr>
                <w:sz w:val="24"/>
                <w:szCs w:val="24"/>
              </w:rPr>
            </w:pPr>
            <w:r w:rsidDel="00000000" w:rsidR="00000000" w:rsidRPr="00000000">
              <w:rPr>
                <w:sz w:val="24"/>
                <w:szCs w:val="24"/>
                <w:rtl w:val="0"/>
              </w:rPr>
              <w:t xml:space="preserve">620.76</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4B">
            <w:pPr>
              <w:spacing w:line="276" w:lineRule="auto"/>
              <w:jc w:val="center"/>
              <w:rPr>
                <w:sz w:val="24"/>
                <w:szCs w:val="24"/>
              </w:rPr>
            </w:pPr>
            <w:r w:rsidDel="00000000" w:rsidR="00000000" w:rsidRPr="00000000">
              <w:rPr>
                <w:rFonts w:ascii="Arial Unicode MS" w:cs="Arial Unicode MS" w:eastAsia="Arial Unicode MS" w:hAnsi="Arial Unicode MS"/>
                <w:sz w:val="24"/>
                <w:szCs w:val="24"/>
                <w:rtl w:val="0"/>
              </w:rPr>
              <w:t xml:space="preserve">≈ 0</w:t>
            </w:r>
          </w:p>
        </w:tc>
      </w:tr>
      <w:tr>
        <w:trPr>
          <w:cantSplit w:val="0"/>
          <w:trHeight w:val="525" w:hRule="atLeast"/>
          <w:tblHeader w:val="0"/>
        </w:trPr>
        <w:tc>
          <w:tcPr>
            <w:tcBorders>
              <w:top w:color="808080" w:space="0" w:sz="6" w:val="single"/>
              <w:left w:color="808080" w:space="0" w:sz="6" w:val="single"/>
              <w:bottom w:color="808080" w:space="0" w:sz="6" w:val="single"/>
              <w:right w:color="808080" w:space="0" w:sz="6"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4C">
            <w:pPr>
              <w:spacing w:line="276" w:lineRule="auto"/>
              <w:jc w:val="center"/>
              <w:rPr>
                <w:b w:val="1"/>
                <w:bCs w:val="1"/>
                <w:sz w:val="24"/>
                <w:szCs w:val="24"/>
              </w:rPr>
            </w:pPr>
            <w:r w:rsidDel="00000000" w:rsidR="00000000" w:rsidRPr="00000000">
              <w:rPr>
                <w:b w:val="1"/>
                <w:bCs w:val="1"/>
                <w:sz w:val="24"/>
                <w:szCs w:val="24"/>
                <w:rtl w:val="0"/>
              </w:rPr>
              <w:t xml:space="preserve">theta F2</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4D">
            <w:pPr>
              <w:spacing w:line="276" w:lineRule="auto"/>
              <w:jc w:val="center"/>
              <w:rPr>
                <w:sz w:val="24"/>
                <w:szCs w:val="24"/>
              </w:rPr>
            </w:pPr>
            <w:r w:rsidDel="00000000" w:rsidR="00000000" w:rsidRPr="00000000">
              <w:rPr>
                <w:sz w:val="24"/>
                <w:szCs w:val="24"/>
                <w:rtl w:val="0"/>
              </w:rPr>
              <w:t xml:space="preserve">Watson U²</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4E">
            <w:pPr>
              <w:spacing w:line="276" w:lineRule="auto"/>
              <w:jc w:val="center"/>
              <w:rPr>
                <w:sz w:val="24"/>
                <w:szCs w:val="24"/>
              </w:rPr>
            </w:pPr>
            <w:r w:rsidDel="00000000" w:rsidR="00000000" w:rsidRPr="00000000">
              <w:rPr>
                <w:sz w:val="24"/>
                <w:szCs w:val="24"/>
                <w:rtl w:val="0"/>
              </w:rPr>
              <w:t xml:space="preserve">3320.95</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4F">
            <w:pPr>
              <w:spacing w:line="276" w:lineRule="auto"/>
              <w:jc w:val="center"/>
              <w:rPr>
                <w:sz w:val="24"/>
                <w:szCs w:val="24"/>
              </w:rPr>
            </w:pPr>
            <w:r w:rsidDel="00000000" w:rsidR="00000000" w:rsidRPr="00000000">
              <w:rPr>
                <w:rFonts w:ascii="Arial Unicode MS" w:cs="Arial Unicode MS" w:eastAsia="Arial Unicode MS" w:hAnsi="Arial Unicode MS"/>
                <w:sz w:val="24"/>
                <w:szCs w:val="24"/>
                <w:rtl w:val="0"/>
              </w:rPr>
              <w:t xml:space="preserve">≈ 0</w:t>
            </w:r>
          </w:p>
        </w:tc>
      </w:tr>
      <w:tr>
        <w:trPr>
          <w:cantSplit w:val="0"/>
          <w:trHeight w:val="480" w:hRule="atLeast"/>
          <w:tblHeader w:val="0"/>
        </w:trPr>
        <w:tc>
          <w:tcPr>
            <w:tcBorders>
              <w:top w:color="808080" w:space="0" w:sz="6" w:val="single"/>
              <w:left w:color="808080" w:space="0" w:sz="6" w:val="single"/>
              <w:bottom w:color="808080" w:space="0" w:sz="6" w:val="single"/>
              <w:right w:color="808080" w:space="0" w:sz="6"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50">
            <w:pPr>
              <w:spacing w:line="276" w:lineRule="auto"/>
              <w:jc w:val="center"/>
              <w:rPr>
                <w:b w:val="1"/>
                <w:bCs w:val="1"/>
                <w:sz w:val="24"/>
                <w:szCs w:val="24"/>
              </w:rPr>
            </w:pPr>
            <w:r w:rsidDel="00000000" w:rsidR="00000000" w:rsidRPr="00000000">
              <w:rPr>
                <w:b w:val="1"/>
                <w:bCs w:val="1"/>
                <w:sz w:val="24"/>
                <w:szCs w:val="24"/>
                <w:rtl w:val="0"/>
              </w:rPr>
              <w:t xml:space="preserve">theta inter Fab</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51">
            <w:pPr>
              <w:spacing w:line="276" w:lineRule="auto"/>
              <w:jc w:val="center"/>
              <w:rPr>
                <w:sz w:val="24"/>
                <w:szCs w:val="24"/>
              </w:rPr>
            </w:pPr>
            <w:r w:rsidDel="00000000" w:rsidR="00000000" w:rsidRPr="00000000">
              <w:rPr>
                <w:sz w:val="24"/>
                <w:szCs w:val="24"/>
                <w:rtl w:val="0"/>
              </w:rPr>
              <w:t xml:space="preserve">Watson U²</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52">
            <w:pPr>
              <w:spacing w:line="276" w:lineRule="auto"/>
              <w:jc w:val="center"/>
              <w:rPr>
                <w:sz w:val="24"/>
                <w:szCs w:val="24"/>
              </w:rPr>
            </w:pPr>
            <w:r w:rsidDel="00000000" w:rsidR="00000000" w:rsidRPr="00000000">
              <w:rPr>
                <w:sz w:val="24"/>
                <w:szCs w:val="24"/>
                <w:rtl w:val="0"/>
              </w:rPr>
              <w:t xml:space="preserve">221.63</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53">
            <w:pPr>
              <w:spacing w:line="276" w:lineRule="auto"/>
              <w:jc w:val="center"/>
              <w:rPr>
                <w:sz w:val="24"/>
                <w:szCs w:val="24"/>
              </w:rPr>
            </w:pPr>
            <w:r w:rsidDel="00000000" w:rsidR="00000000" w:rsidRPr="00000000">
              <w:rPr>
                <w:rFonts w:ascii="Arial Unicode MS" w:cs="Arial Unicode MS" w:eastAsia="Arial Unicode MS" w:hAnsi="Arial Unicode MS"/>
                <w:sz w:val="24"/>
                <w:szCs w:val="24"/>
                <w:rtl w:val="0"/>
              </w:rPr>
              <w:t xml:space="preserve">≈ 0</w:t>
            </w:r>
          </w:p>
        </w:tc>
      </w:tr>
    </w:tbl>
    <w:p w:rsidR="00000000" w:rsidDel="00000000" w:rsidP="00000000" w:rsidRDefault="00000000" w:rsidRPr="00000000" w14:paraId="00000054">
      <w:pPr>
        <w:spacing w:line="276" w:lineRule="auto"/>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Table S2: PMB summary statistic test and p-values on the angles adopted by the Fabs.</w:t>
      </w:r>
    </w:p>
    <w:p w:rsidR="00000000" w:rsidDel="00000000" w:rsidP="00000000" w:rsidRDefault="00000000" w:rsidRPr="00000000" w14:paraId="00000055">
      <w:pPr>
        <w:spacing w:line="276" w:lineRule="auto"/>
        <w:jc w:val="both"/>
        <w:rPr>
          <w:rFonts w:ascii="Cambria" w:cs="Cambria" w:eastAsia="Cambria" w:hAnsi="Cambria"/>
          <w:sz w:val="24"/>
          <w:szCs w:val="24"/>
        </w:rPr>
      </w:pPr>
      <w:r w:rsidDel="00000000" w:rsidR="00000000" w:rsidRPr="00000000">
        <w:rPr>
          <w:rtl w:val="0"/>
        </w:rPr>
      </w:r>
    </w:p>
    <w:tbl>
      <w:tblPr>
        <w:tblStyle w:val="Table4"/>
        <w:tblW w:w="8670.0" w:type="dxa"/>
        <w:jc w:val="left"/>
        <w:tblBorders>
          <w:top w:color="808080" w:space="0" w:sz="6" w:val="single"/>
          <w:left w:color="808080" w:space="0" w:sz="6" w:val="single"/>
          <w:bottom w:color="808080" w:space="0" w:sz="6" w:val="single"/>
          <w:right w:color="808080" w:space="0" w:sz="6" w:val="single"/>
          <w:insideH w:color="808080" w:space="0" w:sz="6" w:val="single"/>
          <w:insideV w:color="808080" w:space="0" w:sz="6" w:val="single"/>
        </w:tblBorders>
        <w:tblLayout w:type="fixed"/>
        <w:tblLook w:val="0600"/>
      </w:tblPr>
      <w:tblGrid>
        <w:gridCol w:w="2100"/>
        <w:gridCol w:w="2100"/>
        <w:gridCol w:w="2355"/>
        <w:gridCol w:w="2115"/>
        <w:tblGridChange w:id="0">
          <w:tblGrid>
            <w:gridCol w:w="2100"/>
            <w:gridCol w:w="2100"/>
            <w:gridCol w:w="2355"/>
            <w:gridCol w:w="2115"/>
          </w:tblGrid>
        </w:tblGridChange>
      </w:tblGrid>
      <w:tr>
        <w:trPr>
          <w:cantSplit w:val="0"/>
          <w:trHeight w:val="465" w:hRule="atLeast"/>
          <w:tblHeader w:val="0"/>
        </w:trPr>
        <w:tc>
          <w:tcPr>
            <w:tcBorders>
              <w:top w:color="808080" w:space="0" w:sz="6" w:val="single"/>
              <w:left w:color="808080" w:space="0" w:sz="6" w:val="single"/>
              <w:bottom w:color="808080" w:space="0" w:sz="6" w:val="single"/>
              <w:right w:color="808080" w:space="0" w:sz="6"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56">
            <w:pPr>
              <w:spacing w:line="276" w:lineRule="auto"/>
              <w:jc w:val="center"/>
              <w:rPr>
                <w:b w:val="1"/>
                <w:bCs w:val="1"/>
                <w:sz w:val="24"/>
                <w:szCs w:val="24"/>
              </w:rPr>
            </w:pPr>
            <w:r w:rsidDel="00000000" w:rsidR="00000000" w:rsidRPr="00000000">
              <w:rPr>
                <w:b w:val="1"/>
                <w:bCs w:val="1"/>
                <w:sz w:val="24"/>
                <w:szCs w:val="24"/>
                <w:rtl w:val="0"/>
              </w:rPr>
              <w:t xml:space="preserve">Column</w:t>
            </w:r>
          </w:p>
        </w:tc>
        <w:tc>
          <w:tcPr>
            <w:tcBorders>
              <w:top w:color="808080" w:space="0" w:sz="6" w:val="single"/>
              <w:left w:color="808080" w:space="0" w:sz="6" w:val="single"/>
              <w:bottom w:color="808080" w:space="0" w:sz="6" w:val="single"/>
              <w:right w:color="808080" w:space="0" w:sz="6"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57">
            <w:pPr>
              <w:spacing w:line="276" w:lineRule="auto"/>
              <w:jc w:val="center"/>
              <w:rPr>
                <w:b w:val="1"/>
                <w:bCs w:val="1"/>
                <w:sz w:val="24"/>
                <w:szCs w:val="24"/>
              </w:rPr>
            </w:pPr>
            <w:r w:rsidDel="00000000" w:rsidR="00000000" w:rsidRPr="00000000">
              <w:rPr>
                <w:b w:val="1"/>
                <w:bCs w:val="1"/>
                <w:sz w:val="24"/>
                <w:szCs w:val="24"/>
                <w:rtl w:val="0"/>
              </w:rPr>
              <w:t xml:space="preserve">Test</w:t>
            </w:r>
          </w:p>
        </w:tc>
        <w:tc>
          <w:tcPr>
            <w:tcBorders>
              <w:top w:color="808080" w:space="0" w:sz="6" w:val="single"/>
              <w:left w:color="808080" w:space="0" w:sz="6" w:val="single"/>
              <w:bottom w:color="808080" w:space="0" w:sz="6" w:val="single"/>
              <w:right w:color="808080" w:space="0" w:sz="6"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58">
            <w:pPr>
              <w:spacing w:line="276" w:lineRule="auto"/>
              <w:jc w:val="center"/>
              <w:rPr>
                <w:b w:val="1"/>
                <w:bCs w:val="1"/>
                <w:sz w:val="24"/>
                <w:szCs w:val="24"/>
              </w:rPr>
            </w:pPr>
            <w:r w:rsidDel="00000000" w:rsidR="00000000" w:rsidRPr="00000000">
              <w:rPr>
                <w:b w:val="1"/>
                <w:bCs w:val="1"/>
                <w:sz w:val="24"/>
                <w:szCs w:val="24"/>
                <w:rtl w:val="0"/>
              </w:rPr>
              <w:t xml:space="preserve">Statistic</w:t>
            </w:r>
          </w:p>
        </w:tc>
        <w:tc>
          <w:tcPr>
            <w:tcBorders>
              <w:top w:color="808080" w:space="0" w:sz="6" w:val="single"/>
              <w:left w:color="808080" w:space="0" w:sz="6" w:val="single"/>
              <w:bottom w:color="808080" w:space="0" w:sz="6" w:val="single"/>
              <w:right w:color="808080" w:space="0" w:sz="6"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59">
            <w:pPr>
              <w:spacing w:line="276" w:lineRule="auto"/>
              <w:jc w:val="center"/>
              <w:rPr>
                <w:b w:val="1"/>
                <w:bCs w:val="1"/>
                <w:sz w:val="24"/>
                <w:szCs w:val="24"/>
              </w:rPr>
            </w:pPr>
            <w:r w:rsidDel="00000000" w:rsidR="00000000" w:rsidRPr="00000000">
              <w:rPr>
                <w:b w:val="1"/>
                <w:bCs w:val="1"/>
                <w:sz w:val="24"/>
                <w:szCs w:val="24"/>
                <w:rtl w:val="0"/>
              </w:rPr>
              <w:t xml:space="preserve">p-value</w:t>
            </w:r>
          </w:p>
        </w:tc>
      </w:tr>
      <w:tr>
        <w:trPr>
          <w:cantSplit w:val="0"/>
          <w:trHeight w:val="660" w:hRule="atLeast"/>
          <w:tblHeader w:val="0"/>
        </w:trPr>
        <w:tc>
          <w:tcPr>
            <w:tcBorders>
              <w:top w:color="808080" w:space="0" w:sz="6" w:val="single"/>
              <w:left w:color="808080" w:space="0" w:sz="6" w:val="single"/>
              <w:bottom w:color="808080" w:space="0" w:sz="6" w:val="single"/>
              <w:right w:color="808080" w:space="0" w:sz="6"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5A">
            <w:pPr>
              <w:spacing w:line="276" w:lineRule="auto"/>
              <w:jc w:val="center"/>
              <w:rPr>
                <w:b w:val="1"/>
                <w:bCs w:val="1"/>
                <w:sz w:val="24"/>
                <w:szCs w:val="24"/>
              </w:rPr>
            </w:pPr>
            <w:r w:rsidDel="00000000" w:rsidR="00000000" w:rsidRPr="00000000">
              <w:rPr>
                <w:b w:val="1"/>
                <w:bCs w:val="1"/>
                <w:sz w:val="24"/>
                <w:szCs w:val="24"/>
                <w:rtl w:val="0"/>
              </w:rPr>
              <w:t xml:space="preserve">theta F1 </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5B">
            <w:pPr>
              <w:spacing w:line="276" w:lineRule="auto"/>
              <w:jc w:val="center"/>
              <w:rPr>
                <w:sz w:val="24"/>
                <w:szCs w:val="24"/>
              </w:rPr>
            </w:pPr>
            <w:r w:rsidDel="00000000" w:rsidR="00000000" w:rsidRPr="00000000">
              <w:rPr>
                <w:sz w:val="24"/>
                <w:szCs w:val="24"/>
                <w:rtl w:val="0"/>
              </w:rPr>
              <w:t xml:space="preserve">Mann-Whitney U</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5C">
            <w:pPr>
              <w:spacing w:line="276" w:lineRule="auto"/>
              <w:jc w:val="center"/>
              <w:rPr>
                <w:sz w:val="24"/>
                <w:szCs w:val="24"/>
              </w:rPr>
            </w:pPr>
            <w:r w:rsidDel="00000000" w:rsidR="00000000" w:rsidRPr="00000000">
              <w:rPr>
                <w:sz w:val="24"/>
                <w:szCs w:val="24"/>
                <w:rtl w:val="0"/>
              </w:rPr>
              <w:t xml:space="preserve">5.67 × 10⁹</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5D">
            <w:pPr>
              <w:spacing w:line="276" w:lineRule="auto"/>
              <w:jc w:val="center"/>
              <w:rPr>
                <w:sz w:val="24"/>
                <w:szCs w:val="24"/>
              </w:rPr>
            </w:pPr>
            <w:r w:rsidDel="00000000" w:rsidR="00000000" w:rsidRPr="00000000">
              <w:rPr>
                <w:rFonts w:ascii="Arial Unicode MS" w:cs="Arial Unicode MS" w:eastAsia="Arial Unicode MS" w:hAnsi="Arial Unicode MS"/>
                <w:sz w:val="24"/>
                <w:szCs w:val="24"/>
                <w:rtl w:val="0"/>
              </w:rPr>
              <w:t xml:space="preserve">≈ 0</w:t>
            </w:r>
          </w:p>
        </w:tc>
      </w:tr>
      <w:tr>
        <w:trPr>
          <w:cantSplit w:val="0"/>
          <w:trHeight w:val="645" w:hRule="atLeast"/>
          <w:tblHeader w:val="0"/>
        </w:trPr>
        <w:tc>
          <w:tcPr>
            <w:tcBorders>
              <w:top w:color="808080" w:space="0" w:sz="6" w:val="single"/>
              <w:left w:color="808080" w:space="0" w:sz="6" w:val="single"/>
              <w:bottom w:color="808080" w:space="0" w:sz="6" w:val="single"/>
              <w:right w:color="808080" w:space="0" w:sz="6"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5E">
            <w:pPr>
              <w:spacing w:line="276" w:lineRule="auto"/>
              <w:jc w:val="center"/>
              <w:rPr>
                <w:b w:val="1"/>
                <w:bCs w:val="1"/>
                <w:sz w:val="24"/>
                <w:szCs w:val="24"/>
              </w:rPr>
            </w:pPr>
            <w:r w:rsidDel="00000000" w:rsidR="00000000" w:rsidRPr="00000000">
              <w:rPr>
                <w:b w:val="1"/>
                <w:bCs w:val="1"/>
                <w:sz w:val="24"/>
                <w:szCs w:val="24"/>
                <w:rtl w:val="0"/>
              </w:rPr>
              <w:t xml:space="preserve">theta F2</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5F">
            <w:pPr>
              <w:spacing w:line="276" w:lineRule="auto"/>
              <w:jc w:val="center"/>
              <w:rPr>
                <w:sz w:val="24"/>
                <w:szCs w:val="24"/>
              </w:rPr>
            </w:pPr>
            <w:r w:rsidDel="00000000" w:rsidR="00000000" w:rsidRPr="00000000">
              <w:rPr>
                <w:sz w:val="24"/>
                <w:szCs w:val="24"/>
                <w:rtl w:val="0"/>
              </w:rPr>
              <w:t xml:space="preserve">Mann-Whitney U</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60">
            <w:pPr>
              <w:spacing w:line="276" w:lineRule="auto"/>
              <w:jc w:val="center"/>
              <w:rPr>
                <w:sz w:val="24"/>
                <w:szCs w:val="24"/>
              </w:rPr>
            </w:pPr>
            <w:r w:rsidDel="00000000" w:rsidR="00000000" w:rsidRPr="00000000">
              <w:rPr>
                <w:sz w:val="24"/>
                <w:szCs w:val="24"/>
                <w:rtl w:val="0"/>
              </w:rPr>
              <w:t xml:space="preserve">1.36 × 10¹⁰</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61">
            <w:pPr>
              <w:spacing w:line="276" w:lineRule="auto"/>
              <w:jc w:val="center"/>
              <w:rPr>
                <w:sz w:val="24"/>
                <w:szCs w:val="24"/>
              </w:rPr>
            </w:pPr>
            <w:r w:rsidDel="00000000" w:rsidR="00000000" w:rsidRPr="00000000">
              <w:rPr>
                <w:rFonts w:ascii="Arial Unicode MS" w:cs="Arial Unicode MS" w:eastAsia="Arial Unicode MS" w:hAnsi="Arial Unicode MS"/>
                <w:sz w:val="24"/>
                <w:szCs w:val="24"/>
                <w:rtl w:val="0"/>
              </w:rPr>
              <w:t xml:space="preserve">≈ 0</w:t>
            </w:r>
          </w:p>
        </w:tc>
      </w:tr>
      <w:tr>
        <w:trPr>
          <w:cantSplit w:val="0"/>
          <w:trHeight w:val="645" w:hRule="atLeast"/>
          <w:tblHeader w:val="0"/>
        </w:trPr>
        <w:tc>
          <w:tcPr>
            <w:tcBorders>
              <w:top w:color="808080" w:space="0" w:sz="6" w:val="single"/>
              <w:left w:color="808080" w:space="0" w:sz="6" w:val="single"/>
              <w:bottom w:color="808080" w:space="0" w:sz="6" w:val="single"/>
              <w:right w:color="808080" w:space="0" w:sz="6"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62">
            <w:pPr>
              <w:spacing w:line="276" w:lineRule="auto"/>
              <w:jc w:val="center"/>
              <w:rPr>
                <w:b w:val="1"/>
                <w:bCs w:val="1"/>
                <w:sz w:val="24"/>
                <w:szCs w:val="24"/>
              </w:rPr>
            </w:pPr>
            <w:r w:rsidDel="00000000" w:rsidR="00000000" w:rsidRPr="00000000">
              <w:rPr>
                <w:b w:val="1"/>
                <w:bCs w:val="1"/>
                <w:sz w:val="24"/>
                <w:szCs w:val="24"/>
                <w:rtl w:val="0"/>
              </w:rPr>
              <w:t xml:space="preserve">theta inter Fab</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63">
            <w:pPr>
              <w:spacing w:line="276" w:lineRule="auto"/>
              <w:jc w:val="center"/>
              <w:rPr>
                <w:sz w:val="24"/>
                <w:szCs w:val="24"/>
              </w:rPr>
            </w:pPr>
            <w:r w:rsidDel="00000000" w:rsidR="00000000" w:rsidRPr="00000000">
              <w:rPr>
                <w:sz w:val="24"/>
                <w:szCs w:val="24"/>
                <w:rtl w:val="0"/>
              </w:rPr>
              <w:t xml:space="preserve">Mann-Whitney U</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64">
            <w:pPr>
              <w:spacing w:line="276" w:lineRule="auto"/>
              <w:jc w:val="center"/>
              <w:rPr>
                <w:sz w:val="24"/>
                <w:szCs w:val="24"/>
              </w:rPr>
            </w:pPr>
            <w:r w:rsidDel="00000000" w:rsidR="00000000" w:rsidRPr="00000000">
              <w:rPr>
                <w:sz w:val="24"/>
                <w:szCs w:val="24"/>
                <w:rtl w:val="0"/>
              </w:rPr>
              <w:t xml:space="preserve">1.14 × 10¹⁰</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65">
            <w:pPr>
              <w:spacing w:line="276" w:lineRule="auto"/>
              <w:jc w:val="center"/>
              <w:rPr>
                <w:sz w:val="24"/>
                <w:szCs w:val="24"/>
              </w:rPr>
            </w:pPr>
            <w:r w:rsidDel="00000000" w:rsidR="00000000" w:rsidRPr="00000000">
              <w:rPr>
                <w:sz w:val="24"/>
                <w:szCs w:val="24"/>
                <w:rtl w:val="0"/>
              </w:rPr>
              <w:t xml:space="preserve">2.5 × 10⁻⁴</w:t>
            </w:r>
          </w:p>
        </w:tc>
      </w:tr>
      <w:tr>
        <w:trPr>
          <w:cantSplit w:val="0"/>
          <w:trHeight w:val="600" w:hRule="atLeast"/>
          <w:tblHeader w:val="0"/>
        </w:trPr>
        <w:tc>
          <w:tcPr>
            <w:tcBorders>
              <w:top w:color="808080" w:space="0" w:sz="6" w:val="single"/>
              <w:left w:color="808080" w:space="0" w:sz="6" w:val="single"/>
              <w:bottom w:color="808080" w:space="0" w:sz="6" w:val="single"/>
              <w:right w:color="808080" w:space="0" w:sz="6"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66">
            <w:pPr>
              <w:spacing w:line="276" w:lineRule="auto"/>
              <w:jc w:val="center"/>
              <w:rPr>
                <w:b w:val="1"/>
                <w:bCs w:val="1"/>
                <w:sz w:val="24"/>
                <w:szCs w:val="24"/>
              </w:rPr>
            </w:pPr>
            <w:r w:rsidDel="00000000" w:rsidR="00000000" w:rsidRPr="00000000">
              <w:rPr>
                <w:b w:val="1"/>
                <w:bCs w:val="1"/>
                <w:sz w:val="24"/>
                <w:szCs w:val="24"/>
                <w:rtl w:val="0"/>
              </w:rPr>
              <w:t xml:space="preserve">theta F1</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67">
            <w:pPr>
              <w:spacing w:line="276" w:lineRule="auto"/>
              <w:jc w:val="center"/>
              <w:rPr>
                <w:sz w:val="24"/>
                <w:szCs w:val="24"/>
              </w:rPr>
            </w:pPr>
            <w:r w:rsidDel="00000000" w:rsidR="00000000" w:rsidRPr="00000000">
              <w:rPr>
                <w:sz w:val="24"/>
                <w:szCs w:val="24"/>
                <w:rtl w:val="0"/>
              </w:rPr>
              <w:t xml:space="preserve">Watson U²</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68">
            <w:pPr>
              <w:spacing w:line="276" w:lineRule="auto"/>
              <w:jc w:val="center"/>
              <w:rPr>
                <w:sz w:val="24"/>
                <w:szCs w:val="24"/>
              </w:rPr>
            </w:pPr>
            <w:r w:rsidDel="00000000" w:rsidR="00000000" w:rsidRPr="00000000">
              <w:rPr>
                <w:sz w:val="24"/>
                <w:szCs w:val="24"/>
                <w:rtl w:val="0"/>
              </w:rPr>
              <w:t xml:space="preserve">1030.90</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69">
            <w:pPr>
              <w:spacing w:line="276" w:lineRule="auto"/>
              <w:jc w:val="center"/>
              <w:rPr>
                <w:sz w:val="24"/>
                <w:szCs w:val="24"/>
              </w:rPr>
            </w:pPr>
            <w:r w:rsidDel="00000000" w:rsidR="00000000" w:rsidRPr="00000000">
              <w:rPr>
                <w:rFonts w:ascii="Arial Unicode MS" w:cs="Arial Unicode MS" w:eastAsia="Arial Unicode MS" w:hAnsi="Arial Unicode MS"/>
                <w:sz w:val="24"/>
                <w:szCs w:val="24"/>
                <w:rtl w:val="0"/>
              </w:rPr>
              <w:t xml:space="preserve">≈ 0</w:t>
            </w:r>
          </w:p>
        </w:tc>
      </w:tr>
      <w:tr>
        <w:trPr>
          <w:cantSplit w:val="0"/>
          <w:trHeight w:val="645" w:hRule="atLeast"/>
          <w:tblHeader w:val="0"/>
        </w:trPr>
        <w:tc>
          <w:tcPr>
            <w:tcBorders>
              <w:top w:color="808080" w:space="0" w:sz="6" w:val="single"/>
              <w:left w:color="808080" w:space="0" w:sz="6" w:val="single"/>
              <w:bottom w:color="808080" w:space="0" w:sz="6" w:val="single"/>
              <w:right w:color="808080" w:space="0" w:sz="6"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6A">
            <w:pPr>
              <w:spacing w:line="276" w:lineRule="auto"/>
              <w:jc w:val="center"/>
              <w:rPr>
                <w:b w:val="1"/>
                <w:bCs w:val="1"/>
                <w:sz w:val="24"/>
                <w:szCs w:val="24"/>
              </w:rPr>
            </w:pPr>
            <w:r w:rsidDel="00000000" w:rsidR="00000000" w:rsidRPr="00000000">
              <w:rPr>
                <w:b w:val="1"/>
                <w:bCs w:val="1"/>
                <w:sz w:val="24"/>
                <w:szCs w:val="24"/>
                <w:rtl w:val="0"/>
              </w:rPr>
              <w:t xml:space="preserve">theta F2</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6B">
            <w:pPr>
              <w:spacing w:line="276" w:lineRule="auto"/>
              <w:jc w:val="center"/>
              <w:rPr>
                <w:sz w:val="24"/>
                <w:szCs w:val="24"/>
              </w:rPr>
            </w:pPr>
            <w:r w:rsidDel="00000000" w:rsidR="00000000" w:rsidRPr="00000000">
              <w:rPr>
                <w:sz w:val="24"/>
                <w:szCs w:val="24"/>
                <w:rtl w:val="0"/>
              </w:rPr>
              <w:t xml:space="preserve">Watson U²</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6C">
            <w:pPr>
              <w:spacing w:line="276" w:lineRule="auto"/>
              <w:jc w:val="center"/>
              <w:rPr>
                <w:sz w:val="24"/>
                <w:szCs w:val="24"/>
              </w:rPr>
            </w:pPr>
            <w:r w:rsidDel="00000000" w:rsidR="00000000" w:rsidRPr="00000000">
              <w:rPr>
                <w:sz w:val="24"/>
                <w:szCs w:val="24"/>
                <w:rtl w:val="0"/>
              </w:rPr>
              <w:t xml:space="preserve">2244.22</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6D">
            <w:pPr>
              <w:spacing w:line="276" w:lineRule="auto"/>
              <w:jc w:val="center"/>
              <w:rPr>
                <w:sz w:val="24"/>
                <w:szCs w:val="24"/>
              </w:rPr>
            </w:pPr>
            <w:r w:rsidDel="00000000" w:rsidR="00000000" w:rsidRPr="00000000">
              <w:rPr>
                <w:rFonts w:ascii="Arial Unicode MS" w:cs="Arial Unicode MS" w:eastAsia="Arial Unicode MS" w:hAnsi="Arial Unicode MS"/>
                <w:sz w:val="24"/>
                <w:szCs w:val="24"/>
                <w:rtl w:val="0"/>
              </w:rPr>
              <w:t xml:space="preserve">≈ 0</w:t>
            </w:r>
          </w:p>
        </w:tc>
      </w:tr>
      <w:tr>
        <w:trPr>
          <w:cantSplit w:val="0"/>
          <w:trHeight w:val="555" w:hRule="atLeast"/>
          <w:tblHeader w:val="0"/>
        </w:trPr>
        <w:tc>
          <w:tcPr>
            <w:tcBorders>
              <w:top w:color="808080" w:space="0" w:sz="6" w:val="single"/>
              <w:left w:color="808080" w:space="0" w:sz="6" w:val="single"/>
              <w:bottom w:color="808080" w:space="0" w:sz="6" w:val="single"/>
              <w:right w:color="808080" w:space="0" w:sz="6" w:val="single"/>
            </w:tcBorders>
            <w:shd w:fill="b7b7b7" w:val="clear"/>
            <w:tcMar>
              <w:top w:w="100.0" w:type="dxa"/>
              <w:left w:w="100.0" w:type="dxa"/>
              <w:bottom w:w="100.0" w:type="dxa"/>
              <w:right w:w="100.0" w:type="dxa"/>
            </w:tcMar>
            <w:vAlign w:val="top"/>
          </w:tcPr>
          <w:p w:rsidR="00000000" w:rsidDel="00000000" w:rsidP="00000000" w:rsidRDefault="00000000" w:rsidRPr="00000000" w14:paraId="0000006E">
            <w:pPr>
              <w:spacing w:line="276" w:lineRule="auto"/>
              <w:jc w:val="center"/>
              <w:rPr>
                <w:b w:val="1"/>
                <w:bCs w:val="1"/>
                <w:sz w:val="24"/>
                <w:szCs w:val="24"/>
              </w:rPr>
            </w:pPr>
            <w:r w:rsidDel="00000000" w:rsidR="00000000" w:rsidRPr="00000000">
              <w:rPr>
                <w:b w:val="1"/>
                <w:bCs w:val="1"/>
                <w:sz w:val="24"/>
                <w:szCs w:val="24"/>
                <w:rtl w:val="0"/>
              </w:rPr>
              <w:t xml:space="preserve">theta inter Fab</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6F">
            <w:pPr>
              <w:spacing w:line="276" w:lineRule="auto"/>
              <w:jc w:val="center"/>
              <w:rPr>
                <w:sz w:val="24"/>
                <w:szCs w:val="24"/>
              </w:rPr>
            </w:pPr>
            <w:r w:rsidDel="00000000" w:rsidR="00000000" w:rsidRPr="00000000">
              <w:rPr>
                <w:sz w:val="24"/>
                <w:szCs w:val="24"/>
                <w:rtl w:val="0"/>
              </w:rPr>
              <w:t xml:space="preserve">Watson U²</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70">
            <w:pPr>
              <w:spacing w:line="276" w:lineRule="auto"/>
              <w:jc w:val="center"/>
              <w:rPr>
                <w:sz w:val="24"/>
                <w:szCs w:val="24"/>
              </w:rPr>
            </w:pPr>
            <w:r w:rsidDel="00000000" w:rsidR="00000000" w:rsidRPr="00000000">
              <w:rPr>
                <w:sz w:val="24"/>
                <w:szCs w:val="24"/>
                <w:rtl w:val="0"/>
              </w:rPr>
              <w:t xml:space="preserve">444.63</w:t>
            </w:r>
          </w:p>
        </w:tc>
        <w:tc>
          <w:tcPr>
            <w:tcBorders>
              <w:top w:color="808080" w:space="0" w:sz="6" w:val="single"/>
              <w:left w:color="808080" w:space="0" w:sz="6" w:val="single"/>
              <w:bottom w:color="808080" w:space="0" w:sz="6" w:val="single"/>
              <w:right w:color="808080" w:space="0" w:sz="6" w:val="single"/>
            </w:tcBorders>
            <w:tcMar>
              <w:top w:w="100.0" w:type="dxa"/>
              <w:left w:w="100.0" w:type="dxa"/>
              <w:bottom w:w="100.0" w:type="dxa"/>
              <w:right w:w="100.0" w:type="dxa"/>
            </w:tcMar>
            <w:vAlign w:val="top"/>
          </w:tcPr>
          <w:p w:rsidR="00000000" w:rsidDel="00000000" w:rsidP="00000000" w:rsidRDefault="00000000" w:rsidRPr="00000000" w14:paraId="00000071">
            <w:pPr>
              <w:spacing w:line="276" w:lineRule="auto"/>
              <w:jc w:val="center"/>
              <w:rPr>
                <w:sz w:val="24"/>
                <w:szCs w:val="24"/>
              </w:rPr>
            </w:pPr>
            <w:r w:rsidDel="00000000" w:rsidR="00000000" w:rsidRPr="00000000">
              <w:rPr>
                <w:rFonts w:ascii="Arial Unicode MS" w:cs="Arial Unicode MS" w:eastAsia="Arial Unicode MS" w:hAnsi="Arial Unicode MS"/>
                <w:sz w:val="24"/>
                <w:szCs w:val="24"/>
                <w:rtl w:val="0"/>
              </w:rPr>
              <w:t xml:space="preserve">≈ 0</w:t>
            </w:r>
          </w:p>
        </w:tc>
      </w:tr>
    </w:tbl>
    <w:p w:rsidR="00000000" w:rsidDel="00000000" w:rsidP="00000000" w:rsidRDefault="00000000" w:rsidRPr="00000000" w14:paraId="00000072">
      <w:pPr>
        <w:spacing w:line="276" w:lineRule="auto"/>
        <w:jc w:val="both"/>
        <w:rPr>
          <w:rFonts w:ascii="Cambria" w:cs="Cambria" w:eastAsia="Cambria" w:hAnsi="Cambria"/>
          <w:sz w:val="24"/>
          <w:szCs w:val="24"/>
        </w:rPr>
      </w:pPr>
      <w:r w:rsidDel="00000000" w:rsidR="00000000" w:rsidRPr="00000000">
        <w:rPr>
          <w:rFonts w:ascii="Cambria" w:cs="Cambria" w:eastAsia="Cambria" w:hAnsi="Cambria"/>
          <w:sz w:val="24"/>
          <w:szCs w:val="24"/>
          <w:rtl w:val="0"/>
        </w:rPr>
        <w:t xml:space="preserve">Table S3: Mab231 summary statistic test and p-values on the angles adopted by the Fabs.</w:t>
      </w:r>
    </w:p>
    <w:p w:rsidR="00000000" w:rsidDel="00000000" w:rsidP="00000000" w:rsidRDefault="00000000" w:rsidRPr="00000000" w14:paraId="00000073">
      <w:pPr>
        <w:spacing w:line="276" w:lineRule="auto"/>
        <w:jc w:val="both"/>
        <w:rPr>
          <w:rFonts w:ascii="Cambria" w:cs="Cambria" w:eastAsia="Cambria" w:hAnsi="Cambria"/>
          <w:sz w:val="24"/>
          <w:szCs w:val="24"/>
        </w:rPr>
      </w:pPr>
      <w:r w:rsidDel="00000000" w:rsidR="00000000" w:rsidRPr="00000000">
        <w:rPr>
          <w:rtl w:val="0"/>
        </w:rPr>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Cambria"/>
  <w:font w:name="Times New Roman"/>
  <w:font w:name="Arial Unicode MS"/>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fr"/>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bCs w:val="0"/>
      <w:sz w:val="32"/>
      <w:szCs w:val="32"/>
    </w:rPr>
  </w:style>
  <w:style w:type="paragraph" w:styleId="Heading3">
    <w:name w:val="heading 3"/>
    <w:basedOn w:val="Normal"/>
    <w:next w:val="Normal"/>
    <w:pPr>
      <w:keepNext w:val="1"/>
      <w:keepLines w:val="1"/>
      <w:pageBreakBefore w:val="0"/>
      <w:spacing w:after="80" w:before="320" w:lineRule="auto"/>
    </w:pPr>
    <w:rPr>
      <w:b w:val="0"/>
      <w:bCs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iCs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iCs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CellMar/>
    </w:tblPr>
  </w:style>
  <w:style w:type="table" w:styleId="Table4">
    <w:basedOn w:val="TableNormal"/>
    <w:tblPr>
      <w:tblStyleRowBandSize w:val="1"/>
      <w:tblStyleColBandSize w:val="1"/>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5.png"/><Relationship Id="rId11" Type="http://schemas.openxmlformats.org/officeDocument/2006/relationships/image" Target="media/image11.png"/><Relationship Id="rId10" Type="http://schemas.openxmlformats.org/officeDocument/2006/relationships/image" Target="media/image13.png"/><Relationship Id="rId21" Type="http://schemas.openxmlformats.org/officeDocument/2006/relationships/image" Target="media/image6.png"/><Relationship Id="rId13" Type="http://schemas.openxmlformats.org/officeDocument/2006/relationships/image" Target="media/image3.png"/><Relationship Id="rId12"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15" Type="http://schemas.openxmlformats.org/officeDocument/2006/relationships/hyperlink" Target="http://simulations.in" TargetMode="External"/><Relationship Id="rId14" Type="http://schemas.openxmlformats.org/officeDocument/2006/relationships/image" Target="media/image1.png"/><Relationship Id="rId17" Type="http://schemas.openxmlformats.org/officeDocument/2006/relationships/image" Target="media/image12.png"/><Relationship Id="rId16" Type="http://schemas.openxmlformats.org/officeDocument/2006/relationships/image" Target="media/image14.png"/><Relationship Id="rId5" Type="http://schemas.openxmlformats.org/officeDocument/2006/relationships/styles" Target="styles.xml"/><Relationship Id="rId19" Type="http://schemas.openxmlformats.org/officeDocument/2006/relationships/image" Target="media/image5.png"/><Relationship Id="rId6" Type="http://schemas.openxmlformats.org/officeDocument/2006/relationships/image" Target="media/image7.png"/><Relationship Id="rId18" Type="http://schemas.openxmlformats.org/officeDocument/2006/relationships/image" Target="media/image4.png"/><Relationship Id="rId7" Type="http://schemas.openxmlformats.org/officeDocument/2006/relationships/image" Target="media/image2.png"/><Relationship Id="rId8"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