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30F8" w14:textId="77777777" w:rsidR="00447EBC" w:rsidRDefault="00447EBC" w:rsidP="00447E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4A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Table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D24A5A">
        <w:rPr>
          <w:rFonts w:ascii="Times New Roman" w:hAnsi="Times New Roman" w:cs="Times New Roman"/>
          <w:sz w:val="24"/>
          <w:szCs w:val="24"/>
          <w:shd w:val="clear" w:color="auto" w:fill="FFFFFF"/>
        </w:rPr>
        <w:t>. Thematic Analysis Procedure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0"/>
      </w:tblGrid>
      <w:tr w:rsidR="00447EBC" w:rsidRPr="00D24A5A" w14:paraId="07B7D373" w14:textId="77777777" w:rsidTr="00447EBC">
        <w:trPr>
          <w:trHeight w:val="2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4FAC" w14:textId="77777777" w:rsidR="00447EBC" w:rsidRPr="00D24A5A" w:rsidRDefault="00447EBC" w:rsidP="002F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D24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Analytical Stage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2817" w14:textId="77777777" w:rsidR="00447EBC" w:rsidRPr="00D24A5A" w:rsidRDefault="00447EBC" w:rsidP="002F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D24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Description of Process</w:t>
            </w:r>
          </w:p>
        </w:tc>
      </w:tr>
      <w:tr w:rsidR="00447EBC" w:rsidRPr="00D24A5A" w14:paraId="36C64E8D" w14:textId="77777777" w:rsidTr="00447EBC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9521" w14:textId="77777777" w:rsidR="00447EBC" w:rsidRPr="00D24A5A" w:rsidRDefault="00447E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D24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Data familiarisation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0EF3A" w14:textId="77777777" w:rsidR="00447EBC" w:rsidRPr="00D24A5A" w:rsidRDefault="00447E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F42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Full-text articles were read several times to understand how disengagement and dropout were defined and measured. Notes were recorded on key definitions, indicators, and measurement approaches.</w:t>
            </w:r>
          </w:p>
        </w:tc>
      </w:tr>
      <w:tr w:rsidR="00447EBC" w:rsidRPr="00D24A5A" w14:paraId="1059DF96" w14:textId="77777777" w:rsidTr="00447EBC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3FD3" w14:textId="77777777" w:rsidR="00447EBC" w:rsidRPr="00D24A5A" w:rsidRDefault="00447E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D24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Initial coding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823B" w14:textId="77777777" w:rsidR="00447EBC" w:rsidRPr="00D24A5A" w:rsidRDefault="00447E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F42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Key concepts related to disengagement and dropout were identified and coded. Examples included absenteeism, truancy, cynicism toward school, loss of meaning in schooling, and time-on-task.</w:t>
            </w:r>
          </w:p>
        </w:tc>
      </w:tr>
      <w:tr w:rsidR="00447EBC" w:rsidRPr="00D24A5A" w14:paraId="17EEA457" w14:textId="77777777" w:rsidTr="00447EBC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4246" w14:textId="77777777" w:rsidR="00447EBC" w:rsidRPr="00D24A5A" w:rsidRDefault="00447E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D24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Category development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6DE4" w14:textId="77777777" w:rsidR="00447EBC" w:rsidRPr="00D24A5A" w:rsidRDefault="00447E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F42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Similar codes were grouped into broader categories to identify patterns in how disengagement was conceptualised and measured. Categories included administrative indicators, psychosocial indicators, and learning engagement indicators.</w:t>
            </w:r>
          </w:p>
        </w:tc>
      </w:tr>
      <w:tr w:rsidR="00447EBC" w:rsidRPr="00D24A5A" w14:paraId="567CC9FC" w14:textId="77777777" w:rsidTr="00447EBC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4F49" w14:textId="77777777" w:rsidR="00447EBC" w:rsidRPr="00D24A5A" w:rsidRDefault="00447E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D24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Theme development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6768" w14:textId="77777777" w:rsidR="00447EBC" w:rsidRPr="00D24A5A" w:rsidRDefault="00447E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F42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The categories were combined into broader themes that reflected common patterns across the reviewed studies.</w:t>
            </w:r>
          </w:p>
        </w:tc>
      </w:tr>
      <w:tr w:rsidR="00447EBC" w:rsidRPr="00D24A5A" w14:paraId="5A492BB1" w14:textId="77777777" w:rsidTr="00447EBC">
        <w:trPr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B426" w14:textId="77777777" w:rsidR="00447EBC" w:rsidRPr="00D24A5A" w:rsidRDefault="00447E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D24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Interpretative synthesis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C2FE" w14:textId="77777777" w:rsidR="00447EBC" w:rsidRPr="00D24A5A" w:rsidRDefault="00447E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E6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The themes were interpreted within broader educational contexts, linking disengagement processes to institutional practices, systemic conditions, and patterns of dropout risk in the literature.</w:t>
            </w:r>
          </w:p>
        </w:tc>
      </w:tr>
    </w:tbl>
    <w:p w14:paraId="1DDD8FFA" w14:textId="77777777" w:rsidR="00447EBC" w:rsidRDefault="00447EBC"/>
    <w:sectPr w:rsidR="00447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BC"/>
    <w:rsid w:val="00447EBC"/>
    <w:rsid w:val="00BB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E90ED"/>
  <w15:chartTrackingRefBased/>
  <w15:docId w15:val="{E25875F1-D1F7-4BFB-B8AD-63EDEB5B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EBC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E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E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E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E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E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E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E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E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E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EB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EB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7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EBC"/>
    <w:pPr>
      <w:spacing w:line="278" w:lineRule="auto"/>
      <w:ind w:left="720"/>
      <w:contextualSpacing/>
    </w:pPr>
    <w:rPr>
      <w:kern w:val="2"/>
      <w:sz w:val="24"/>
      <w:szCs w:val="24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7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960</Characters>
  <Application>Microsoft Office Word</Application>
  <DocSecurity>0</DocSecurity>
  <Lines>28</Lines>
  <Paragraphs>13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NUR AISHAH SUMAP</dc:creator>
  <cp:keywords/>
  <dc:description/>
  <cp:lastModifiedBy>SITI NUR AISHAH SUMAP</cp:lastModifiedBy>
  <cp:revision>1</cp:revision>
  <dcterms:created xsi:type="dcterms:W3CDTF">2026-03-10T15:08:00Z</dcterms:created>
  <dcterms:modified xsi:type="dcterms:W3CDTF">2026-03-10T15:09:00Z</dcterms:modified>
</cp:coreProperties>
</file>