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F8551" w14:textId="77777777" w:rsidR="00E0634D" w:rsidRPr="00491AFB" w:rsidRDefault="00E0634D" w:rsidP="00E0634D">
      <w:pPr>
        <w:jc w:val="center"/>
        <w:rPr>
          <w:rFonts w:ascii="Times New Roman" w:hAnsi="Times New Roman" w:cs="Times New Roman"/>
          <w:sz w:val="24"/>
          <w:szCs w:val="24"/>
          <w:shd w:val="clear" w:color="auto" w:fill="FFFFFF"/>
          <w:lang w:val="en-MY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MY"/>
        </w:rPr>
        <w:t xml:space="preserve">Table 7 </w:t>
      </w:r>
      <w:r w:rsidRPr="00491AFB">
        <w:rPr>
          <w:rFonts w:ascii="Times New Roman" w:hAnsi="Times New Roman" w:cs="Times New Roman"/>
          <w:sz w:val="24"/>
          <w:szCs w:val="24"/>
          <w:shd w:val="clear" w:color="auto" w:fill="FFFFFF"/>
          <w:lang w:val="en-MY"/>
        </w:rPr>
        <w:t>Distribution of Consequences of School Disengagement in the Literature (n = 31)</w:t>
      </w:r>
    </w:p>
    <w:tbl>
      <w:tblPr>
        <w:tblW w:w="10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2791"/>
        <w:gridCol w:w="1643"/>
        <w:gridCol w:w="4067"/>
      </w:tblGrid>
      <w:tr w:rsidR="00E0634D" w:rsidRPr="002102F5" w14:paraId="449C4BA9" w14:textId="77777777" w:rsidTr="002F7709">
        <w:trPr>
          <w:trHeight w:val="306"/>
        </w:trPr>
        <w:tc>
          <w:tcPr>
            <w:tcW w:w="1838" w:type="dxa"/>
            <w:noWrap/>
            <w:vAlign w:val="center"/>
            <w:hideMark/>
          </w:tcPr>
          <w:p w14:paraId="14BA584F" w14:textId="77777777" w:rsidR="00E0634D" w:rsidRPr="002102F5" w:rsidRDefault="00E0634D" w:rsidP="002F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MY" w:eastAsia="en-MY"/>
              </w:rPr>
            </w:pPr>
            <w:r w:rsidRPr="002102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MY" w:eastAsia="en-MY"/>
              </w:rPr>
              <w:t>Consequence Category</w:t>
            </w:r>
          </w:p>
        </w:tc>
        <w:tc>
          <w:tcPr>
            <w:tcW w:w="2791" w:type="dxa"/>
            <w:noWrap/>
            <w:vAlign w:val="center"/>
            <w:hideMark/>
          </w:tcPr>
          <w:p w14:paraId="4BDA870B" w14:textId="77777777" w:rsidR="00E0634D" w:rsidRPr="002102F5" w:rsidRDefault="00E0634D" w:rsidP="002F77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MY" w:eastAsia="en-MY"/>
              </w:rPr>
            </w:pPr>
            <w:r w:rsidRPr="002102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MY" w:eastAsia="en-MY"/>
              </w:rPr>
              <w:t>Outcomes Measured</w:t>
            </w:r>
          </w:p>
        </w:tc>
        <w:tc>
          <w:tcPr>
            <w:tcW w:w="1643" w:type="dxa"/>
            <w:noWrap/>
            <w:vAlign w:val="center"/>
            <w:hideMark/>
          </w:tcPr>
          <w:p w14:paraId="197BA19E" w14:textId="77777777" w:rsidR="00E0634D" w:rsidRPr="002102F5" w:rsidRDefault="00E0634D" w:rsidP="002F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MY" w:eastAsia="en-MY"/>
              </w:rPr>
            </w:pPr>
            <w:r w:rsidRPr="002102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MY" w:eastAsia="en-MY"/>
              </w:rPr>
              <w:t>n (out of 31)</w:t>
            </w:r>
          </w:p>
        </w:tc>
        <w:tc>
          <w:tcPr>
            <w:tcW w:w="4067" w:type="dxa"/>
            <w:noWrap/>
            <w:vAlign w:val="center"/>
            <w:hideMark/>
          </w:tcPr>
          <w:p w14:paraId="36F3DE1A" w14:textId="77777777" w:rsidR="00E0634D" w:rsidRPr="002102F5" w:rsidRDefault="00E0634D" w:rsidP="002F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MY" w:eastAsia="en-MY"/>
              </w:rPr>
            </w:pPr>
            <w:r w:rsidRPr="002102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MY" w:eastAsia="en-MY"/>
              </w:rPr>
              <w:t>Research Gaps</w:t>
            </w:r>
          </w:p>
        </w:tc>
      </w:tr>
      <w:tr w:rsidR="00E0634D" w:rsidRPr="002102F5" w14:paraId="6487F395" w14:textId="77777777" w:rsidTr="002F7709">
        <w:trPr>
          <w:trHeight w:val="306"/>
        </w:trPr>
        <w:tc>
          <w:tcPr>
            <w:tcW w:w="1838" w:type="dxa"/>
            <w:noWrap/>
            <w:vAlign w:val="center"/>
            <w:hideMark/>
          </w:tcPr>
          <w:p w14:paraId="3B0F5F6C" w14:textId="77777777" w:rsidR="00E0634D" w:rsidRPr="002102F5" w:rsidRDefault="00E0634D" w:rsidP="002F7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210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  <w:t>Academic outcomes</w:t>
            </w:r>
          </w:p>
        </w:tc>
        <w:tc>
          <w:tcPr>
            <w:tcW w:w="2791" w:type="dxa"/>
            <w:noWrap/>
            <w:vAlign w:val="center"/>
            <w:hideMark/>
          </w:tcPr>
          <w:p w14:paraId="57CC8195" w14:textId="77777777" w:rsidR="00E0634D" w:rsidRPr="002102F5" w:rsidRDefault="00E0634D" w:rsidP="002F7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210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  <w:t>Attendance, absenteeism, completion, academic performance, qualification attainment</w:t>
            </w:r>
          </w:p>
        </w:tc>
        <w:tc>
          <w:tcPr>
            <w:tcW w:w="1643" w:type="dxa"/>
            <w:noWrap/>
            <w:vAlign w:val="center"/>
            <w:hideMark/>
          </w:tcPr>
          <w:p w14:paraId="5B9418AE" w14:textId="77777777" w:rsidR="00E0634D" w:rsidRPr="002102F5" w:rsidRDefault="00E0634D" w:rsidP="002F77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210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  <w:t>23</w:t>
            </w:r>
          </w:p>
        </w:tc>
        <w:tc>
          <w:tcPr>
            <w:tcW w:w="4067" w:type="dxa"/>
            <w:noWrap/>
            <w:vAlign w:val="center"/>
            <w:hideMark/>
          </w:tcPr>
          <w:p w14:paraId="5B83A619" w14:textId="77777777" w:rsidR="00E0634D" w:rsidRPr="002102F5" w:rsidRDefault="00E0634D" w:rsidP="002F7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E35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Research focuses mainly on academic indicators, giving limited attention to wider consequences of disengagement.</w:t>
            </w:r>
          </w:p>
        </w:tc>
      </w:tr>
      <w:tr w:rsidR="00E0634D" w:rsidRPr="002102F5" w14:paraId="68AC38AD" w14:textId="77777777" w:rsidTr="002F7709">
        <w:trPr>
          <w:trHeight w:val="306"/>
        </w:trPr>
        <w:tc>
          <w:tcPr>
            <w:tcW w:w="1838" w:type="dxa"/>
            <w:noWrap/>
            <w:vAlign w:val="center"/>
            <w:hideMark/>
          </w:tcPr>
          <w:p w14:paraId="4E98878D" w14:textId="77777777" w:rsidR="00E0634D" w:rsidRPr="002102F5" w:rsidRDefault="00E0634D" w:rsidP="002F7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210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  <w:t>Behavioural and psychological signals</w:t>
            </w:r>
          </w:p>
        </w:tc>
        <w:tc>
          <w:tcPr>
            <w:tcW w:w="2791" w:type="dxa"/>
            <w:noWrap/>
            <w:vAlign w:val="center"/>
            <w:hideMark/>
          </w:tcPr>
          <w:p w14:paraId="4C94FFB1" w14:textId="77777777" w:rsidR="00E0634D" w:rsidRPr="002102F5" w:rsidRDefault="00E0634D" w:rsidP="002F7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210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  <w:t>Dropout intention, motivation, self-efficacy, emotional and behavioural risk indicators</w:t>
            </w:r>
          </w:p>
        </w:tc>
        <w:tc>
          <w:tcPr>
            <w:tcW w:w="1643" w:type="dxa"/>
            <w:noWrap/>
            <w:vAlign w:val="center"/>
            <w:hideMark/>
          </w:tcPr>
          <w:p w14:paraId="0B22107B" w14:textId="77777777" w:rsidR="00E0634D" w:rsidRPr="002102F5" w:rsidRDefault="00E0634D" w:rsidP="002F77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210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  <w:t>6</w:t>
            </w:r>
          </w:p>
        </w:tc>
        <w:tc>
          <w:tcPr>
            <w:tcW w:w="4067" w:type="dxa"/>
            <w:noWrap/>
            <w:vAlign w:val="center"/>
            <w:hideMark/>
          </w:tcPr>
          <w:p w14:paraId="34DEF6BB" w14:textId="77777777" w:rsidR="00E0634D" w:rsidRPr="002102F5" w:rsidRDefault="00E0634D" w:rsidP="002F7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E35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Early warning indicators are widely studied but usually treated as predictors rather than outcomes.</w:t>
            </w:r>
          </w:p>
        </w:tc>
      </w:tr>
      <w:tr w:rsidR="00E0634D" w:rsidRPr="002102F5" w14:paraId="4998C7AC" w14:textId="77777777" w:rsidTr="002F7709">
        <w:trPr>
          <w:trHeight w:val="306"/>
        </w:trPr>
        <w:tc>
          <w:tcPr>
            <w:tcW w:w="1838" w:type="dxa"/>
            <w:noWrap/>
            <w:vAlign w:val="center"/>
            <w:hideMark/>
          </w:tcPr>
          <w:p w14:paraId="32072F66" w14:textId="77777777" w:rsidR="00E0634D" w:rsidRPr="002102F5" w:rsidRDefault="00E0634D" w:rsidP="002F7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210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  <w:t>Institutional outcomes</w:t>
            </w:r>
          </w:p>
        </w:tc>
        <w:tc>
          <w:tcPr>
            <w:tcW w:w="2791" w:type="dxa"/>
            <w:noWrap/>
            <w:vAlign w:val="center"/>
            <w:hideMark/>
          </w:tcPr>
          <w:p w14:paraId="58B21AC5" w14:textId="77777777" w:rsidR="00E0634D" w:rsidRPr="002102F5" w:rsidRDefault="00E0634D" w:rsidP="002F7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210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  <w:t>School discipline incidents, monitoring systems, reintegration processes, school climate</w:t>
            </w:r>
          </w:p>
        </w:tc>
        <w:tc>
          <w:tcPr>
            <w:tcW w:w="1643" w:type="dxa"/>
            <w:noWrap/>
            <w:vAlign w:val="center"/>
            <w:hideMark/>
          </w:tcPr>
          <w:p w14:paraId="43B9D2AE" w14:textId="77777777" w:rsidR="00E0634D" w:rsidRPr="002102F5" w:rsidRDefault="00E0634D" w:rsidP="002F77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210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  <w:t>6</w:t>
            </w:r>
          </w:p>
        </w:tc>
        <w:tc>
          <w:tcPr>
            <w:tcW w:w="4067" w:type="dxa"/>
            <w:noWrap/>
            <w:vAlign w:val="center"/>
            <w:hideMark/>
          </w:tcPr>
          <w:p w14:paraId="4AD43241" w14:textId="77777777" w:rsidR="00E0634D" w:rsidRPr="002102F5" w:rsidRDefault="00E0634D" w:rsidP="002F7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E35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Institutional consequences are rarely measured directly and are usually examined only through academic outcomes.</w:t>
            </w:r>
          </w:p>
        </w:tc>
      </w:tr>
      <w:tr w:rsidR="00E0634D" w:rsidRPr="002102F5" w14:paraId="17D7EEA2" w14:textId="77777777" w:rsidTr="002F7709">
        <w:trPr>
          <w:trHeight w:val="306"/>
        </w:trPr>
        <w:tc>
          <w:tcPr>
            <w:tcW w:w="1838" w:type="dxa"/>
            <w:noWrap/>
            <w:vAlign w:val="center"/>
            <w:hideMark/>
          </w:tcPr>
          <w:p w14:paraId="0530E615" w14:textId="77777777" w:rsidR="00E0634D" w:rsidRPr="002102F5" w:rsidRDefault="00E0634D" w:rsidP="002F7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210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  <w:t>Societal outcomes</w:t>
            </w:r>
          </w:p>
        </w:tc>
        <w:tc>
          <w:tcPr>
            <w:tcW w:w="2791" w:type="dxa"/>
            <w:noWrap/>
            <w:vAlign w:val="center"/>
            <w:hideMark/>
          </w:tcPr>
          <w:p w14:paraId="3FF769E1" w14:textId="77777777" w:rsidR="00E0634D" w:rsidRPr="002102F5" w:rsidRDefault="00E0634D" w:rsidP="002F7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210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  <w:t>Long-term economic productivity, substance use, legal problems, mental health outcomes</w:t>
            </w:r>
          </w:p>
        </w:tc>
        <w:tc>
          <w:tcPr>
            <w:tcW w:w="1643" w:type="dxa"/>
            <w:noWrap/>
            <w:vAlign w:val="center"/>
            <w:hideMark/>
          </w:tcPr>
          <w:p w14:paraId="11A5A3B3" w14:textId="77777777" w:rsidR="00E0634D" w:rsidRPr="002102F5" w:rsidRDefault="00E0634D" w:rsidP="002F77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210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  <w:t>3</w:t>
            </w:r>
          </w:p>
        </w:tc>
        <w:tc>
          <w:tcPr>
            <w:tcW w:w="4067" w:type="dxa"/>
            <w:noWrap/>
            <w:vAlign w:val="center"/>
            <w:hideMark/>
          </w:tcPr>
          <w:p w14:paraId="1A85BE08" w14:textId="77777777" w:rsidR="00E0634D" w:rsidRPr="002102F5" w:rsidRDefault="00E0634D" w:rsidP="002F7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 w:eastAsia="en-MY"/>
              </w:rPr>
            </w:pPr>
            <w:r w:rsidRPr="00E35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MY"/>
              </w:rPr>
              <w:t>Broader societal impacts of dropout are mostly inferred rather than directly examined.</w:t>
            </w:r>
          </w:p>
        </w:tc>
      </w:tr>
    </w:tbl>
    <w:p w14:paraId="5C119C13" w14:textId="77777777" w:rsidR="00E0634D" w:rsidRDefault="00E0634D"/>
    <w:sectPr w:rsidR="00E063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34D"/>
    <w:rsid w:val="00BB58DF"/>
    <w:rsid w:val="00E06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797A24"/>
  <w15:chartTrackingRefBased/>
  <w15:docId w15:val="{C4673532-9663-4EF8-9886-09EE48D94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M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634D"/>
    <w:pPr>
      <w:spacing w:line="259" w:lineRule="auto"/>
    </w:pPr>
    <w:rPr>
      <w:kern w:val="0"/>
      <w:sz w:val="22"/>
      <w:szCs w:val="22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0634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MY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634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MY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634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MY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634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MY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634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MY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634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MY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634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MY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634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MY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634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MY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63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63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63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63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63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63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63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63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63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63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MY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063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634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MY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063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634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MY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063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634D"/>
    <w:pPr>
      <w:spacing w:line="278" w:lineRule="auto"/>
      <w:ind w:left="720"/>
      <w:contextualSpacing/>
    </w:pPr>
    <w:rPr>
      <w:kern w:val="2"/>
      <w:sz w:val="24"/>
      <w:szCs w:val="24"/>
      <w:lang w:val="en-MY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063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63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en-MY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63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634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895</Characters>
  <Application>Microsoft Office Word</Application>
  <DocSecurity>0</DocSecurity>
  <Lines>63</Lines>
  <Paragraphs>28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SITI NUR AISHAH SUMAP</dc:creator>
  <cp:keywords/>
  <dc:description/>
  <cp:lastModifiedBy>SITI NUR AISHAH SUMAP</cp:lastModifiedBy>
  <cp:revision>1</cp:revision>
  <dcterms:created xsi:type="dcterms:W3CDTF">2026-03-10T15:13:00Z</dcterms:created>
  <dcterms:modified xsi:type="dcterms:W3CDTF">2026-03-10T15:13:00Z</dcterms:modified>
</cp:coreProperties>
</file>