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BD71F3">
      <w:pPr>
        <w:pStyle w:val="52"/>
        <w:rPr>
          <w:b w:val="0"/>
        </w:rPr>
      </w:pPr>
      <w:r>
        <w:t>Supplementary Material</w:t>
      </w:r>
    </w:p>
    <w:p w14:paraId="6EC94BDE">
      <w:pPr>
        <w:pStyle w:val="2"/>
      </w:pPr>
      <w:r>
        <w:t>Supplementary Figures and Tables</w:t>
      </w:r>
    </w:p>
    <w:p w14:paraId="4EBC54A1">
      <w:pPr>
        <w:pStyle w:val="4"/>
        <w:rPr>
          <w:rFonts w:eastAsia="宋体" w:cs="Times New Roman"/>
          <w:b/>
          <w:bCs/>
          <w:szCs w:val="24"/>
          <w:lang w:eastAsia="zh-CN"/>
        </w:rPr>
      </w:pPr>
      <w:r>
        <w:t>Supplementary Figures</w:t>
      </w:r>
      <w:bookmarkStart w:id="0" w:name="_Hlk207365608"/>
    </w:p>
    <w:p w14:paraId="12FF8595">
      <w:pPr>
        <w:pStyle w:val="4"/>
        <w:numPr>
          <w:numId w:val="0"/>
        </w:numPr>
        <w:ind w:leftChars="0"/>
        <w:rPr>
          <w:rFonts w:hint="eastAsia" w:cs="Times New Roman"/>
          <w:b/>
          <w:bCs/>
          <w:szCs w:val="24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067300" cy="6372225"/>
            <wp:effectExtent l="0" t="0" r="0" b="0"/>
            <wp:wrapThrough wrapText="bothSides">
              <wp:wrapPolygon>
                <wp:start x="0" y="0"/>
                <wp:lineTo x="0" y="21568"/>
                <wp:lineTo x="21559" y="21568"/>
                <wp:lineTo x="21559" y="0"/>
                <wp:lineTo x="0" y="0"/>
              </wp:wrapPolygon>
            </wp:wrapThrough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80000</wp14:pctWidth>
            </wp14:sizeRelH>
            <wp14:sizeRelV relativeFrom="page">
              <wp14:pctHeight>80000</wp14:pctHeight>
            </wp14:sizeRelV>
          </wp:anchor>
        </w:drawing>
      </w:r>
    </w:p>
    <w:p w14:paraId="44683263">
      <w:pPr>
        <w:rPr>
          <w:rFonts w:hint="eastAsia" w:cs="Times New Roman"/>
          <w:b/>
          <w:bCs/>
          <w:szCs w:val="24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010150" cy="6062345"/>
            <wp:effectExtent l="0" t="0" r="0" b="0"/>
            <wp:wrapThrough wrapText="bothSides">
              <wp:wrapPolygon>
                <wp:start x="0" y="0"/>
                <wp:lineTo x="0" y="21550"/>
                <wp:lineTo x="21559" y="21550"/>
                <wp:lineTo x="21559" y="0"/>
                <wp:lineTo x="0" y="0"/>
              </wp:wrapPolygon>
            </wp:wrapThrough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b="2232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06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80000</wp14:pctWidth>
            </wp14:sizeRelH>
            <wp14:sizeRelV relativeFrom="page">
              <wp14:pctHeight>80000</wp14:pctHeight>
            </wp14:sizeRelV>
          </wp:anchor>
        </w:drawing>
      </w:r>
    </w:p>
    <w:p w14:paraId="57BBCCC8">
      <w:pPr>
        <w:rPr>
          <w:rFonts w:hint="eastAsia" w:cs="Times New Roman"/>
          <w:b/>
          <w:bCs/>
          <w:szCs w:val="24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214110" cy="7200265"/>
            <wp:effectExtent l="0" t="0" r="0" b="0"/>
            <wp:wrapThrough wrapText="bothSides">
              <wp:wrapPolygon>
                <wp:start x="0" y="0"/>
                <wp:lineTo x="0" y="21573"/>
                <wp:lineTo x="21554" y="21573"/>
                <wp:lineTo x="21554" y="0"/>
                <wp:lineTo x="0" y="0"/>
              </wp:wrapPolygon>
            </wp:wrapThrough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411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0EA335">
      <w:pPr>
        <w:rPr>
          <w:rFonts w:hint="eastAsia" w:cs="Times New Roman"/>
          <w:b/>
          <w:bCs/>
          <w:szCs w:val="24"/>
        </w:rPr>
      </w:pPr>
    </w:p>
    <w:p w14:paraId="7832D60A">
      <w:pPr>
        <w:rPr>
          <w:rFonts w:hint="eastAsia" w:cs="Times New Roman"/>
          <w:b/>
          <w:bCs/>
          <w:szCs w:val="24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124450" cy="5495925"/>
            <wp:effectExtent l="0" t="0" r="0" b="0"/>
            <wp:wrapThrough wrapText="bothSides">
              <wp:wrapPolygon>
                <wp:start x="0" y="0"/>
                <wp:lineTo x="0" y="21563"/>
                <wp:lineTo x="21560" y="21563"/>
                <wp:lineTo x="21560" y="0"/>
                <wp:lineTo x="0" y="0"/>
              </wp:wrapPolygon>
            </wp:wrapThrough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80000</wp14:pctWidth>
            </wp14:sizeRelH>
            <wp14:sizeRelV relativeFrom="page">
              <wp14:pctHeight>75000</wp14:pctHeight>
            </wp14:sizeRelV>
          </wp:anchor>
        </w:drawing>
      </w:r>
    </w:p>
    <w:p w14:paraId="228D0158">
      <w:pPr>
        <w:rPr>
          <w:rFonts w:hint="eastAsia" w:cs="Times New Roman"/>
          <w:b/>
          <w:bCs/>
          <w:szCs w:val="24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219700" cy="6372225"/>
            <wp:effectExtent l="0" t="0" r="0" b="0"/>
            <wp:wrapThrough wrapText="bothSides">
              <wp:wrapPolygon>
                <wp:start x="0" y="0"/>
                <wp:lineTo x="0" y="21568"/>
                <wp:lineTo x="21561" y="21568"/>
                <wp:lineTo x="21561" y="0"/>
                <wp:lineTo x="0" y="0"/>
              </wp:wrapPolygon>
            </wp:wrapThrough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80000</wp14:pctWidth>
            </wp14:sizeRelH>
            <wp14:sizeRelV relativeFrom="page">
              <wp14:pctHeight>80000</wp14:pctHeight>
            </wp14:sizeRelV>
          </wp:anchor>
        </w:drawing>
      </w:r>
    </w:p>
    <w:p w14:paraId="7C1DDE54">
      <w:pPr>
        <w:rPr>
          <w:rFonts w:hint="eastAsia" w:cs="Times New Roman"/>
          <w:b/>
          <w:bCs/>
          <w:szCs w:val="24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133975" cy="6172200"/>
            <wp:effectExtent l="0" t="0" r="0" b="0"/>
            <wp:wrapThrough wrapText="bothSides">
              <wp:wrapPolygon>
                <wp:start x="0" y="0"/>
                <wp:lineTo x="0" y="21567"/>
                <wp:lineTo x="21560" y="21567"/>
                <wp:lineTo x="21560" y="0"/>
                <wp:lineTo x="0" y="0"/>
              </wp:wrapPolygon>
            </wp:wrapThrough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80000</wp14:pctWidth>
            </wp14:sizeRelH>
            <wp14:sizeRelV relativeFrom="page">
              <wp14:pctHeight>80000</wp14:pctHeight>
            </wp14:sizeRelV>
          </wp:anchor>
        </w:drawing>
      </w:r>
    </w:p>
    <w:p w14:paraId="54F8947F">
      <w:pPr>
        <w:rPr>
          <w:rFonts w:hint="eastAsia" w:cs="Times New Roman"/>
          <w:b/>
          <w:bCs/>
          <w:szCs w:val="24"/>
        </w:rPr>
      </w:pPr>
      <w:r>
        <w:drawing>
          <wp:anchor distT="0" distB="0" distL="114935" distR="114935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81600" cy="6381750"/>
            <wp:effectExtent l="0" t="0" r="0" b="0"/>
            <wp:wrapThrough wrapText="bothSides">
              <wp:wrapPolygon>
                <wp:start x="0" y="0"/>
                <wp:lineTo x="0" y="21568"/>
                <wp:lineTo x="21560" y="21568"/>
                <wp:lineTo x="21560" y="0"/>
                <wp:lineTo x="0" y="0"/>
              </wp:wrapPolygon>
            </wp:wrapThrough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80000</wp14:pctWidth>
            </wp14:sizeRelH>
            <wp14:sizeRelV relativeFrom="page">
              <wp14:pctHeight>80000</wp14:pctHeight>
            </wp14:sizeRelV>
          </wp:anchor>
        </w:drawing>
      </w:r>
    </w:p>
    <w:p w14:paraId="6732CE3F">
      <w:pPr>
        <w:rPr>
          <w:rFonts w:cs="Times New Roman"/>
          <w:szCs w:val="28"/>
        </w:rPr>
      </w:pPr>
      <w:r>
        <w:rPr>
          <w:rFonts w:hint="eastAsia" w:cs="Times New Roman"/>
          <w:b/>
          <w:bCs/>
          <w:szCs w:val="24"/>
        </w:rPr>
        <w:t>Supplementary Figure 1</w:t>
      </w:r>
      <w:r>
        <w:rPr>
          <w:rFonts w:hint="eastAsia" w:cs="Times New Roman"/>
          <w:b/>
          <w:bCs/>
          <w:szCs w:val="28"/>
        </w:rPr>
        <w:t>. scRNA-seq clustering and CNV analysis in the GSE184880 cohort. (A)</w:t>
      </w:r>
      <w:r>
        <w:rPr>
          <w:rFonts w:hint="eastAsia" w:cs="Times New Roman"/>
          <w:szCs w:val="28"/>
        </w:rPr>
        <w:t xml:space="preserve"> Comparative display of t-SNE distribution differences among various cell types in the normal and tumor groups. </w:t>
      </w:r>
      <w:r>
        <w:rPr>
          <w:rFonts w:hint="eastAsia" w:cs="Times New Roman"/>
          <w:b/>
          <w:bCs/>
          <w:szCs w:val="28"/>
        </w:rPr>
        <w:t>(B)</w:t>
      </w:r>
      <w:r>
        <w:rPr>
          <w:rFonts w:hint="eastAsia" w:cs="Times New Roman"/>
          <w:szCs w:val="28"/>
        </w:rPr>
        <w:t xml:space="preserve"> Number of each cell type in the normal and tumor groups. </w:t>
      </w:r>
      <w:r>
        <w:rPr>
          <w:rFonts w:hint="eastAsia" w:cs="Times New Roman"/>
          <w:b/>
          <w:bCs/>
          <w:szCs w:val="28"/>
        </w:rPr>
        <w:t>(C)</w:t>
      </w:r>
      <w:r>
        <w:rPr>
          <w:rFonts w:hint="eastAsia" w:cs="Times New Roman"/>
          <w:szCs w:val="28"/>
        </w:rPr>
        <w:t xml:space="preserve"> Number of each cell type in individual samples. </w:t>
      </w:r>
      <w:r>
        <w:rPr>
          <w:rFonts w:hint="eastAsia" w:cs="Times New Roman"/>
          <w:b/>
          <w:bCs/>
          <w:szCs w:val="28"/>
        </w:rPr>
        <w:t>(D)</w:t>
      </w:r>
      <w:r>
        <w:rPr>
          <w:rFonts w:hint="eastAsia" w:cs="Times New Roman"/>
          <w:szCs w:val="28"/>
        </w:rPr>
        <w:t xml:space="preserve"> Cell proportion plots for each cell type in individual samples. </w:t>
      </w:r>
      <w:r>
        <w:rPr>
          <w:rFonts w:hint="eastAsia" w:cs="Times New Roman"/>
          <w:b/>
          <w:bCs/>
          <w:szCs w:val="28"/>
        </w:rPr>
        <w:t>(E)</w:t>
      </w:r>
      <w:r>
        <w:rPr>
          <w:rFonts w:hint="eastAsia" w:cs="Times New Roman"/>
          <w:szCs w:val="28"/>
        </w:rPr>
        <w:t xml:space="preserve"> Heatmap of </w:t>
      </w:r>
      <w:r>
        <w:rPr>
          <w:rFonts w:hint="eastAsia" w:eastAsia="宋体" w:cs="Times New Roman"/>
          <w:szCs w:val="28"/>
          <w:lang w:eastAsia="zh-CN"/>
        </w:rPr>
        <w:t>DEGs</w:t>
      </w:r>
      <w:r>
        <w:rPr>
          <w:rFonts w:hint="eastAsia" w:cs="Times New Roman"/>
          <w:szCs w:val="28"/>
        </w:rPr>
        <w:t xml:space="preserve"> </w:t>
      </w:r>
      <w:r>
        <w:rPr>
          <w:rFonts w:hint="eastAsia" w:eastAsia="宋体" w:cs="Times New Roman"/>
          <w:szCs w:val="28"/>
          <w:lang w:eastAsia="zh-CN"/>
        </w:rPr>
        <w:t>via</w:t>
      </w:r>
      <w:r>
        <w:rPr>
          <w:rFonts w:hint="eastAsia" w:cs="Times New Roman"/>
          <w:szCs w:val="28"/>
        </w:rPr>
        <w:t xml:space="preserve"> FindAllMarkers for each cell type. </w:t>
      </w:r>
      <w:r>
        <w:rPr>
          <w:rFonts w:hint="eastAsia" w:cs="Times New Roman"/>
          <w:b/>
          <w:bCs/>
          <w:szCs w:val="28"/>
        </w:rPr>
        <w:t>(F)</w:t>
      </w:r>
      <w:r>
        <w:rPr>
          <w:rFonts w:hint="eastAsia" w:cs="Times New Roman"/>
          <w:szCs w:val="28"/>
        </w:rPr>
        <w:t xml:space="preserve"> Heatmap of CNV analysis for each cell type in the normal and tumor groups.</w:t>
      </w:r>
      <w:r>
        <w:rPr>
          <w:rFonts w:hint="eastAsia" w:cs="Times New Roman"/>
          <w:b/>
          <w:bCs/>
          <w:szCs w:val="28"/>
        </w:rPr>
        <w:t xml:space="preserve"> (G)</w:t>
      </w:r>
      <w:r>
        <w:rPr>
          <w:rFonts w:hint="eastAsia" w:cs="Times New Roman"/>
          <w:szCs w:val="28"/>
        </w:rPr>
        <w:t xml:space="preserve"> Violin plot of CNV scores for each cell type in the tumor group.</w:t>
      </w:r>
    </w:p>
    <w:p w14:paraId="231F4298">
      <w:pPr>
        <w:rPr>
          <w:rFonts w:cs="Times New Roman"/>
          <w:szCs w:val="28"/>
        </w:rPr>
      </w:pPr>
      <w:r>
        <w:rPr>
          <w:rFonts w:cs="Times New Roman"/>
          <w:b/>
          <w:bCs/>
          <w:szCs w:val="24"/>
        </w:rPr>
        <w:t xml:space="preserve">Supplementary Figure </w:t>
      </w:r>
      <w:r>
        <w:rPr>
          <w:rFonts w:hint="eastAsia" w:eastAsia="宋体" w:cs="Times New Roman"/>
          <w:b/>
          <w:bCs/>
          <w:szCs w:val="24"/>
          <w:lang w:eastAsia="zh-CN"/>
        </w:rPr>
        <w:t>2</w:t>
      </w:r>
      <w:r>
        <w:rPr>
          <w:rFonts w:hint="eastAsia" w:cs="Times New Roman"/>
          <w:b/>
          <w:bCs/>
          <w:szCs w:val="28"/>
        </w:rPr>
        <w:t xml:space="preserve">. </w:t>
      </w:r>
      <w:r>
        <w:rPr>
          <w:rFonts w:cs="Times New Roman"/>
          <w:b/>
          <w:bCs/>
          <w:szCs w:val="28"/>
        </w:rPr>
        <w:t>Single-cell landscape of the GSE184880 cohort and systematic dissection of B-cell subsets</w:t>
      </w:r>
      <w:r>
        <w:rPr>
          <w:rFonts w:hint="eastAsia" w:cs="Times New Roman"/>
          <w:b/>
          <w:bCs/>
          <w:szCs w:val="28"/>
        </w:rPr>
        <w:t>. (A, B)</w:t>
      </w:r>
      <w:r>
        <w:rPr>
          <w:rFonts w:hint="eastAsia" w:cs="Times New Roman"/>
          <w:szCs w:val="28"/>
        </w:rPr>
        <w:t xml:space="preserve"> UMAP plots of single-cell proliferation and migration scores in the GSE184880 cohort based on the AddModuleScore function. </w:t>
      </w:r>
      <w:r>
        <w:rPr>
          <w:rFonts w:hint="eastAsia" w:cs="Times New Roman"/>
          <w:b/>
          <w:bCs/>
          <w:szCs w:val="28"/>
        </w:rPr>
        <w:t>(C, D)</w:t>
      </w:r>
      <w:r>
        <w:rPr>
          <w:rFonts w:hint="eastAsia" w:cs="Times New Roman"/>
          <w:szCs w:val="28"/>
        </w:rPr>
        <w:t xml:space="preserve"> Proliferation and migration scores for each cell type. </w:t>
      </w:r>
      <w:r>
        <w:rPr>
          <w:rFonts w:hint="eastAsia" w:cs="Times New Roman"/>
          <w:b/>
          <w:bCs/>
          <w:szCs w:val="28"/>
        </w:rPr>
        <w:t>(E)</w:t>
      </w:r>
      <w:r>
        <w:rPr>
          <w:rFonts w:hint="eastAsia" w:cs="Times New Roman"/>
          <w:szCs w:val="28"/>
        </w:rPr>
        <w:t xml:space="preserve"> Heatmap of GSVA-enriched functional features in normal versus tumor cohorts. </w:t>
      </w:r>
      <w:r>
        <w:rPr>
          <w:rFonts w:hint="eastAsia" w:cs="Times New Roman"/>
          <w:b/>
          <w:bCs/>
          <w:szCs w:val="28"/>
        </w:rPr>
        <w:t>(F)</w:t>
      </w:r>
      <w:r>
        <w:rPr>
          <w:rFonts w:hint="eastAsia" w:cs="Times New Roman"/>
          <w:szCs w:val="28"/>
        </w:rPr>
        <w:t xml:space="preserve"> CNV scores for B cell subpopulations in the tumor cohort.</w:t>
      </w:r>
      <w:r>
        <w:rPr>
          <w:rFonts w:hint="eastAsia" w:cs="Times New Roman"/>
          <w:b/>
          <w:bCs/>
          <w:szCs w:val="28"/>
        </w:rPr>
        <w:t xml:space="preserve"> (G)</w:t>
      </w:r>
      <w:r>
        <w:rPr>
          <w:rFonts w:hint="eastAsia" w:cs="Times New Roman"/>
          <w:szCs w:val="28"/>
        </w:rPr>
        <w:t xml:space="preserve"> Comparative display of t-SNE distribution differences between normal and tumor cohort B cell subpopulations. </w:t>
      </w:r>
      <w:r>
        <w:rPr>
          <w:rFonts w:hint="eastAsia" w:cs="Times New Roman"/>
          <w:b/>
          <w:bCs/>
          <w:szCs w:val="28"/>
        </w:rPr>
        <w:t>(H)</w:t>
      </w:r>
      <w:r>
        <w:rPr>
          <w:rFonts w:hint="eastAsia" w:cs="Times New Roman"/>
          <w:szCs w:val="28"/>
        </w:rPr>
        <w:t xml:space="preserve"> Cell proportion plots for B cell subpopulations in individual samples. </w:t>
      </w:r>
      <w:r>
        <w:rPr>
          <w:rFonts w:hint="eastAsia" w:cs="Times New Roman"/>
          <w:b/>
          <w:bCs/>
          <w:szCs w:val="28"/>
        </w:rPr>
        <w:t>(I)</w:t>
      </w:r>
      <w:r>
        <w:rPr>
          <w:rFonts w:hint="eastAsia" w:cs="Times New Roman"/>
          <w:szCs w:val="28"/>
        </w:rPr>
        <w:t xml:space="preserve"> </w:t>
      </w:r>
      <w:r>
        <w:rPr>
          <w:rFonts w:cs="Times New Roman"/>
          <w:szCs w:val="28"/>
        </w:rPr>
        <w:t>Chord</w:t>
      </w:r>
      <w:r>
        <w:rPr>
          <w:rFonts w:hint="eastAsia" w:cs="Times New Roman"/>
          <w:szCs w:val="28"/>
        </w:rPr>
        <w:t xml:space="preserve"> plots of gene differential expression analysis for B cell subpopulations.</w:t>
      </w:r>
    </w:p>
    <w:p w14:paraId="014A96CA">
      <w:pPr>
        <w:rPr>
          <w:rFonts w:cs="Times New Roman"/>
          <w:szCs w:val="28"/>
        </w:rPr>
      </w:pPr>
      <w:r>
        <w:rPr>
          <w:rFonts w:hint="eastAsia" w:cs="Times New Roman"/>
          <w:b/>
          <w:bCs/>
          <w:szCs w:val="24"/>
        </w:rPr>
        <w:t xml:space="preserve">Supplementary </w:t>
      </w:r>
      <w:r>
        <w:rPr>
          <w:rFonts w:hint="eastAsia" w:eastAsia="宋体" w:cs="Times New Roman"/>
          <w:b/>
          <w:bCs/>
          <w:szCs w:val="24"/>
          <w:lang w:eastAsia="zh-CN"/>
        </w:rPr>
        <w:t>F</w:t>
      </w:r>
      <w:r>
        <w:rPr>
          <w:rFonts w:hint="eastAsia" w:cs="Times New Roman"/>
          <w:b/>
          <w:bCs/>
          <w:szCs w:val="24"/>
        </w:rPr>
        <w:t xml:space="preserve">igure </w:t>
      </w:r>
      <w:r>
        <w:rPr>
          <w:rFonts w:hint="eastAsia" w:eastAsia="宋体" w:cs="Times New Roman"/>
          <w:b/>
          <w:bCs/>
          <w:szCs w:val="24"/>
          <w:lang w:eastAsia="zh-CN"/>
        </w:rPr>
        <w:t>3</w:t>
      </w:r>
      <w:r>
        <w:rPr>
          <w:rFonts w:hint="eastAsia" w:cs="Times New Roman"/>
          <w:b/>
          <w:bCs/>
          <w:szCs w:val="24"/>
        </w:rPr>
        <w:t>.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b/>
          <w:bCs/>
          <w:szCs w:val="28"/>
        </w:rPr>
        <w:t>Cellular communication analysis of the GSE184880 cohort and B cell subtypes. (A)</w:t>
      </w:r>
      <w:r>
        <w:rPr>
          <w:rFonts w:cs="Times New Roman"/>
          <w:szCs w:val="28"/>
        </w:rPr>
        <w:t xml:space="preserve"> Contribution of six cell types to different cell-to-cell communication patterns. </w:t>
      </w:r>
      <w:r>
        <w:rPr>
          <w:rFonts w:cs="Times New Roman"/>
          <w:b/>
          <w:bCs/>
          <w:szCs w:val="28"/>
        </w:rPr>
        <w:t>(B)</w:t>
      </w:r>
      <w:r>
        <w:rPr>
          <w:rFonts w:cs="Times New Roman"/>
          <w:szCs w:val="28"/>
        </w:rPr>
        <w:t xml:space="preserve"> Relative and absolute information </w:t>
      </w:r>
      <w:r>
        <w:rPr>
          <w:rFonts w:hint="eastAsia" w:cs="Times New Roman" w:eastAsiaTheme="minorEastAsia"/>
          <w:szCs w:val="28"/>
          <w:lang w:eastAsia="zh-CN"/>
        </w:rPr>
        <w:t>f</w:t>
      </w:r>
      <w:r>
        <w:rPr>
          <w:rFonts w:cs="Times New Roman"/>
          <w:szCs w:val="28"/>
        </w:rPr>
        <w:t xml:space="preserve">low of cellular communication </w:t>
      </w:r>
      <w:r>
        <w:rPr>
          <w:rFonts w:hint="eastAsia" w:cs="Times New Roman" w:eastAsiaTheme="minorEastAsia"/>
          <w:szCs w:val="28"/>
          <w:lang w:eastAsia="zh-CN"/>
        </w:rPr>
        <w:t>a</w:t>
      </w:r>
      <w:r>
        <w:rPr>
          <w:rFonts w:cs="Times New Roman"/>
          <w:szCs w:val="28"/>
        </w:rPr>
        <w:t xml:space="preserve">cross tissues among six cell types. </w:t>
      </w:r>
      <w:r>
        <w:rPr>
          <w:rFonts w:cs="Times New Roman"/>
          <w:b/>
          <w:bCs/>
          <w:szCs w:val="28"/>
        </w:rPr>
        <w:t>(C)</w:t>
      </w:r>
      <w:r>
        <w:rPr>
          <w:rFonts w:cs="Times New Roman"/>
          <w:szCs w:val="28"/>
        </w:rPr>
        <w:t xml:space="preserve"> Number and strength of cellular interactions among six cell types in normal and tumor tissues. </w:t>
      </w:r>
      <w:r>
        <w:rPr>
          <w:rFonts w:cs="Times New Roman"/>
          <w:b/>
          <w:bCs/>
          <w:szCs w:val="28"/>
        </w:rPr>
        <w:t>(D)</w:t>
      </w:r>
      <w:r>
        <w:rPr>
          <w:rFonts w:cs="Times New Roman"/>
          <w:szCs w:val="28"/>
        </w:rPr>
        <w:t xml:space="preserve"> Heatmap of ligand-receptor interactions between ASC and other B cell subtypes. </w:t>
      </w:r>
      <w:r>
        <w:rPr>
          <w:rFonts w:cs="Times New Roman"/>
          <w:b/>
          <w:bCs/>
          <w:szCs w:val="28"/>
        </w:rPr>
        <w:t>(E)</w:t>
      </w:r>
      <w:r>
        <w:rPr>
          <w:rFonts w:cs="Times New Roman"/>
          <w:szCs w:val="28"/>
        </w:rPr>
        <w:t xml:space="preserve"> Relative and absolute information </w:t>
      </w:r>
      <w:r>
        <w:rPr>
          <w:rFonts w:hint="eastAsia" w:cs="Times New Roman" w:eastAsiaTheme="minorEastAsia"/>
          <w:szCs w:val="28"/>
          <w:lang w:eastAsia="zh-CN"/>
        </w:rPr>
        <w:t>f</w:t>
      </w:r>
      <w:r>
        <w:rPr>
          <w:rFonts w:cs="Times New Roman"/>
          <w:szCs w:val="28"/>
        </w:rPr>
        <w:t xml:space="preserve">low of cellular communication cross tissues among </w:t>
      </w:r>
      <w:r>
        <w:rPr>
          <w:rFonts w:hint="eastAsia" w:cs="Times New Roman"/>
          <w:szCs w:val="28"/>
        </w:rPr>
        <w:t>three</w:t>
      </w:r>
      <w:r>
        <w:rPr>
          <w:rFonts w:cs="Times New Roman"/>
          <w:szCs w:val="28"/>
        </w:rPr>
        <w:t xml:space="preserve"> </w:t>
      </w:r>
      <w:r>
        <w:rPr>
          <w:rFonts w:hint="eastAsia" w:cs="Times New Roman"/>
          <w:szCs w:val="28"/>
        </w:rPr>
        <w:t xml:space="preserve">B </w:t>
      </w:r>
      <w:r>
        <w:rPr>
          <w:rFonts w:cs="Times New Roman"/>
          <w:szCs w:val="28"/>
        </w:rPr>
        <w:t xml:space="preserve">cell subtypes. </w:t>
      </w:r>
      <w:r>
        <w:rPr>
          <w:rFonts w:cs="Times New Roman"/>
          <w:b/>
          <w:bCs/>
          <w:szCs w:val="28"/>
        </w:rPr>
        <w:t>(F)</w:t>
      </w:r>
      <w:r>
        <w:rPr>
          <w:rFonts w:cs="Times New Roman"/>
          <w:szCs w:val="28"/>
        </w:rPr>
        <w:t xml:space="preserve"> Number and strength of cell interactions among B cell subtypes in normal and tumor tissues.</w:t>
      </w:r>
    </w:p>
    <w:p w14:paraId="2587877F">
      <w:pPr>
        <w:rPr>
          <w:rFonts w:cs="Times New Roman"/>
          <w:szCs w:val="28"/>
        </w:rPr>
      </w:pPr>
      <w:r>
        <w:rPr>
          <w:rFonts w:hint="eastAsia" w:cs="Times New Roman"/>
          <w:b/>
          <w:bCs/>
          <w:szCs w:val="24"/>
        </w:rPr>
        <w:t xml:space="preserve">Supplementary </w:t>
      </w:r>
      <w:r>
        <w:rPr>
          <w:rFonts w:hint="eastAsia" w:eastAsia="宋体" w:cs="Times New Roman"/>
          <w:b/>
          <w:bCs/>
          <w:szCs w:val="24"/>
          <w:lang w:eastAsia="zh-CN"/>
        </w:rPr>
        <w:t>F</w:t>
      </w:r>
      <w:r>
        <w:rPr>
          <w:rFonts w:hint="eastAsia" w:cs="Times New Roman"/>
          <w:b/>
          <w:bCs/>
          <w:szCs w:val="24"/>
        </w:rPr>
        <w:t xml:space="preserve">igure </w:t>
      </w:r>
      <w:r>
        <w:rPr>
          <w:rFonts w:hint="eastAsia" w:eastAsia="宋体" w:cs="Times New Roman"/>
          <w:b/>
          <w:bCs/>
          <w:szCs w:val="24"/>
          <w:lang w:eastAsia="zh-CN"/>
        </w:rPr>
        <w:t>4</w:t>
      </w:r>
      <w:r>
        <w:rPr>
          <w:rFonts w:hint="eastAsia" w:cs="Times New Roman"/>
          <w:b/>
          <w:bCs/>
          <w:szCs w:val="24"/>
        </w:rPr>
        <w:t>.</w:t>
      </w:r>
      <w:r>
        <w:rPr>
          <w:rFonts w:cs="Times New Roman"/>
          <w:szCs w:val="28"/>
        </w:rPr>
        <w:t xml:space="preserve"> </w:t>
      </w:r>
      <w:r>
        <w:rPr>
          <w:rFonts w:hint="eastAsia" w:cs="Times New Roman"/>
          <w:b/>
          <w:bCs/>
          <w:szCs w:val="28"/>
        </w:rPr>
        <w:t>hdWGCNA reveals co-expression modules in ASCs</w:t>
      </w:r>
      <w:r>
        <w:rPr>
          <w:rFonts w:cs="Times New Roman"/>
          <w:b/>
          <w:bCs/>
          <w:szCs w:val="28"/>
        </w:rPr>
        <w:t xml:space="preserve"> (A)</w:t>
      </w:r>
      <w:r>
        <w:rPr>
          <w:rFonts w:cs="Times New Roman"/>
          <w:szCs w:val="28"/>
        </w:rPr>
        <w:t xml:space="preserve"> </w:t>
      </w:r>
      <w:r>
        <w:rPr>
          <w:rFonts w:hint="eastAsia" w:cs="Times New Roman" w:eastAsiaTheme="minorEastAsia"/>
          <w:szCs w:val="28"/>
          <w:lang w:eastAsia="zh-CN"/>
        </w:rPr>
        <w:t>S</w:t>
      </w:r>
      <w:r>
        <w:rPr>
          <w:rFonts w:cs="Times New Roman"/>
          <w:szCs w:val="28"/>
        </w:rPr>
        <w:t xml:space="preserve">cale-free topological model fitting index and connectivity curves as a function of soft threshold. </w:t>
      </w:r>
      <w:r>
        <w:rPr>
          <w:rFonts w:cs="Times New Roman"/>
          <w:b/>
          <w:bCs/>
          <w:szCs w:val="28"/>
        </w:rPr>
        <w:t>(B)</w:t>
      </w:r>
      <w:r>
        <w:rPr>
          <w:rFonts w:cs="Times New Roman"/>
          <w:szCs w:val="28"/>
        </w:rPr>
        <w:t xml:space="preserve"> ASC hdWGCNA gene clustering dendrogram and module partitioning. </w:t>
      </w:r>
      <w:r>
        <w:rPr>
          <w:rFonts w:cs="Times New Roman"/>
          <w:b/>
          <w:bCs/>
          <w:szCs w:val="28"/>
        </w:rPr>
        <w:t>(C)</w:t>
      </w:r>
      <w:r>
        <w:rPr>
          <w:rFonts w:cs="Times New Roman"/>
          <w:szCs w:val="28"/>
        </w:rPr>
        <w:t xml:space="preserve"> Connectivity scores of characteristic genes within each module. </w:t>
      </w:r>
      <w:r>
        <w:rPr>
          <w:rFonts w:cs="Times New Roman"/>
          <w:b/>
          <w:bCs/>
          <w:szCs w:val="28"/>
        </w:rPr>
        <w:t>(D, E)</w:t>
      </w:r>
      <w:r>
        <w:rPr>
          <w:rFonts w:cs="Times New Roman"/>
          <w:szCs w:val="28"/>
        </w:rPr>
        <w:t xml:space="preserve"> Expression distribution of characteristic genes from each module in the B</w:t>
      </w:r>
      <w:r>
        <w:rPr>
          <w:rFonts w:hint="eastAsia"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cell UMAP dimensionality reduction space. </w:t>
      </w:r>
      <w:r>
        <w:rPr>
          <w:rFonts w:cs="Times New Roman"/>
          <w:b/>
          <w:bCs/>
          <w:szCs w:val="28"/>
        </w:rPr>
        <w:t>(F)</w:t>
      </w:r>
      <w:r>
        <w:rPr>
          <w:rFonts w:cs="Times New Roman"/>
          <w:szCs w:val="28"/>
        </w:rPr>
        <w:t xml:space="preserve"> Correlation matrix between gene modules. </w:t>
      </w:r>
      <w:r>
        <w:rPr>
          <w:rFonts w:cs="Times New Roman"/>
          <w:b/>
          <w:bCs/>
          <w:szCs w:val="28"/>
        </w:rPr>
        <w:t>(G, H, I)</w:t>
      </w:r>
      <w:r>
        <w:rPr>
          <w:rFonts w:cs="Times New Roman"/>
          <w:szCs w:val="28"/>
        </w:rPr>
        <w:t xml:space="preserve"> Interaction networks of core genes within each module. </w:t>
      </w:r>
      <w:r>
        <w:rPr>
          <w:rFonts w:cs="Times New Roman"/>
          <w:b/>
          <w:bCs/>
          <w:szCs w:val="28"/>
        </w:rPr>
        <w:t>(J, K)</w:t>
      </w:r>
      <w:r>
        <w:rPr>
          <w:rFonts w:cs="Times New Roman"/>
          <w:szCs w:val="28"/>
        </w:rPr>
        <w:t xml:space="preserve"> Interaction networks of characteristic genes within each module. </w:t>
      </w:r>
      <w:r>
        <w:rPr>
          <w:rFonts w:cs="Times New Roman"/>
          <w:b/>
          <w:bCs/>
          <w:szCs w:val="28"/>
        </w:rPr>
        <w:t>(L</w:t>
      </w:r>
      <w:r>
        <w:rPr>
          <w:rFonts w:hint="eastAsia" w:eastAsia="宋体" w:cs="Times New Roman"/>
          <w:b/>
          <w:bCs/>
          <w:szCs w:val="28"/>
          <w:lang w:eastAsia="zh-CN"/>
        </w:rPr>
        <w:t>, M</w:t>
      </w:r>
      <w:r>
        <w:rPr>
          <w:rFonts w:cs="Times New Roman"/>
          <w:b/>
          <w:bCs/>
          <w:szCs w:val="28"/>
        </w:rPr>
        <w:t>)</w:t>
      </w:r>
      <w:r>
        <w:rPr>
          <w:rFonts w:cs="Times New Roman"/>
          <w:szCs w:val="28"/>
        </w:rPr>
        <w:t xml:space="preserve"> Interaction network of characteristic genes in the blue</w:t>
      </w:r>
      <w:r>
        <w:rPr>
          <w:rFonts w:hint="eastAsia" w:eastAsia="宋体" w:cs="Times New Roman"/>
          <w:szCs w:val="28"/>
          <w:lang w:eastAsia="zh-CN"/>
        </w:rPr>
        <w:t xml:space="preserve"> and </w:t>
      </w:r>
      <w:r>
        <w:rPr>
          <w:rFonts w:cs="Times New Roman"/>
          <w:szCs w:val="28"/>
        </w:rPr>
        <w:t>turquoise module</w:t>
      </w:r>
      <w:r>
        <w:rPr>
          <w:rFonts w:hint="eastAsia" w:cs="Times New Roman" w:eastAsiaTheme="minorEastAsia"/>
          <w:szCs w:val="28"/>
          <w:lang w:eastAsia="zh-CN"/>
        </w:rPr>
        <w:t>s</w:t>
      </w:r>
      <w:r>
        <w:rPr>
          <w:rFonts w:cs="Times New Roman"/>
          <w:szCs w:val="28"/>
        </w:rPr>
        <w:t>.</w:t>
      </w:r>
      <w:bookmarkStart w:id="1" w:name="_GoBack"/>
      <w:bookmarkEnd w:id="1"/>
    </w:p>
    <w:p w14:paraId="5B65CAE2">
      <w:pPr>
        <w:rPr>
          <w:rFonts w:cs="Times New Roman"/>
          <w:szCs w:val="28"/>
        </w:rPr>
      </w:pPr>
      <w:r>
        <w:rPr>
          <w:rFonts w:hint="eastAsia" w:cs="Times New Roman"/>
          <w:b/>
          <w:bCs/>
          <w:szCs w:val="24"/>
        </w:rPr>
        <w:t xml:space="preserve">Supplementary </w:t>
      </w:r>
      <w:r>
        <w:rPr>
          <w:rFonts w:hint="eastAsia" w:eastAsia="宋体" w:cs="Times New Roman"/>
          <w:b/>
          <w:bCs/>
          <w:szCs w:val="24"/>
          <w:lang w:eastAsia="zh-CN"/>
        </w:rPr>
        <w:t>F</w:t>
      </w:r>
      <w:r>
        <w:rPr>
          <w:rFonts w:hint="eastAsia" w:cs="Times New Roman"/>
          <w:b/>
          <w:bCs/>
          <w:szCs w:val="24"/>
        </w:rPr>
        <w:t xml:space="preserve">igure </w:t>
      </w:r>
      <w:r>
        <w:rPr>
          <w:rFonts w:hint="eastAsia" w:eastAsia="宋体" w:cs="Times New Roman"/>
          <w:b/>
          <w:bCs/>
          <w:szCs w:val="24"/>
          <w:lang w:eastAsia="zh-CN"/>
        </w:rPr>
        <w:t>5</w:t>
      </w:r>
      <w:r>
        <w:rPr>
          <w:rFonts w:hint="eastAsia" w:cs="Times New Roman"/>
          <w:b/>
          <w:bCs/>
          <w:szCs w:val="24"/>
        </w:rPr>
        <w:t>.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b/>
          <w:bCs/>
          <w:szCs w:val="28"/>
        </w:rPr>
        <w:t>Independent validation and performance evaluation of the machine learning model. (A)</w:t>
      </w:r>
      <w:r>
        <w:rPr>
          <w:rFonts w:cs="Times New Roman"/>
          <w:szCs w:val="28"/>
        </w:rPr>
        <w:t xml:space="preserve"> C-index ranking of our model versus published features in the validation cohort. </w:t>
      </w:r>
      <w:r>
        <w:rPr>
          <w:rFonts w:cs="Times New Roman"/>
          <w:b/>
          <w:bCs/>
          <w:szCs w:val="28"/>
        </w:rPr>
        <w:t>(B)</w:t>
      </w:r>
      <w:r>
        <w:rPr>
          <w:rFonts w:cs="Times New Roman"/>
          <w:szCs w:val="28"/>
        </w:rPr>
        <w:t xml:space="preserve"> AUC ranking of this model versus published features in the validation cohort. </w:t>
      </w:r>
      <w:r>
        <w:rPr>
          <w:rFonts w:cs="Times New Roman"/>
          <w:b/>
          <w:bCs/>
          <w:szCs w:val="28"/>
        </w:rPr>
        <w:t>(C)</w:t>
      </w:r>
      <w:r>
        <w:rPr>
          <w:rFonts w:cs="Times New Roman"/>
          <w:szCs w:val="28"/>
        </w:rPr>
        <w:t xml:space="preserve"> Survival analysis in the GSE63885 cohort. </w:t>
      </w:r>
      <w:r>
        <w:rPr>
          <w:rFonts w:cs="Times New Roman"/>
          <w:b/>
          <w:bCs/>
          <w:szCs w:val="28"/>
        </w:rPr>
        <w:t>(D)</w:t>
      </w:r>
      <w:r>
        <w:rPr>
          <w:rFonts w:cs="Times New Roman"/>
          <w:szCs w:val="28"/>
        </w:rPr>
        <w:t xml:space="preserve"> Prognostic prediction nomogram integrating risk scores and clinical-pathological features. </w:t>
      </w:r>
      <w:r>
        <w:rPr>
          <w:rFonts w:cs="Times New Roman"/>
          <w:b/>
          <w:bCs/>
          <w:szCs w:val="28"/>
        </w:rPr>
        <w:t>(E)</w:t>
      </w:r>
      <w:r>
        <w:rPr>
          <w:rFonts w:cs="Times New Roman"/>
          <w:szCs w:val="28"/>
        </w:rPr>
        <w:t xml:space="preserve"> Risk score plot in the GSE14764 cohort. </w:t>
      </w:r>
      <w:r>
        <w:rPr>
          <w:rFonts w:cs="Times New Roman"/>
          <w:b/>
          <w:bCs/>
          <w:szCs w:val="28"/>
        </w:rPr>
        <w:t>(F)</w:t>
      </w:r>
      <w:r>
        <w:rPr>
          <w:rFonts w:cs="Times New Roman"/>
          <w:szCs w:val="28"/>
        </w:rPr>
        <w:t xml:space="preserve"> Risk score plot in the GSE63885 cohort.</w:t>
      </w:r>
    </w:p>
    <w:p w14:paraId="6B252AD6">
      <w:pPr>
        <w:rPr>
          <w:rFonts w:cs="Times New Roman"/>
          <w:szCs w:val="28"/>
          <w:lang w:eastAsia="zh-CN"/>
        </w:rPr>
      </w:pPr>
      <w:r>
        <w:rPr>
          <w:rFonts w:hint="eastAsia" w:cs="Times New Roman"/>
          <w:b/>
          <w:bCs/>
          <w:szCs w:val="24"/>
        </w:rPr>
        <w:t xml:space="preserve">Supplementary </w:t>
      </w:r>
      <w:r>
        <w:rPr>
          <w:rFonts w:hint="eastAsia" w:eastAsia="宋体" w:cs="Times New Roman"/>
          <w:b/>
          <w:bCs/>
          <w:szCs w:val="24"/>
          <w:lang w:eastAsia="zh-CN"/>
        </w:rPr>
        <w:t>F</w:t>
      </w:r>
      <w:r>
        <w:rPr>
          <w:rFonts w:hint="eastAsia" w:cs="Times New Roman"/>
          <w:b/>
          <w:bCs/>
          <w:szCs w:val="24"/>
        </w:rPr>
        <w:t xml:space="preserve">igure </w:t>
      </w:r>
      <w:r>
        <w:rPr>
          <w:rFonts w:hint="eastAsia" w:eastAsia="宋体" w:cs="Times New Roman"/>
          <w:b/>
          <w:bCs/>
          <w:szCs w:val="24"/>
          <w:lang w:eastAsia="zh-CN"/>
        </w:rPr>
        <w:t>6</w:t>
      </w:r>
      <w:r>
        <w:rPr>
          <w:rFonts w:hint="eastAsia" w:cs="Times New Roman"/>
          <w:b/>
          <w:bCs/>
          <w:szCs w:val="24"/>
        </w:rPr>
        <w:t>.</w:t>
      </w:r>
      <w:r>
        <w:rPr>
          <w:rFonts w:cs="Times New Roman"/>
          <w:b/>
          <w:bCs/>
          <w:szCs w:val="28"/>
        </w:rPr>
        <w:t xml:space="preserve"> Pseudotemporal dynamics of model gene expression.</w:t>
      </w:r>
      <w:r>
        <w:rPr>
          <w:rFonts w:hint="eastAsia" w:cs="Times New Roman"/>
          <w:b/>
          <w:bCs/>
          <w:szCs w:val="28"/>
          <w:lang w:eastAsia="zh-CN"/>
        </w:rPr>
        <w:t xml:space="preserve"> (A)</w:t>
      </w:r>
      <w:r>
        <w:rPr>
          <w:rFonts w:hint="eastAsia" w:cs="Times New Roman"/>
          <w:szCs w:val="28"/>
          <w:lang w:eastAsia="zh-CN"/>
        </w:rPr>
        <w:t xml:space="preserve"> Pseudotime trajectory plot of B cells. </w:t>
      </w:r>
      <w:r>
        <w:rPr>
          <w:rFonts w:hint="eastAsia" w:cs="Times New Roman"/>
          <w:b/>
          <w:bCs/>
          <w:szCs w:val="28"/>
          <w:lang w:eastAsia="zh-CN"/>
        </w:rPr>
        <w:t>(B)</w:t>
      </w:r>
      <w:r>
        <w:rPr>
          <w:rFonts w:hint="eastAsia" w:cs="Times New Roman"/>
          <w:szCs w:val="28"/>
          <w:lang w:eastAsia="zh-CN"/>
        </w:rPr>
        <w:t xml:space="preserve"> Dynamic expression changes of model genes </w:t>
      </w:r>
      <w:r>
        <w:rPr>
          <w:rFonts w:cs="Times New Roman"/>
          <w:szCs w:val="28"/>
          <w:lang w:eastAsia="zh-CN"/>
        </w:rPr>
        <w:t>along</w:t>
      </w:r>
      <w:r>
        <w:rPr>
          <w:rFonts w:hint="eastAsia" w:cs="Times New Roman"/>
          <w:szCs w:val="28"/>
          <w:lang w:eastAsia="zh-CN"/>
        </w:rPr>
        <w:t xml:space="preserve"> pseudotime. </w:t>
      </w:r>
      <w:r>
        <w:rPr>
          <w:rFonts w:hint="eastAsia" w:cs="Times New Roman"/>
          <w:b/>
          <w:bCs/>
          <w:szCs w:val="28"/>
          <w:lang w:eastAsia="zh-CN"/>
        </w:rPr>
        <w:t>(C)</w:t>
      </w:r>
      <w:r>
        <w:rPr>
          <w:rFonts w:hint="eastAsia" w:cs="Times New Roman"/>
          <w:szCs w:val="28"/>
          <w:lang w:eastAsia="zh-CN"/>
        </w:rPr>
        <w:t xml:space="preserve"> Differentiation trajectories and expression distributions of model genes in the B cell UMAP dimensionality reduction space. </w:t>
      </w:r>
      <w:r>
        <w:rPr>
          <w:rFonts w:hint="eastAsia" w:cs="Times New Roman"/>
          <w:b/>
          <w:bCs/>
          <w:szCs w:val="28"/>
          <w:lang w:eastAsia="zh-CN"/>
        </w:rPr>
        <w:t>(D)</w:t>
      </w:r>
      <w:r>
        <w:rPr>
          <w:rFonts w:hint="eastAsia" w:cs="Times New Roman"/>
          <w:szCs w:val="28"/>
          <w:lang w:eastAsia="zh-CN"/>
        </w:rPr>
        <w:t xml:space="preserve"> Percentage distribution of model gene expression in the B cell UMAP dimensionality reduction space.</w:t>
      </w:r>
    </w:p>
    <w:p w14:paraId="0CF38E88">
      <w:pPr>
        <w:rPr>
          <w:rFonts w:hint="eastAsia" w:cs="Times New Roman"/>
          <w:szCs w:val="28"/>
          <w:lang w:val="en-US" w:eastAsia="zh-CN"/>
        </w:rPr>
      </w:pPr>
      <w:r>
        <w:rPr>
          <w:rFonts w:hint="eastAsia" w:cs="Times New Roman"/>
          <w:b/>
          <w:bCs/>
          <w:szCs w:val="24"/>
        </w:rPr>
        <w:t xml:space="preserve">Supplementary </w:t>
      </w:r>
      <w:r>
        <w:rPr>
          <w:rFonts w:hint="eastAsia" w:eastAsia="宋体" w:cs="Times New Roman"/>
          <w:b/>
          <w:bCs/>
          <w:szCs w:val="24"/>
          <w:lang w:eastAsia="zh-CN"/>
        </w:rPr>
        <w:t>F</w:t>
      </w:r>
      <w:r>
        <w:rPr>
          <w:rFonts w:hint="eastAsia" w:cs="Times New Roman"/>
          <w:b/>
          <w:bCs/>
          <w:szCs w:val="24"/>
        </w:rPr>
        <w:t xml:space="preserve">igure </w:t>
      </w:r>
      <w:r>
        <w:rPr>
          <w:rFonts w:hint="eastAsia" w:eastAsia="宋体" w:cs="Times New Roman"/>
          <w:b/>
          <w:bCs/>
          <w:szCs w:val="24"/>
          <w:lang w:eastAsia="zh-CN"/>
        </w:rPr>
        <w:t>7</w:t>
      </w:r>
      <w:r>
        <w:rPr>
          <w:rFonts w:hint="eastAsia" w:cs="Times New Roman"/>
          <w:b/>
          <w:bCs/>
          <w:szCs w:val="24"/>
        </w:rPr>
        <w:t>.</w:t>
      </w:r>
      <w:r>
        <w:rPr>
          <w:rFonts w:hint="eastAsia" w:cs="Times New Roman"/>
          <w:szCs w:val="28"/>
          <w:lang w:eastAsia="zh-CN"/>
        </w:rPr>
        <w:t xml:space="preserve"> </w:t>
      </w:r>
      <w:r>
        <w:rPr>
          <w:rFonts w:hint="eastAsia" w:cs="Times New Roman"/>
          <w:b/>
          <w:bCs/>
          <w:szCs w:val="28"/>
          <w:lang w:eastAsia="zh-CN"/>
        </w:rPr>
        <w:t>Model gene enrichment analysis and immune infiltration analysis. (A)</w:t>
      </w:r>
      <w:r>
        <w:rPr>
          <w:rFonts w:hint="eastAsia" w:cs="Times New Roman"/>
          <w:szCs w:val="28"/>
          <w:lang w:eastAsia="zh-CN"/>
        </w:rPr>
        <w:t xml:space="preserve"> GSEA of </w:t>
      </w:r>
      <w:r>
        <w:rPr>
          <w:rFonts w:hint="eastAsia" w:cs="Times New Roman"/>
          <w:i/>
          <w:iCs/>
          <w:szCs w:val="24"/>
          <w:lang w:eastAsia="zh-CN"/>
        </w:rPr>
        <w:t>KIAA0408</w:t>
      </w:r>
      <w:r>
        <w:rPr>
          <w:rFonts w:hint="eastAsia" w:cs="Times New Roman"/>
          <w:szCs w:val="28"/>
          <w:lang w:eastAsia="zh-CN"/>
        </w:rPr>
        <w:t xml:space="preserve"> high-expression and low-expression groups in the GSE26193 cohort. </w:t>
      </w:r>
      <w:r>
        <w:rPr>
          <w:rFonts w:hint="eastAsia" w:cs="Times New Roman"/>
          <w:b/>
          <w:bCs/>
          <w:szCs w:val="28"/>
          <w:lang w:eastAsia="zh-CN"/>
        </w:rPr>
        <w:t>(B,</w:t>
      </w:r>
      <w:r>
        <w:rPr>
          <w:rFonts w:hint="eastAsia" w:cs="Times New Roman" w:eastAsiaTheme="minorEastAsia"/>
          <w:b/>
          <w:bCs/>
          <w:szCs w:val="28"/>
          <w:lang w:eastAsia="zh-CN"/>
        </w:rPr>
        <w:t xml:space="preserve"> </w:t>
      </w:r>
      <w:r>
        <w:rPr>
          <w:rFonts w:hint="eastAsia" w:cs="Times New Roman"/>
          <w:b/>
          <w:bCs/>
          <w:szCs w:val="28"/>
          <w:lang w:eastAsia="zh-CN"/>
        </w:rPr>
        <w:t>C)</w:t>
      </w:r>
      <w:r>
        <w:rPr>
          <w:rFonts w:hint="eastAsia" w:cs="Times New Roman"/>
          <w:szCs w:val="28"/>
          <w:lang w:eastAsia="zh-CN"/>
        </w:rPr>
        <w:t xml:space="preserve"> Significant GSEA pathway maps related to </w:t>
      </w:r>
      <w:r>
        <w:rPr>
          <w:rFonts w:hint="eastAsia" w:cs="Times New Roman"/>
          <w:i/>
          <w:iCs/>
          <w:szCs w:val="24"/>
          <w:lang w:eastAsia="zh-CN"/>
        </w:rPr>
        <w:t>KIAA0408</w:t>
      </w:r>
      <w:r>
        <w:rPr>
          <w:rFonts w:hint="eastAsia" w:cs="Times New Roman"/>
          <w:szCs w:val="28"/>
          <w:lang w:eastAsia="zh-CN"/>
        </w:rPr>
        <w:t xml:space="preserve"> in the GSE14764 and GSE63885 cohort</w:t>
      </w:r>
      <w:r>
        <w:rPr>
          <w:rFonts w:hint="eastAsia" w:cs="Times New Roman" w:eastAsiaTheme="minorEastAsia"/>
          <w:szCs w:val="28"/>
          <w:lang w:eastAsia="zh-CN"/>
        </w:rPr>
        <w:t>s</w:t>
      </w:r>
      <w:r>
        <w:rPr>
          <w:rFonts w:hint="eastAsia" w:cs="Times New Roman"/>
          <w:szCs w:val="28"/>
          <w:lang w:eastAsia="zh-CN"/>
        </w:rPr>
        <w:t xml:space="preserve">. </w:t>
      </w:r>
      <w:r>
        <w:rPr>
          <w:rFonts w:hint="eastAsia" w:cs="Times New Roman"/>
          <w:b/>
          <w:bCs/>
          <w:szCs w:val="28"/>
          <w:lang w:eastAsia="zh-CN"/>
        </w:rPr>
        <w:t>(D)</w:t>
      </w:r>
      <w:r>
        <w:rPr>
          <w:rFonts w:hint="eastAsia" w:cs="Times New Roman"/>
          <w:szCs w:val="28"/>
          <w:lang w:eastAsia="zh-CN"/>
        </w:rPr>
        <w:t xml:space="preserve"> Stacked bar chart showing the proportion of immune cell composition between high-risk and low-risk groups</w:t>
      </w:r>
      <w:bookmarkEnd w:id="0"/>
      <w:r>
        <w:rPr>
          <w:rFonts w:hint="eastAsia" w:cs="Times New Roman"/>
          <w:szCs w:val="28"/>
          <w:lang w:val="en-US" w:eastAsia="zh-CN"/>
        </w:rPr>
        <w:t>.</w:t>
      </w:r>
    </w:p>
    <w:p w14:paraId="1CB02ED4">
      <w:pPr>
        <w:rPr>
          <w:rFonts w:hint="default" w:cs="Times New Roman"/>
          <w:szCs w:val="28"/>
          <w:lang w:val="en-US" w:eastAsia="zh-CN"/>
        </w:rPr>
      </w:pPr>
    </w:p>
    <w:p w14:paraId="4A8F250B">
      <w:pPr>
        <w:pStyle w:val="4"/>
      </w:pPr>
      <w:r>
        <w:t xml:space="preserve">Supplementary </w:t>
      </w:r>
      <w:r>
        <w:rPr>
          <w:rFonts w:hint="eastAsia" w:eastAsia="宋体"/>
          <w:lang w:eastAsia="zh-CN"/>
        </w:rPr>
        <w:t>Tables</w:t>
      </w:r>
    </w:p>
    <w:sectPr>
      <w:footerReference r:id="rId4" w:type="default"/>
      <w:footerReference r:id="rId5" w:type="even"/>
      <w:pgSz w:w="12240" w:h="15840"/>
      <w:pgMar w:top="1138" w:right="1181" w:bottom="1138" w:left="1282" w:header="720" w:footer="72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918273"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4C94628"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 w14:paraId="14C94628"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4CCBF0"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C86A39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35.1pt;height:31.15pt;width:118.8pt;mso-position-horizontal-relative:page;mso-position-vertical-relative:page;z-index:251661312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 w14:paraId="5C86A390"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"/>
  <w:bordersDoNotSurroundHeader w:val="1"/>
  <w:bordersDoNotSurroundFooter w:val="1"/>
  <w:attachedTemplate r:id="rId1"/>
  <w:documentProtection w:enforcement="0"/>
  <w:defaultTabStop w:val="720"/>
  <w:evenAndOddHeaders w:val="1"/>
  <w:noPunctuationKerning w:val="1"/>
  <w:characterSpacingControl w:val="doNotCompress"/>
  <w:footnotePr>
    <w:footnote w:id="0"/>
    <w:footnote w:id="1"/>
  </w:foot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liOWM2MzNlZjk4NTNhNjlmZThmZjcxNGE1Y2Q0ZmIifQ=="/>
  </w:docVars>
  <w:rsids>
    <w:rsidRoot w:val="00803D24"/>
    <w:rsid w:val="0001436A"/>
    <w:rsid w:val="0001494B"/>
    <w:rsid w:val="00034304"/>
    <w:rsid w:val="00035434"/>
    <w:rsid w:val="00052A14"/>
    <w:rsid w:val="00077D53"/>
    <w:rsid w:val="00105FD9"/>
    <w:rsid w:val="00117666"/>
    <w:rsid w:val="001549D3"/>
    <w:rsid w:val="00160065"/>
    <w:rsid w:val="00166DC5"/>
    <w:rsid w:val="00170FD9"/>
    <w:rsid w:val="00177D84"/>
    <w:rsid w:val="001D7759"/>
    <w:rsid w:val="001F2F67"/>
    <w:rsid w:val="00267D18"/>
    <w:rsid w:val="002868E2"/>
    <w:rsid w:val="002869C3"/>
    <w:rsid w:val="002936E4"/>
    <w:rsid w:val="002A5865"/>
    <w:rsid w:val="002B4A57"/>
    <w:rsid w:val="002B732D"/>
    <w:rsid w:val="002C74CA"/>
    <w:rsid w:val="00317A1B"/>
    <w:rsid w:val="003544FB"/>
    <w:rsid w:val="00364F62"/>
    <w:rsid w:val="003D2D47"/>
    <w:rsid w:val="003D2F2D"/>
    <w:rsid w:val="00401590"/>
    <w:rsid w:val="00440308"/>
    <w:rsid w:val="00444E46"/>
    <w:rsid w:val="00447801"/>
    <w:rsid w:val="00452E9C"/>
    <w:rsid w:val="004735C8"/>
    <w:rsid w:val="004961FF"/>
    <w:rsid w:val="004A2A02"/>
    <w:rsid w:val="004C5FEF"/>
    <w:rsid w:val="005140A8"/>
    <w:rsid w:val="00517A89"/>
    <w:rsid w:val="005250F2"/>
    <w:rsid w:val="00560A32"/>
    <w:rsid w:val="00593EEA"/>
    <w:rsid w:val="005A5EEE"/>
    <w:rsid w:val="005E5F61"/>
    <w:rsid w:val="006215BC"/>
    <w:rsid w:val="006375C7"/>
    <w:rsid w:val="00654E8F"/>
    <w:rsid w:val="00660D05"/>
    <w:rsid w:val="006820B1"/>
    <w:rsid w:val="006A489A"/>
    <w:rsid w:val="006B7D14"/>
    <w:rsid w:val="006E411B"/>
    <w:rsid w:val="006F0856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31A8F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4159B"/>
    <w:rsid w:val="00A569CD"/>
    <w:rsid w:val="00A90965"/>
    <w:rsid w:val="00AB3317"/>
    <w:rsid w:val="00AB5EE2"/>
    <w:rsid w:val="00AB6715"/>
    <w:rsid w:val="00B1671E"/>
    <w:rsid w:val="00B25EB8"/>
    <w:rsid w:val="00B354E1"/>
    <w:rsid w:val="00B37F4D"/>
    <w:rsid w:val="00B929BC"/>
    <w:rsid w:val="00BC4F65"/>
    <w:rsid w:val="00BF7785"/>
    <w:rsid w:val="00C25528"/>
    <w:rsid w:val="00C47929"/>
    <w:rsid w:val="00C50E97"/>
    <w:rsid w:val="00C52A7B"/>
    <w:rsid w:val="00C56BAF"/>
    <w:rsid w:val="00C679AA"/>
    <w:rsid w:val="00C75972"/>
    <w:rsid w:val="00CC0A3A"/>
    <w:rsid w:val="00CD066B"/>
    <w:rsid w:val="00CE4FEE"/>
    <w:rsid w:val="00D418FB"/>
    <w:rsid w:val="00D8122D"/>
    <w:rsid w:val="00DB59C3"/>
    <w:rsid w:val="00DC259A"/>
    <w:rsid w:val="00DE23E8"/>
    <w:rsid w:val="00E21E16"/>
    <w:rsid w:val="00E52377"/>
    <w:rsid w:val="00E64E17"/>
    <w:rsid w:val="00E866C9"/>
    <w:rsid w:val="00EA3D3C"/>
    <w:rsid w:val="00EA6C68"/>
    <w:rsid w:val="00EF4923"/>
    <w:rsid w:val="00F14F53"/>
    <w:rsid w:val="00F46900"/>
    <w:rsid w:val="00F61D89"/>
    <w:rsid w:val="013730A5"/>
    <w:rsid w:val="030904ED"/>
    <w:rsid w:val="03E60362"/>
    <w:rsid w:val="04937764"/>
    <w:rsid w:val="0E146C48"/>
    <w:rsid w:val="13854144"/>
    <w:rsid w:val="1552177C"/>
    <w:rsid w:val="16365D5E"/>
    <w:rsid w:val="16B40FC8"/>
    <w:rsid w:val="16DA6555"/>
    <w:rsid w:val="17E13C6A"/>
    <w:rsid w:val="1A6F5BE0"/>
    <w:rsid w:val="1B2129A5"/>
    <w:rsid w:val="1EA91FFD"/>
    <w:rsid w:val="20C8190C"/>
    <w:rsid w:val="278C5035"/>
    <w:rsid w:val="28070401"/>
    <w:rsid w:val="2AA41740"/>
    <w:rsid w:val="2AD0477B"/>
    <w:rsid w:val="31A31F0E"/>
    <w:rsid w:val="35A1507B"/>
    <w:rsid w:val="37387327"/>
    <w:rsid w:val="3B5723AD"/>
    <w:rsid w:val="3B64270E"/>
    <w:rsid w:val="3BE23253"/>
    <w:rsid w:val="3D1F625B"/>
    <w:rsid w:val="3EC43C17"/>
    <w:rsid w:val="3F147FA7"/>
    <w:rsid w:val="41D852BC"/>
    <w:rsid w:val="44D03FBB"/>
    <w:rsid w:val="45A83A3A"/>
    <w:rsid w:val="461C6516"/>
    <w:rsid w:val="4AE52FB4"/>
    <w:rsid w:val="4BE547B7"/>
    <w:rsid w:val="4EDF61EE"/>
    <w:rsid w:val="4F723344"/>
    <w:rsid w:val="511D0F3D"/>
    <w:rsid w:val="53ED12DC"/>
    <w:rsid w:val="5684380C"/>
    <w:rsid w:val="5C207B33"/>
    <w:rsid w:val="5D8318C4"/>
    <w:rsid w:val="61E9341A"/>
    <w:rsid w:val="64211FBD"/>
    <w:rsid w:val="67A112B7"/>
    <w:rsid w:val="715E4F2E"/>
    <w:rsid w:val="72A4763F"/>
    <w:rsid w:val="742F2BB2"/>
    <w:rsid w:val="75CD2682"/>
    <w:rsid w:val="774C5829"/>
    <w:rsid w:val="7AEC35AA"/>
    <w:rsid w:val="7AFE32DE"/>
    <w:rsid w:val="7C093CE8"/>
    <w:rsid w:val="7EEE7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autoRedefine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autoRedefine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autoRedefine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autoRedefine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autoRedefine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unhideWhenUsed/>
    <w:uiPriority w:val="1"/>
  </w:style>
  <w:style w:type="table" w:default="1" w:styleId="2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autoRedefine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autoRedefine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autoRedefine/>
    <w:unhideWhenUsed/>
    <w:qFormat/>
    <w:uiPriority w:val="99"/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autoRedefine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autoRedefine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autoRedefine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autoRedefine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autoRedefine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autoRedefine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autoRedefine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autoRedefine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autoRedefine/>
    <w:semiHidden/>
    <w:unhideWhenUsed/>
    <w:qFormat/>
    <w:uiPriority w:val="99"/>
    <w:rPr>
      <w:b/>
      <w:bCs/>
    </w:rPr>
  </w:style>
  <w:style w:type="table" w:styleId="21">
    <w:name w:val="Table Grid"/>
    <w:basedOn w:val="20"/>
    <w:autoRedefine/>
    <w:qFormat/>
    <w:uiPriority w:val="59"/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autoRedefine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autoRedefine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autoRedefine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autoRedefine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autoRedefine/>
    <w:semiHidden/>
    <w:unhideWhenUsed/>
    <w:qFormat/>
    <w:uiPriority w:val="99"/>
  </w:style>
  <w:style w:type="character" w:styleId="28">
    <w:name w:val="Hyperlink"/>
    <w:basedOn w:val="22"/>
    <w:autoRedefine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autoRedefine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autoRedefine/>
    <w:semiHidden/>
    <w:unhideWhenUsed/>
    <w:qFormat/>
    <w:uiPriority w:val="99"/>
    <w:rPr>
      <w:vertAlign w:val="superscript"/>
    </w:rPr>
  </w:style>
  <w:style w:type="character" w:customStyle="1" w:styleId="31">
    <w:name w:val="标题 1 字符"/>
    <w:basedOn w:val="22"/>
    <w:link w:val="2"/>
    <w:autoRedefine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标题 2 字符"/>
    <w:basedOn w:val="22"/>
    <w:link w:val="4"/>
    <w:autoRedefine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副标题 字符"/>
    <w:basedOn w:val="22"/>
    <w:link w:val="15"/>
    <w:autoRedefine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autoRedefine/>
    <w:qFormat/>
    <w:uiPriority w:val="1"/>
  </w:style>
  <w:style w:type="character" w:customStyle="1" w:styleId="35">
    <w:name w:val="批注框文本 字符"/>
    <w:basedOn w:val="22"/>
    <w:link w:val="12"/>
    <w:autoRedefine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书籍标题1"/>
    <w:basedOn w:val="22"/>
    <w:autoRedefine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批注文字 字符"/>
    <w:basedOn w:val="22"/>
    <w:link w:val="10"/>
    <w:autoRedefine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批注主题 字符"/>
    <w:basedOn w:val="37"/>
    <w:link w:val="19"/>
    <w:autoRedefine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尾注文本 字符"/>
    <w:basedOn w:val="22"/>
    <w:link w:val="11"/>
    <w:autoRedefine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页脚 字符"/>
    <w:basedOn w:val="22"/>
    <w:link w:val="13"/>
    <w:autoRedefine/>
    <w:qFormat/>
    <w:uiPriority w:val="99"/>
    <w:rPr>
      <w:rFonts w:ascii="Times New Roman" w:hAnsi="Times New Roman"/>
      <w:sz w:val="24"/>
    </w:rPr>
  </w:style>
  <w:style w:type="character" w:customStyle="1" w:styleId="41">
    <w:name w:val="脚注文本 字符"/>
    <w:basedOn w:val="22"/>
    <w:link w:val="16"/>
    <w:autoRedefine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页眉 字符"/>
    <w:basedOn w:val="22"/>
    <w:link w:val="14"/>
    <w:autoRedefine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明显强调1"/>
    <w:basedOn w:val="22"/>
    <w:autoRedefine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明显参考1"/>
    <w:basedOn w:val="22"/>
    <w:autoRedefine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标题 3 字符"/>
    <w:basedOn w:val="22"/>
    <w:link w:val="5"/>
    <w:autoRedefine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标题 4 字符"/>
    <w:basedOn w:val="22"/>
    <w:link w:val="6"/>
    <w:autoRedefine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标题 5 字符"/>
    <w:basedOn w:val="22"/>
    <w:link w:val="7"/>
    <w:autoRedefine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autoRedefine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引用 字符"/>
    <w:basedOn w:val="22"/>
    <w:link w:val="48"/>
    <w:autoRedefine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不明显强调1"/>
    <w:basedOn w:val="22"/>
    <w:autoRedefine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标题 字符"/>
    <w:basedOn w:val="22"/>
    <w:link w:val="18"/>
    <w:autoRedefine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autoRedefine/>
    <w:qFormat/>
    <w:uiPriority w:val="0"/>
    <w:pPr>
      <w:spacing w:after="120"/>
    </w:pPr>
    <w:rPr>
      <w:i/>
    </w:rPr>
  </w:style>
  <w:style w:type="paragraph" w:customStyle="1" w:styleId="53">
    <w:name w:val="修订1"/>
    <w:autoRedefine/>
    <w:hidden/>
    <w:semiHidden/>
    <w:qFormat/>
    <w:uiPriority w:val="99"/>
    <w:rPr>
      <w:rFonts w:ascii="Times New Roman" w:hAnsi="Times New Roman" w:eastAsiaTheme="minorHAnsi" w:cstheme="minorBidi"/>
      <w:sz w:val="24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6.xml"/><Relationship Id="rId2" Type="http://schemas.openxmlformats.org/officeDocument/2006/relationships/settings" Target="settings.xml"/><Relationship Id="rId19" Type="http://schemas.openxmlformats.org/officeDocument/2006/relationships/customXml" Target="../customXml/item5.xml"/><Relationship Id="rId18" Type="http://schemas.openxmlformats.org/officeDocument/2006/relationships/customXml" Target="../customXml/item4.xml"/><Relationship Id="rId17" Type="http://schemas.openxmlformats.org/officeDocument/2006/relationships/customXml" Target="../customXml/item3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4314AF-3C36-4C2C-B599-40A76C6FFFC1}">
  <ds:schemaRefs/>
</ds:datastoreItem>
</file>

<file path=customXml/itemProps3.xml><?xml version="1.0" encoding="utf-8"?>
<ds:datastoreItem xmlns:ds="http://schemas.openxmlformats.org/officeDocument/2006/customXml" ds:itemID="{2558679B-78FB-42CD-A1EA-A99096AF5568}">
  <ds:schemaRefs/>
</ds:datastoreItem>
</file>

<file path=customXml/itemProps4.xml><?xml version="1.0" encoding="utf-8"?>
<ds:datastoreItem xmlns:ds="http://schemas.openxmlformats.org/officeDocument/2006/customXml" ds:itemID="{4B2E0E22-D442-4EBE-AAA2-EDC8871E7B41}">
  <ds:schemaRefs/>
</ds:datastoreItem>
</file>

<file path=customXml/itemProps5.xml><?xml version="1.0" encoding="utf-8"?>
<ds:datastoreItem xmlns:ds="http://schemas.openxmlformats.org/officeDocument/2006/customXml" ds:itemID="{A3D4929F-83D0-432F-8F82-6D4423C25F5E}">
  <ds:schemaRefs/>
</ds:datastoreItem>
</file>

<file path=customXml/itemProps6.xml><?xml version="1.0" encoding="utf-8"?>
<ds:datastoreItem xmlns:ds="http://schemas.openxmlformats.org/officeDocument/2006/customXml" ds:itemID="{DFF441E3-103C-4487-877D-08CD22337C1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Pages>10</Pages>
  <Words>597</Words>
  <Characters>3493</Characters>
  <Lines>29</Lines>
  <Paragraphs>8</Paragraphs>
  <TotalTime>6</TotalTime>
  <ScaleCrop>false</ScaleCrop>
  <LinksUpToDate>false</LinksUpToDate>
  <CharactersWithSpaces>4079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2022-11-17T16:58:00Z</dcterms:created>
  <dc:creator>Frontiers</dc:creator>
  <cp:lastModifiedBy>银杏色的哆啦A梦</cp:lastModifiedBy>
  <cp:lastPrinted>2013-10-03T12:51:00Z</cp:lastPrinted>
  <dcterms:modified xsi:type="dcterms:W3CDTF">2026-05-11T12:42:28Z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KSOProductBuildVer">
    <vt:lpwstr>2052-12.1.0.25865</vt:lpwstr>
  </property>
  <property fmtid="{D5CDD505-2E9C-101B-9397-08002B2CF9AE}" pid="11" name="ICV">
    <vt:lpwstr>1B1E07F9AA914E90B8EE4903CE12849B_13</vt:lpwstr>
  </property>
  <property fmtid="{D5CDD505-2E9C-101B-9397-08002B2CF9AE}" pid="12" name="KSOTemplateDocerSaveRecord">
    <vt:lpwstr>eyJoZGlkIjoiMWM4MmVkOTA1MjFjYzMwZWNmZGFhODliZDBjZWU4YWMiLCJ1c2VySWQiOiI4NzczOTA2NDUifQ==</vt:lpwstr>
  </property>
</Properties>
</file>