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F2D845" w14:textId="5102AC8B" w:rsidR="00A35A95" w:rsidRDefault="00A35A95" w:rsidP="00A35A95">
      <w:pPr>
        <w:pStyle w:val="MDPI12title"/>
        <w:spacing w:line="240" w:lineRule="auto"/>
        <w:jc w:val="center"/>
        <w:rPr>
          <w:rFonts w:ascii="Times New Roman" w:hAnsi="Times New Roman" w:cs="Times New Roman"/>
          <w:bCs/>
        </w:rPr>
      </w:pPr>
      <w:r>
        <w:rPr>
          <w:rFonts w:ascii="Times New Roman" w:hAnsi="Times New Roman" w:cs="Times New Roman"/>
          <w:bCs/>
        </w:rPr>
        <w:t>Supplementary Material</w:t>
      </w:r>
    </w:p>
    <w:p w14:paraId="209B4F19" w14:textId="77777777" w:rsidR="00A35A95" w:rsidRDefault="00A35A95" w:rsidP="00A35A95">
      <w:pPr>
        <w:pStyle w:val="MDPI12title"/>
        <w:spacing w:line="240" w:lineRule="auto"/>
        <w:jc w:val="center"/>
        <w:rPr>
          <w:rFonts w:ascii="Times New Roman" w:hAnsi="Times New Roman" w:cs="Times New Roman"/>
          <w:bCs/>
        </w:rPr>
      </w:pPr>
    </w:p>
    <w:p w14:paraId="2B0205D3" w14:textId="735D2ADD" w:rsidR="00A35A95" w:rsidRPr="00A35A95" w:rsidRDefault="00A35A95" w:rsidP="00A35A95">
      <w:pPr>
        <w:pStyle w:val="MDPI12title"/>
        <w:spacing w:line="360" w:lineRule="auto"/>
        <w:jc w:val="center"/>
        <w:rPr>
          <w:rFonts w:ascii="Times New Roman" w:hAnsi="Times New Roman" w:cs="Times New Roman"/>
          <w:bCs/>
        </w:rPr>
      </w:pPr>
      <w:r w:rsidRPr="00871327">
        <w:rPr>
          <w:rFonts w:ascii="Times New Roman" w:hAnsi="Times New Roman" w:cs="Times New Roman"/>
          <w:bCs/>
        </w:rPr>
        <w:t xml:space="preserve">Drug Design and Repurposing with </w:t>
      </w:r>
      <w:proofErr w:type="spellStart"/>
      <w:r w:rsidRPr="00871327">
        <w:rPr>
          <w:rFonts w:ascii="Times New Roman" w:hAnsi="Times New Roman" w:cs="Times New Roman"/>
          <w:bCs/>
        </w:rPr>
        <w:t>DockThor</w:t>
      </w:r>
      <w:proofErr w:type="spellEnd"/>
      <w:r w:rsidRPr="00871327">
        <w:rPr>
          <w:rFonts w:ascii="Times New Roman" w:hAnsi="Times New Roman" w:cs="Times New Roman"/>
          <w:bCs/>
        </w:rPr>
        <w:t>-VS Web Server: Virtual Screening focusing on SARS-CoV-2 Therapeutic Targets and their Non-Synonym Variants</w:t>
      </w:r>
    </w:p>
    <w:p w14:paraId="3A2B74BD" w14:textId="77777777" w:rsidR="00A35A95" w:rsidRPr="00A35A95" w:rsidRDefault="00A35A95" w:rsidP="00A35A95">
      <w:pPr>
        <w:rPr>
          <w:i/>
          <w:iCs/>
          <w:lang w:val="en-US" w:eastAsia="de-DE" w:bidi="en-US"/>
        </w:rPr>
      </w:pPr>
    </w:p>
    <w:p w14:paraId="5FADAC41" w14:textId="07A64500" w:rsidR="00A35A95" w:rsidRPr="00A35A95" w:rsidRDefault="00A35A95" w:rsidP="00A35A95">
      <w:pPr>
        <w:pStyle w:val="MDPI13authornames"/>
        <w:spacing w:line="360" w:lineRule="auto"/>
        <w:jc w:val="center"/>
        <w:rPr>
          <w:rFonts w:ascii="Times New Roman" w:hAnsi="Times New Roman" w:cs="Times New Roman"/>
          <w:b w:val="0"/>
          <w:sz w:val="28"/>
          <w:szCs w:val="28"/>
          <w:lang w:val="pt-BR"/>
        </w:rPr>
      </w:pPr>
      <w:r w:rsidRPr="00A35A95">
        <w:rPr>
          <w:rFonts w:ascii="Times New Roman" w:hAnsi="Times New Roman" w:cs="Times New Roman"/>
          <w:b w:val="0"/>
          <w:sz w:val="28"/>
          <w:szCs w:val="28"/>
          <w:lang w:val="pt-BR"/>
        </w:rPr>
        <w:t xml:space="preserve">I.A.G. </w:t>
      </w:r>
      <w:r w:rsidRPr="00A35A95">
        <w:rPr>
          <w:rFonts w:ascii="Times New Roman" w:hAnsi="Times New Roman" w:cs="Times New Roman"/>
          <w:b w:val="0"/>
          <w:sz w:val="28"/>
          <w:szCs w:val="28"/>
          <w:vertAlign w:val="superscript"/>
          <w:lang w:val="pt-BR"/>
        </w:rPr>
        <w:t>1</w:t>
      </w:r>
      <w:r w:rsidRPr="00A35A95">
        <w:rPr>
          <w:rFonts w:ascii="Times New Roman" w:hAnsi="Times New Roman" w:cs="Times New Roman"/>
          <w:b w:val="0"/>
          <w:sz w:val="28"/>
          <w:szCs w:val="28"/>
          <w:lang w:val="pt-BR"/>
        </w:rPr>
        <w:t xml:space="preserve">, Leon S. C. Costa </w:t>
      </w:r>
      <w:r w:rsidRPr="00A35A95">
        <w:rPr>
          <w:rFonts w:ascii="Times New Roman" w:hAnsi="Times New Roman" w:cs="Times New Roman"/>
          <w:b w:val="0"/>
          <w:sz w:val="28"/>
          <w:szCs w:val="28"/>
          <w:vertAlign w:val="superscript"/>
          <w:lang w:val="pt-BR"/>
        </w:rPr>
        <w:t>1</w:t>
      </w:r>
      <w:r w:rsidRPr="00A35A95">
        <w:rPr>
          <w:rFonts w:ascii="Times New Roman" w:hAnsi="Times New Roman" w:cs="Times New Roman"/>
          <w:b w:val="0"/>
          <w:sz w:val="28"/>
          <w:szCs w:val="28"/>
          <w:lang w:val="pt-BR"/>
        </w:rPr>
        <w:t xml:space="preserve">, Karina B. dos Santos </w:t>
      </w:r>
      <w:r w:rsidRPr="00A35A95">
        <w:rPr>
          <w:rFonts w:ascii="Times New Roman" w:hAnsi="Times New Roman" w:cs="Times New Roman"/>
          <w:b w:val="0"/>
          <w:sz w:val="28"/>
          <w:szCs w:val="28"/>
          <w:vertAlign w:val="superscript"/>
          <w:lang w:val="pt-BR"/>
        </w:rPr>
        <w:t>1</w:t>
      </w:r>
      <w:r w:rsidRPr="00A35A95">
        <w:rPr>
          <w:rFonts w:ascii="Times New Roman" w:hAnsi="Times New Roman" w:cs="Times New Roman"/>
          <w:b w:val="0"/>
          <w:sz w:val="28"/>
          <w:szCs w:val="28"/>
          <w:lang w:val="pt-BR"/>
        </w:rPr>
        <w:t xml:space="preserve">, Ana L. M. Karl </w:t>
      </w:r>
      <w:r w:rsidRPr="00A35A95">
        <w:rPr>
          <w:rFonts w:ascii="Times New Roman" w:hAnsi="Times New Roman" w:cs="Times New Roman"/>
          <w:b w:val="0"/>
          <w:sz w:val="28"/>
          <w:szCs w:val="28"/>
          <w:vertAlign w:val="superscript"/>
          <w:lang w:val="pt-BR"/>
        </w:rPr>
        <w:t>1</w:t>
      </w:r>
      <w:r w:rsidRPr="00A35A95">
        <w:rPr>
          <w:rFonts w:ascii="Times New Roman" w:hAnsi="Times New Roman" w:cs="Times New Roman"/>
          <w:b w:val="0"/>
          <w:sz w:val="28"/>
          <w:szCs w:val="28"/>
          <w:lang w:val="pt-BR"/>
        </w:rPr>
        <w:t xml:space="preserve">, Gregório K. Rocha </w:t>
      </w:r>
      <w:r w:rsidRPr="00A35A95">
        <w:rPr>
          <w:rFonts w:ascii="Times New Roman" w:hAnsi="Times New Roman" w:cs="Times New Roman"/>
          <w:b w:val="0"/>
          <w:sz w:val="28"/>
          <w:szCs w:val="28"/>
          <w:vertAlign w:val="superscript"/>
          <w:lang w:val="pt-BR"/>
        </w:rPr>
        <w:t>2</w:t>
      </w:r>
      <w:r w:rsidRPr="00A35A95">
        <w:rPr>
          <w:rFonts w:ascii="Times New Roman" w:hAnsi="Times New Roman" w:cs="Times New Roman"/>
          <w:b w:val="0"/>
          <w:sz w:val="28"/>
          <w:szCs w:val="28"/>
          <w:lang w:val="pt-BR"/>
        </w:rPr>
        <w:t xml:space="preserve">, </w:t>
      </w:r>
      <w:proofErr w:type="spellStart"/>
      <w:r w:rsidRPr="00A35A95">
        <w:rPr>
          <w:rFonts w:ascii="Times New Roman" w:hAnsi="Times New Roman" w:cs="Times New Roman"/>
          <w:b w:val="0"/>
          <w:sz w:val="28"/>
          <w:szCs w:val="28"/>
          <w:lang w:val="pt-BR"/>
        </w:rPr>
        <w:t>Iury</w:t>
      </w:r>
      <w:proofErr w:type="spellEnd"/>
      <w:r w:rsidRPr="00A35A95">
        <w:rPr>
          <w:rFonts w:ascii="Times New Roman" w:hAnsi="Times New Roman" w:cs="Times New Roman"/>
          <w:b w:val="0"/>
          <w:sz w:val="28"/>
          <w:szCs w:val="28"/>
          <w:lang w:val="pt-BR"/>
        </w:rPr>
        <w:t xml:space="preserve"> M. Teixeira </w:t>
      </w:r>
      <w:r w:rsidRPr="00A35A95">
        <w:rPr>
          <w:rFonts w:ascii="Times New Roman" w:hAnsi="Times New Roman" w:cs="Times New Roman"/>
          <w:b w:val="0"/>
          <w:sz w:val="28"/>
          <w:szCs w:val="28"/>
          <w:vertAlign w:val="superscript"/>
          <w:lang w:val="pt-BR"/>
        </w:rPr>
        <w:t>1</w:t>
      </w:r>
      <w:r w:rsidRPr="00A35A95">
        <w:rPr>
          <w:rFonts w:ascii="Times New Roman" w:hAnsi="Times New Roman" w:cs="Times New Roman"/>
          <w:b w:val="0"/>
          <w:sz w:val="28"/>
          <w:szCs w:val="28"/>
          <w:lang w:val="pt-BR"/>
        </w:rPr>
        <w:t xml:space="preserve">, Marcelo M. </w:t>
      </w:r>
      <w:proofErr w:type="spellStart"/>
      <w:r w:rsidRPr="00A35A95">
        <w:rPr>
          <w:rFonts w:ascii="Times New Roman" w:hAnsi="Times New Roman" w:cs="Times New Roman"/>
          <w:b w:val="0"/>
          <w:sz w:val="28"/>
          <w:szCs w:val="28"/>
          <w:lang w:val="pt-BR"/>
        </w:rPr>
        <w:t>Galheigo</w:t>
      </w:r>
      <w:proofErr w:type="spellEnd"/>
      <w:r w:rsidRPr="00A35A95">
        <w:rPr>
          <w:rFonts w:ascii="Times New Roman" w:hAnsi="Times New Roman" w:cs="Times New Roman"/>
          <w:b w:val="0"/>
          <w:sz w:val="28"/>
          <w:szCs w:val="28"/>
          <w:lang w:val="pt-BR"/>
        </w:rPr>
        <w:t xml:space="preserve"> </w:t>
      </w:r>
      <w:r w:rsidRPr="00A35A95">
        <w:rPr>
          <w:rFonts w:ascii="Times New Roman" w:hAnsi="Times New Roman" w:cs="Times New Roman"/>
          <w:b w:val="0"/>
          <w:sz w:val="28"/>
          <w:szCs w:val="28"/>
          <w:vertAlign w:val="superscript"/>
          <w:lang w:val="pt-BR"/>
        </w:rPr>
        <w:t>1</w:t>
      </w:r>
      <w:r w:rsidRPr="00A35A95">
        <w:rPr>
          <w:rFonts w:ascii="Times New Roman" w:hAnsi="Times New Roman" w:cs="Times New Roman"/>
          <w:b w:val="0"/>
          <w:sz w:val="28"/>
          <w:szCs w:val="28"/>
          <w:lang w:val="pt-BR"/>
        </w:rPr>
        <w:t xml:space="preserve">, Vivian Medeiros </w:t>
      </w:r>
      <w:r w:rsidRPr="00A35A95">
        <w:rPr>
          <w:rFonts w:ascii="Times New Roman" w:hAnsi="Times New Roman" w:cs="Times New Roman"/>
          <w:b w:val="0"/>
          <w:sz w:val="28"/>
          <w:szCs w:val="28"/>
          <w:vertAlign w:val="superscript"/>
          <w:lang w:val="pt-BR"/>
        </w:rPr>
        <w:t>1</w:t>
      </w:r>
      <w:r w:rsidRPr="00A35A95">
        <w:rPr>
          <w:rFonts w:ascii="Times New Roman" w:hAnsi="Times New Roman" w:cs="Times New Roman"/>
          <w:b w:val="0"/>
          <w:sz w:val="28"/>
          <w:szCs w:val="28"/>
          <w:lang w:val="pt-BR"/>
        </w:rPr>
        <w:t xml:space="preserve">, Eduardo </w:t>
      </w:r>
      <w:proofErr w:type="spellStart"/>
      <w:r w:rsidRPr="00A35A95">
        <w:rPr>
          <w:rFonts w:ascii="Times New Roman" w:hAnsi="Times New Roman" w:cs="Times New Roman"/>
          <w:b w:val="0"/>
          <w:sz w:val="28"/>
          <w:szCs w:val="28"/>
          <w:lang w:val="pt-BR"/>
        </w:rPr>
        <w:t>Krempser</w:t>
      </w:r>
      <w:proofErr w:type="spellEnd"/>
      <w:r w:rsidRPr="00A35A95">
        <w:rPr>
          <w:rFonts w:ascii="Times New Roman" w:hAnsi="Times New Roman" w:cs="Times New Roman"/>
          <w:b w:val="0"/>
          <w:sz w:val="28"/>
          <w:szCs w:val="28"/>
          <w:lang w:val="pt-BR"/>
        </w:rPr>
        <w:t xml:space="preserve"> </w:t>
      </w:r>
      <w:r w:rsidRPr="00A35A95">
        <w:rPr>
          <w:rFonts w:ascii="Times New Roman" w:hAnsi="Times New Roman" w:cs="Times New Roman"/>
          <w:b w:val="0"/>
          <w:sz w:val="28"/>
          <w:szCs w:val="28"/>
          <w:vertAlign w:val="superscript"/>
          <w:lang w:val="pt-BR"/>
        </w:rPr>
        <w:t>3</w:t>
      </w:r>
      <w:r w:rsidRPr="00A35A95">
        <w:rPr>
          <w:rFonts w:ascii="Times New Roman" w:hAnsi="Times New Roman" w:cs="Times New Roman"/>
          <w:b w:val="0"/>
          <w:sz w:val="28"/>
          <w:szCs w:val="28"/>
          <w:lang w:val="pt-BR"/>
        </w:rPr>
        <w:t xml:space="preserve">, Fábio L. Custódio </w:t>
      </w:r>
      <w:r w:rsidRPr="00A35A95">
        <w:rPr>
          <w:rFonts w:ascii="Times New Roman" w:hAnsi="Times New Roman" w:cs="Times New Roman"/>
          <w:b w:val="0"/>
          <w:sz w:val="28"/>
          <w:szCs w:val="28"/>
          <w:vertAlign w:val="superscript"/>
          <w:lang w:val="pt-BR"/>
        </w:rPr>
        <w:t>1</w:t>
      </w:r>
      <w:r w:rsidRPr="00A35A95">
        <w:rPr>
          <w:rFonts w:ascii="Times New Roman" w:hAnsi="Times New Roman" w:cs="Times New Roman"/>
          <w:b w:val="0"/>
          <w:sz w:val="28"/>
          <w:szCs w:val="28"/>
          <w:lang w:val="pt-BR"/>
        </w:rPr>
        <w:t xml:space="preserve">, </w:t>
      </w:r>
      <w:proofErr w:type="spellStart"/>
      <w:r w:rsidRPr="00A35A95">
        <w:rPr>
          <w:rFonts w:ascii="Times New Roman" w:hAnsi="Times New Roman" w:cs="Times New Roman"/>
          <w:b w:val="0"/>
          <w:sz w:val="28"/>
          <w:szCs w:val="28"/>
          <w:lang w:val="pt-BR"/>
        </w:rPr>
        <w:t>Helio</w:t>
      </w:r>
      <w:proofErr w:type="spellEnd"/>
      <w:r w:rsidRPr="00A35A95">
        <w:rPr>
          <w:rFonts w:ascii="Times New Roman" w:hAnsi="Times New Roman" w:cs="Times New Roman"/>
          <w:b w:val="0"/>
          <w:sz w:val="28"/>
          <w:szCs w:val="28"/>
          <w:lang w:val="pt-BR"/>
        </w:rPr>
        <w:t xml:space="preserve"> J. C. Barbosa </w:t>
      </w:r>
      <w:r w:rsidRPr="00A35A95">
        <w:rPr>
          <w:rFonts w:ascii="Times New Roman" w:hAnsi="Times New Roman" w:cs="Times New Roman"/>
          <w:b w:val="0"/>
          <w:sz w:val="28"/>
          <w:szCs w:val="28"/>
          <w:vertAlign w:val="superscript"/>
          <w:lang w:val="pt-BR"/>
        </w:rPr>
        <w:t>1</w:t>
      </w:r>
      <w:r w:rsidRPr="00A35A95">
        <w:rPr>
          <w:rFonts w:ascii="Times New Roman" w:hAnsi="Times New Roman" w:cs="Times New Roman"/>
          <w:b w:val="0"/>
          <w:sz w:val="28"/>
          <w:szCs w:val="28"/>
          <w:lang w:val="pt-BR"/>
        </w:rPr>
        <w:t xml:space="preserve">, Marisa F. Nicolás </w:t>
      </w:r>
      <w:r w:rsidRPr="00A35A95">
        <w:rPr>
          <w:rFonts w:ascii="Times New Roman" w:hAnsi="Times New Roman" w:cs="Times New Roman"/>
          <w:b w:val="0"/>
          <w:sz w:val="28"/>
          <w:szCs w:val="28"/>
          <w:vertAlign w:val="superscript"/>
          <w:lang w:val="pt-BR"/>
        </w:rPr>
        <w:t>4,</w:t>
      </w:r>
      <w:r w:rsidRPr="00A35A95">
        <w:rPr>
          <w:rFonts w:ascii="Times New Roman" w:hAnsi="Times New Roman" w:cs="Times New Roman"/>
          <w:b w:val="0"/>
          <w:sz w:val="28"/>
          <w:szCs w:val="28"/>
          <w:lang w:val="pt-BR"/>
        </w:rPr>
        <w:t xml:space="preserve">* </w:t>
      </w:r>
      <w:proofErr w:type="spellStart"/>
      <w:r w:rsidRPr="00A35A95">
        <w:rPr>
          <w:rFonts w:ascii="Times New Roman" w:hAnsi="Times New Roman" w:cs="Times New Roman"/>
          <w:b w:val="0"/>
          <w:sz w:val="28"/>
          <w:szCs w:val="28"/>
          <w:lang w:val="pt-BR"/>
        </w:rPr>
        <w:t>and</w:t>
      </w:r>
      <w:proofErr w:type="spellEnd"/>
      <w:r w:rsidRPr="00A35A95">
        <w:rPr>
          <w:rFonts w:ascii="Times New Roman" w:hAnsi="Times New Roman" w:cs="Times New Roman"/>
          <w:b w:val="0"/>
          <w:sz w:val="28"/>
          <w:szCs w:val="28"/>
          <w:lang w:val="pt-BR"/>
        </w:rPr>
        <w:t xml:space="preserve"> Laurent E. </w:t>
      </w:r>
      <w:proofErr w:type="spellStart"/>
      <w:r w:rsidRPr="00A35A95">
        <w:rPr>
          <w:rFonts w:ascii="Times New Roman" w:hAnsi="Times New Roman" w:cs="Times New Roman"/>
          <w:b w:val="0"/>
          <w:sz w:val="28"/>
          <w:szCs w:val="28"/>
          <w:lang w:val="pt-BR"/>
        </w:rPr>
        <w:t>Dardenne</w:t>
      </w:r>
      <w:proofErr w:type="spellEnd"/>
      <w:r w:rsidRPr="00A35A95">
        <w:rPr>
          <w:rFonts w:ascii="Times New Roman" w:hAnsi="Times New Roman" w:cs="Times New Roman"/>
          <w:b w:val="0"/>
          <w:sz w:val="28"/>
          <w:szCs w:val="28"/>
          <w:lang w:val="pt-BR"/>
        </w:rPr>
        <w:t xml:space="preserve"> </w:t>
      </w:r>
      <w:r w:rsidRPr="00A35A95">
        <w:rPr>
          <w:rFonts w:ascii="Times New Roman" w:hAnsi="Times New Roman" w:cs="Times New Roman"/>
          <w:b w:val="0"/>
          <w:sz w:val="28"/>
          <w:szCs w:val="28"/>
          <w:vertAlign w:val="superscript"/>
          <w:lang w:val="pt-BR"/>
        </w:rPr>
        <w:t>1,</w:t>
      </w:r>
      <w:r w:rsidRPr="00A35A95">
        <w:rPr>
          <w:rFonts w:ascii="Times New Roman" w:hAnsi="Times New Roman" w:cs="Times New Roman"/>
          <w:b w:val="0"/>
          <w:sz w:val="28"/>
          <w:szCs w:val="28"/>
          <w:lang w:val="pt-BR"/>
        </w:rPr>
        <w:t>*</w:t>
      </w:r>
    </w:p>
    <w:p w14:paraId="0D5474EC" w14:textId="54A175BE" w:rsidR="00A35A95" w:rsidRPr="00E13C4C" w:rsidRDefault="00A35A95" w:rsidP="00A35A95">
      <w:pPr>
        <w:rPr>
          <w:rFonts w:ascii="Times New Roman" w:hAnsi="Times New Roman" w:cs="Times New Roman"/>
          <w:i/>
          <w:iCs/>
          <w:lang w:val="pt-BR" w:eastAsia="de-DE" w:bidi="en-US"/>
        </w:rPr>
      </w:pPr>
      <w:proofErr w:type="spellStart"/>
      <w:r w:rsidRPr="00E13C4C">
        <w:rPr>
          <w:rFonts w:ascii="Times New Roman" w:hAnsi="Times New Roman" w:cs="Times New Roman"/>
          <w:i/>
          <w:iCs/>
          <w:lang w:val="pt-BR" w:eastAsia="de-DE" w:bidi="en-US"/>
        </w:rPr>
        <w:t>Author</w:t>
      </w:r>
      <w:proofErr w:type="spellEnd"/>
      <w:r w:rsidRPr="00E13C4C">
        <w:rPr>
          <w:rFonts w:ascii="Times New Roman" w:hAnsi="Times New Roman" w:cs="Times New Roman"/>
          <w:i/>
          <w:iCs/>
          <w:lang w:val="pt-BR" w:eastAsia="de-DE" w:bidi="en-US"/>
        </w:rPr>
        <w:t xml:space="preserve"> </w:t>
      </w:r>
      <w:proofErr w:type="spellStart"/>
      <w:r w:rsidRPr="00E13C4C">
        <w:rPr>
          <w:rFonts w:ascii="Times New Roman" w:hAnsi="Times New Roman" w:cs="Times New Roman"/>
          <w:i/>
          <w:iCs/>
          <w:lang w:val="pt-BR" w:eastAsia="de-DE" w:bidi="en-US"/>
        </w:rPr>
        <w:t>affiliations</w:t>
      </w:r>
      <w:proofErr w:type="spellEnd"/>
    </w:p>
    <w:p w14:paraId="5F3474A4" w14:textId="77777777" w:rsidR="00A35A95" w:rsidRPr="00B47D01" w:rsidRDefault="00A35A95" w:rsidP="00A35A95">
      <w:pPr>
        <w:spacing w:line="360" w:lineRule="auto"/>
        <w:rPr>
          <w:rFonts w:ascii="Times New Roman" w:hAnsi="Times New Roman" w:cs="Times New Roman"/>
          <w:i/>
          <w:iCs/>
          <w:lang w:val="pt-BR" w:eastAsia="de-DE" w:bidi="en-US"/>
        </w:rPr>
      </w:pPr>
    </w:p>
    <w:p w14:paraId="24B62A3C" w14:textId="77777777" w:rsidR="00A35A95" w:rsidRPr="00B47D01" w:rsidRDefault="00A35A95" w:rsidP="00A35A95">
      <w:pPr>
        <w:pStyle w:val="MDPI16affiliation"/>
        <w:spacing w:line="360" w:lineRule="auto"/>
        <w:rPr>
          <w:rFonts w:ascii="Times New Roman" w:hAnsi="Times New Roman" w:cs="Times New Roman"/>
          <w:sz w:val="24"/>
          <w:szCs w:val="24"/>
          <w:lang w:val="pt-BR"/>
        </w:rPr>
      </w:pPr>
      <w:r w:rsidRPr="00B47D01">
        <w:rPr>
          <w:rFonts w:ascii="Times New Roman" w:hAnsi="Times New Roman" w:cs="Times New Roman"/>
          <w:sz w:val="24"/>
          <w:szCs w:val="24"/>
          <w:vertAlign w:val="superscript"/>
          <w:lang w:val="pt-BR"/>
        </w:rPr>
        <w:t>1</w:t>
      </w:r>
      <w:r w:rsidRPr="00B47D01">
        <w:rPr>
          <w:rFonts w:ascii="Times New Roman" w:hAnsi="Times New Roman" w:cs="Times New Roman"/>
          <w:sz w:val="24"/>
          <w:szCs w:val="24"/>
          <w:lang w:val="pt-BR"/>
        </w:rPr>
        <w:tab/>
        <w:t xml:space="preserve">Grupo de Modelagem Molecular em Sistemas Biológicos (GMMSB), </w:t>
      </w:r>
      <w:proofErr w:type="spellStart"/>
      <w:r w:rsidRPr="00B47D01">
        <w:rPr>
          <w:rFonts w:ascii="Times New Roman" w:hAnsi="Times New Roman" w:cs="Times New Roman"/>
          <w:sz w:val="24"/>
          <w:szCs w:val="24"/>
          <w:lang w:val="pt-BR"/>
        </w:rPr>
        <w:t>National</w:t>
      </w:r>
      <w:proofErr w:type="spellEnd"/>
      <w:r w:rsidRPr="00B47D01">
        <w:rPr>
          <w:rFonts w:ascii="Times New Roman" w:hAnsi="Times New Roman" w:cs="Times New Roman"/>
          <w:sz w:val="24"/>
          <w:szCs w:val="24"/>
          <w:lang w:val="pt-BR"/>
        </w:rPr>
        <w:t xml:space="preserve"> </w:t>
      </w:r>
      <w:proofErr w:type="spellStart"/>
      <w:r w:rsidRPr="00B47D01">
        <w:rPr>
          <w:rFonts w:ascii="Times New Roman" w:hAnsi="Times New Roman" w:cs="Times New Roman"/>
          <w:sz w:val="24"/>
          <w:szCs w:val="24"/>
          <w:lang w:val="pt-BR"/>
        </w:rPr>
        <w:t>Laboratory</w:t>
      </w:r>
      <w:proofErr w:type="spellEnd"/>
      <w:r w:rsidRPr="00B47D01">
        <w:rPr>
          <w:rFonts w:ascii="Times New Roman" w:hAnsi="Times New Roman" w:cs="Times New Roman"/>
          <w:sz w:val="24"/>
          <w:szCs w:val="24"/>
          <w:lang w:val="pt-BR"/>
        </w:rPr>
        <w:t xml:space="preserve"> for </w:t>
      </w:r>
      <w:proofErr w:type="spellStart"/>
      <w:r w:rsidRPr="00B47D01">
        <w:rPr>
          <w:rFonts w:ascii="Times New Roman" w:hAnsi="Times New Roman" w:cs="Times New Roman"/>
          <w:sz w:val="24"/>
          <w:szCs w:val="24"/>
          <w:lang w:val="pt-BR"/>
        </w:rPr>
        <w:t>Scientific</w:t>
      </w:r>
      <w:proofErr w:type="spellEnd"/>
      <w:r w:rsidRPr="00B47D01">
        <w:rPr>
          <w:rFonts w:ascii="Times New Roman" w:hAnsi="Times New Roman" w:cs="Times New Roman"/>
          <w:sz w:val="24"/>
          <w:szCs w:val="24"/>
          <w:lang w:val="pt-BR"/>
        </w:rPr>
        <w:t xml:space="preserve"> </w:t>
      </w:r>
      <w:proofErr w:type="spellStart"/>
      <w:r w:rsidRPr="00B47D01">
        <w:rPr>
          <w:rFonts w:ascii="Times New Roman" w:hAnsi="Times New Roman" w:cs="Times New Roman"/>
          <w:sz w:val="24"/>
          <w:szCs w:val="24"/>
          <w:lang w:val="pt-BR"/>
        </w:rPr>
        <w:t>Computing</w:t>
      </w:r>
      <w:proofErr w:type="spellEnd"/>
      <w:r w:rsidRPr="00B47D01">
        <w:rPr>
          <w:rFonts w:ascii="Times New Roman" w:hAnsi="Times New Roman" w:cs="Times New Roman"/>
          <w:sz w:val="24"/>
          <w:szCs w:val="24"/>
          <w:lang w:val="pt-BR"/>
        </w:rPr>
        <w:t xml:space="preserve"> - LNCC, Petrópolis - RJ, </w:t>
      </w:r>
      <w:proofErr w:type="spellStart"/>
      <w:r w:rsidRPr="00B47D01">
        <w:rPr>
          <w:rFonts w:ascii="Times New Roman" w:hAnsi="Times New Roman" w:cs="Times New Roman"/>
          <w:sz w:val="24"/>
          <w:szCs w:val="24"/>
          <w:lang w:val="pt-BR"/>
        </w:rPr>
        <w:t>Brazil</w:t>
      </w:r>
      <w:proofErr w:type="spellEnd"/>
      <w:r w:rsidRPr="00B47D01">
        <w:rPr>
          <w:rFonts w:ascii="Times New Roman" w:hAnsi="Times New Roman" w:cs="Times New Roman"/>
          <w:sz w:val="24"/>
          <w:szCs w:val="24"/>
          <w:lang w:val="pt-BR"/>
        </w:rPr>
        <w:t>;</w:t>
      </w:r>
    </w:p>
    <w:p w14:paraId="7B7EF37E" w14:textId="77777777" w:rsidR="00A35A95" w:rsidRPr="00B47D01" w:rsidRDefault="00A35A95" w:rsidP="00A35A95">
      <w:pPr>
        <w:pStyle w:val="MDPI16affiliation"/>
        <w:spacing w:line="360" w:lineRule="auto"/>
        <w:rPr>
          <w:rFonts w:ascii="Times New Roman" w:hAnsi="Times New Roman" w:cs="Times New Roman"/>
          <w:sz w:val="24"/>
          <w:szCs w:val="24"/>
          <w:lang w:val="pt-BR"/>
        </w:rPr>
      </w:pPr>
      <w:r w:rsidRPr="00B47D01">
        <w:rPr>
          <w:rFonts w:ascii="Times New Roman" w:hAnsi="Times New Roman" w:cs="Times New Roman"/>
          <w:sz w:val="24"/>
          <w:szCs w:val="24"/>
          <w:vertAlign w:val="superscript"/>
          <w:lang w:val="pt-BR"/>
        </w:rPr>
        <w:t>2</w:t>
      </w:r>
      <w:r w:rsidRPr="00B47D01">
        <w:rPr>
          <w:rFonts w:ascii="Times New Roman" w:hAnsi="Times New Roman" w:cs="Times New Roman"/>
          <w:sz w:val="24"/>
          <w:szCs w:val="24"/>
          <w:lang w:val="pt-BR"/>
        </w:rPr>
        <w:tab/>
        <w:t xml:space="preserve">Instituto Federal Fluminense - IFF, Macaé - RJ, </w:t>
      </w:r>
      <w:proofErr w:type="spellStart"/>
      <w:r w:rsidRPr="00B47D01">
        <w:rPr>
          <w:rFonts w:ascii="Times New Roman" w:hAnsi="Times New Roman" w:cs="Times New Roman"/>
          <w:sz w:val="24"/>
          <w:szCs w:val="24"/>
          <w:lang w:val="pt-BR"/>
        </w:rPr>
        <w:t>Brazil</w:t>
      </w:r>
      <w:proofErr w:type="spellEnd"/>
      <w:r w:rsidRPr="00B47D01">
        <w:rPr>
          <w:rFonts w:ascii="Times New Roman" w:hAnsi="Times New Roman" w:cs="Times New Roman"/>
          <w:sz w:val="24"/>
          <w:szCs w:val="24"/>
          <w:lang w:val="pt-BR"/>
        </w:rPr>
        <w:t>;</w:t>
      </w:r>
    </w:p>
    <w:p w14:paraId="505035B6" w14:textId="77777777" w:rsidR="00A35A95" w:rsidRPr="00B47D01" w:rsidRDefault="00A35A95" w:rsidP="00A35A95">
      <w:pPr>
        <w:pStyle w:val="MDPI16affiliation"/>
        <w:spacing w:line="360" w:lineRule="auto"/>
        <w:rPr>
          <w:rFonts w:ascii="Times New Roman" w:hAnsi="Times New Roman" w:cs="Times New Roman"/>
          <w:sz w:val="24"/>
          <w:szCs w:val="24"/>
          <w:lang w:val="pt-BR"/>
        </w:rPr>
      </w:pPr>
      <w:r w:rsidRPr="00B47D01">
        <w:rPr>
          <w:rFonts w:ascii="Times New Roman" w:hAnsi="Times New Roman" w:cs="Times New Roman"/>
          <w:sz w:val="24"/>
          <w:szCs w:val="24"/>
          <w:vertAlign w:val="superscript"/>
          <w:lang w:val="pt-BR"/>
        </w:rPr>
        <w:t>3</w:t>
      </w:r>
      <w:r w:rsidRPr="00B47D01">
        <w:rPr>
          <w:rFonts w:ascii="Times New Roman" w:hAnsi="Times New Roman" w:cs="Times New Roman"/>
          <w:sz w:val="24"/>
          <w:szCs w:val="24"/>
          <w:lang w:val="pt-BR"/>
        </w:rPr>
        <w:tab/>
        <w:t xml:space="preserve">Fundação Oswaldo Cruz - Fiocruz, Rio de Janeiro - RJ, </w:t>
      </w:r>
      <w:proofErr w:type="spellStart"/>
      <w:r w:rsidRPr="00B47D01">
        <w:rPr>
          <w:rFonts w:ascii="Times New Roman" w:hAnsi="Times New Roman" w:cs="Times New Roman"/>
          <w:sz w:val="24"/>
          <w:szCs w:val="24"/>
          <w:lang w:val="pt-BR"/>
        </w:rPr>
        <w:t>Brazil</w:t>
      </w:r>
      <w:proofErr w:type="spellEnd"/>
      <w:r w:rsidRPr="00B47D01">
        <w:rPr>
          <w:rFonts w:ascii="Times New Roman" w:hAnsi="Times New Roman" w:cs="Times New Roman"/>
          <w:sz w:val="24"/>
          <w:szCs w:val="24"/>
          <w:lang w:val="pt-BR"/>
        </w:rPr>
        <w:t>;</w:t>
      </w:r>
    </w:p>
    <w:p w14:paraId="30297A95" w14:textId="0E27755E" w:rsidR="00A35A95" w:rsidRPr="00B47D01" w:rsidRDefault="00A35A95" w:rsidP="00A35A95">
      <w:pPr>
        <w:pStyle w:val="MDPI16affiliation"/>
        <w:spacing w:line="360" w:lineRule="auto"/>
        <w:rPr>
          <w:rFonts w:ascii="Times New Roman" w:hAnsi="Times New Roman" w:cs="Times New Roman"/>
          <w:sz w:val="24"/>
          <w:szCs w:val="24"/>
          <w:lang w:val="pt-BR"/>
        </w:rPr>
      </w:pPr>
      <w:r w:rsidRPr="00B47D01">
        <w:rPr>
          <w:rFonts w:ascii="Times New Roman" w:hAnsi="Times New Roman" w:cs="Times New Roman"/>
          <w:sz w:val="24"/>
          <w:szCs w:val="24"/>
          <w:vertAlign w:val="superscript"/>
          <w:lang w:val="pt-BR"/>
        </w:rPr>
        <w:t>4</w:t>
      </w:r>
      <w:r w:rsidRPr="00B47D01">
        <w:rPr>
          <w:rFonts w:ascii="Times New Roman" w:hAnsi="Times New Roman" w:cs="Times New Roman"/>
          <w:sz w:val="24"/>
          <w:szCs w:val="24"/>
          <w:lang w:val="pt-BR"/>
        </w:rPr>
        <w:tab/>
        <w:t>Laboratório de Bioinformática (</w:t>
      </w:r>
      <w:proofErr w:type="spellStart"/>
      <w:r w:rsidRPr="00B47D01">
        <w:rPr>
          <w:rFonts w:ascii="Times New Roman" w:hAnsi="Times New Roman" w:cs="Times New Roman"/>
          <w:sz w:val="24"/>
          <w:szCs w:val="24"/>
          <w:lang w:val="pt-BR"/>
        </w:rPr>
        <w:t>Labinfo</w:t>
      </w:r>
      <w:proofErr w:type="spellEnd"/>
      <w:r w:rsidRPr="00B47D01">
        <w:rPr>
          <w:rFonts w:ascii="Times New Roman" w:hAnsi="Times New Roman" w:cs="Times New Roman"/>
          <w:sz w:val="24"/>
          <w:szCs w:val="24"/>
          <w:lang w:val="pt-BR"/>
        </w:rPr>
        <w:t xml:space="preserve">), </w:t>
      </w:r>
      <w:proofErr w:type="spellStart"/>
      <w:r w:rsidRPr="00B47D01">
        <w:rPr>
          <w:rFonts w:ascii="Times New Roman" w:hAnsi="Times New Roman" w:cs="Times New Roman"/>
          <w:sz w:val="24"/>
          <w:szCs w:val="24"/>
          <w:lang w:val="pt-BR"/>
        </w:rPr>
        <w:t>National</w:t>
      </w:r>
      <w:proofErr w:type="spellEnd"/>
      <w:r w:rsidRPr="00B47D01">
        <w:rPr>
          <w:rFonts w:ascii="Times New Roman" w:hAnsi="Times New Roman" w:cs="Times New Roman"/>
          <w:sz w:val="24"/>
          <w:szCs w:val="24"/>
          <w:lang w:val="pt-BR"/>
        </w:rPr>
        <w:t xml:space="preserve"> </w:t>
      </w:r>
      <w:proofErr w:type="spellStart"/>
      <w:r w:rsidRPr="00B47D01">
        <w:rPr>
          <w:rFonts w:ascii="Times New Roman" w:hAnsi="Times New Roman" w:cs="Times New Roman"/>
          <w:sz w:val="24"/>
          <w:szCs w:val="24"/>
          <w:lang w:val="pt-BR"/>
        </w:rPr>
        <w:t>Laboratory</w:t>
      </w:r>
      <w:proofErr w:type="spellEnd"/>
      <w:r w:rsidRPr="00B47D01">
        <w:rPr>
          <w:rFonts w:ascii="Times New Roman" w:hAnsi="Times New Roman" w:cs="Times New Roman"/>
          <w:sz w:val="24"/>
          <w:szCs w:val="24"/>
          <w:lang w:val="pt-BR"/>
        </w:rPr>
        <w:t xml:space="preserve"> for </w:t>
      </w:r>
      <w:proofErr w:type="spellStart"/>
      <w:r w:rsidRPr="00B47D01">
        <w:rPr>
          <w:rFonts w:ascii="Times New Roman" w:hAnsi="Times New Roman" w:cs="Times New Roman"/>
          <w:sz w:val="24"/>
          <w:szCs w:val="24"/>
          <w:lang w:val="pt-BR"/>
        </w:rPr>
        <w:t>Scientific</w:t>
      </w:r>
      <w:proofErr w:type="spellEnd"/>
      <w:r w:rsidRPr="00B47D01">
        <w:rPr>
          <w:rFonts w:ascii="Times New Roman" w:hAnsi="Times New Roman" w:cs="Times New Roman"/>
          <w:sz w:val="24"/>
          <w:szCs w:val="24"/>
          <w:lang w:val="pt-BR"/>
        </w:rPr>
        <w:t xml:space="preserve"> </w:t>
      </w:r>
      <w:proofErr w:type="spellStart"/>
      <w:r w:rsidRPr="00B47D01">
        <w:rPr>
          <w:rFonts w:ascii="Times New Roman" w:hAnsi="Times New Roman" w:cs="Times New Roman"/>
          <w:sz w:val="24"/>
          <w:szCs w:val="24"/>
          <w:lang w:val="pt-BR"/>
        </w:rPr>
        <w:t>Computing</w:t>
      </w:r>
      <w:proofErr w:type="spellEnd"/>
      <w:r w:rsidRPr="00B47D01">
        <w:rPr>
          <w:rFonts w:ascii="Times New Roman" w:hAnsi="Times New Roman" w:cs="Times New Roman"/>
          <w:sz w:val="24"/>
          <w:szCs w:val="24"/>
          <w:lang w:val="pt-BR"/>
        </w:rPr>
        <w:t xml:space="preserve"> - LNCC, Petrópolis - RJ, </w:t>
      </w:r>
      <w:proofErr w:type="spellStart"/>
      <w:r w:rsidRPr="00B47D01">
        <w:rPr>
          <w:rFonts w:ascii="Times New Roman" w:hAnsi="Times New Roman" w:cs="Times New Roman"/>
          <w:sz w:val="24"/>
          <w:szCs w:val="24"/>
          <w:lang w:val="pt-BR"/>
        </w:rPr>
        <w:t>Brazil</w:t>
      </w:r>
      <w:proofErr w:type="spellEnd"/>
      <w:r w:rsidRPr="00B47D01">
        <w:rPr>
          <w:rFonts w:ascii="Times New Roman" w:hAnsi="Times New Roman" w:cs="Times New Roman"/>
          <w:sz w:val="24"/>
          <w:szCs w:val="24"/>
          <w:lang w:val="pt-BR"/>
        </w:rPr>
        <w:t>;</w:t>
      </w:r>
    </w:p>
    <w:p w14:paraId="1ACE4EE6" w14:textId="58424822" w:rsidR="00A35A95" w:rsidRPr="00B47D01" w:rsidRDefault="00A35A95" w:rsidP="00A35A95">
      <w:pPr>
        <w:pStyle w:val="MDPI16affiliation"/>
        <w:spacing w:line="360" w:lineRule="auto"/>
        <w:rPr>
          <w:rFonts w:ascii="Times New Roman" w:hAnsi="Times New Roman" w:cs="Times New Roman"/>
          <w:sz w:val="24"/>
          <w:szCs w:val="24"/>
          <w:lang w:val="pt-BR"/>
        </w:rPr>
      </w:pPr>
    </w:p>
    <w:p w14:paraId="01D63744" w14:textId="4E74FDEA" w:rsidR="00A35A95" w:rsidRPr="00B47D01" w:rsidRDefault="00A35A95" w:rsidP="00A35A95">
      <w:pPr>
        <w:pStyle w:val="MDPI16affiliation"/>
        <w:spacing w:line="360" w:lineRule="auto"/>
        <w:rPr>
          <w:rFonts w:ascii="Times New Roman" w:hAnsi="Times New Roman" w:cs="Times New Roman"/>
          <w:i/>
          <w:iCs/>
          <w:sz w:val="24"/>
          <w:szCs w:val="24"/>
          <w:lang w:val="pt-BR"/>
        </w:rPr>
      </w:pPr>
      <w:proofErr w:type="spellStart"/>
      <w:r w:rsidRPr="00B47D01">
        <w:rPr>
          <w:rFonts w:ascii="Times New Roman" w:hAnsi="Times New Roman" w:cs="Times New Roman"/>
          <w:i/>
          <w:iCs/>
          <w:sz w:val="24"/>
          <w:szCs w:val="24"/>
          <w:lang w:val="pt-BR"/>
        </w:rPr>
        <w:t>Corresponding</w:t>
      </w:r>
      <w:proofErr w:type="spellEnd"/>
      <w:r w:rsidRPr="00B47D01">
        <w:rPr>
          <w:rFonts w:ascii="Times New Roman" w:hAnsi="Times New Roman" w:cs="Times New Roman"/>
          <w:i/>
          <w:iCs/>
          <w:sz w:val="24"/>
          <w:szCs w:val="24"/>
          <w:lang w:val="pt-BR"/>
        </w:rPr>
        <w:t xml:space="preserve"> </w:t>
      </w:r>
      <w:proofErr w:type="spellStart"/>
      <w:r w:rsidRPr="00B47D01">
        <w:rPr>
          <w:rFonts w:ascii="Times New Roman" w:hAnsi="Times New Roman" w:cs="Times New Roman"/>
          <w:i/>
          <w:iCs/>
          <w:sz w:val="24"/>
          <w:szCs w:val="24"/>
          <w:lang w:val="pt-BR"/>
        </w:rPr>
        <w:t>authors</w:t>
      </w:r>
      <w:proofErr w:type="spellEnd"/>
    </w:p>
    <w:p w14:paraId="42507C72" w14:textId="77777777" w:rsidR="00A35A95" w:rsidRPr="00B47D01" w:rsidRDefault="00A35A95" w:rsidP="00A35A95">
      <w:pPr>
        <w:pStyle w:val="MDPI16affiliation"/>
        <w:spacing w:line="360" w:lineRule="auto"/>
        <w:rPr>
          <w:rFonts w:ascii="Times New Roman" w:hAnsi="Times New Roman" w:cs="Times New Roman"/>
          <w:sz w:val="24"/>
          <w:szCs w:val="24"/>
          <w:lang w:val="pt-BR"/>
        </w:rPr>
      </w:pPr>
      <w:r w:rsidRPr="00B47D01">
        <w:rPr>
          <w:rFonts w:ascii="Times New Roman" w:hAnsi="Times New Roman" w:cs="Times New Roman"/>
          <w:b/>
          <w:sz w:val="24"/>
          <w:szCs w:val="24"/>
          <w:lang w:val="pt-BR"/>
        </w:rPr>
        <w:t>*</w:t>
      </w:r>
      <w:r w:rsidRPr="00B47D01">
        <w:rPr>
          <w:rFonts w:ascii="Times New Roman" w:hAnsi="Times New Roman" w:cs="Times New Roman"/>
          <w:sz w:val="24"/>
          <w:szCs w:val="24"/>
          <w:lang w:val="pt-BR"/>
        </w:rPr>
        <w:tab/>
      </w:r>
      <w:hyperlink r:id="rId4" w:history="1">
        <w:r w:rsidRPr="00B47D01">
          <w:rPr>
            <w:rStyle w:val="Hyperlink"/>
            <w:rFonts w:ascii="Times New Roman" w:hAnsi="Times New Roman" w:cs="Times New Roman"/>
            <w:sz w:val="24"/>
            <w:szCs w:val="24"/>
            <w:lang w:val="pt-BR"/>
          </w:rPr>
          <w:t>dardenne@lncc.br</w:t>
        </w:r>
      </w:hyperlink>
      <w:r w:rsidRPr="00B47D01">
        <w:rPr>
          <w:rFonts w:ascii="Times New Roman" w:hAnsi="Times New Roman" w:cs="Times New Roman"/>
          <w:sz w:val="24"/>
          <w:szCs w:val="24"/>
          <w:lang w:val="pt-BR"/>
        </w:rPr>
        <w:t xml:space="preserve"> (L.E.D.), </w:t>
      </w:r>
      <w:hyperlink r:id="rId5" w:history="1">
        <w:r w:rsidRPr="00B47D01">
          <w:rPr>
            <w:rStyle w:val="Hyperlink"/>
            <w:rFonts w:ascii="Times New Roman" w:hAnsi="Times New Roman" w:cs="Times New Roman"/>
            <w:sz w:val="24"/>
            <w:szCs w:val="24"/>
            <w:lang w:val="pt-BR"/>
          </w:rPr>
          <w:t>marisa@lncc.br</w:t>
        </w:r>
      </w:hyperlink>
      <w:r w:rsidRPr="00B47D01">
        <w:rPr>
          <w:rFonts w:ascii="Times New Roman" w:hAnsi="Times New Roman" w:cs="Times New Roman"/>
          <w:sz w:val="24"/>
          <w:szCs w:val="24"/>
          <w:lang w:val="pt-BR"/>
        </w:rPr>
        <w:t xml:space="preserve"> (M.F.N.)</w:t>
      </w:r>
    </w:p>
    <w:p w14:paraId="5A49A1A5" w14:textId="55CB25AF" w:rsidR="00A91D23" w:rsidRPr="00A35A95" w:rsidRDefault="00A91D23" w:rsidP="00A35A95">
      <w:pPr>
        <w:jc w:val="center"/>
        <w:rPr>
          <w:b/>
          <w:bCs/>
          <w:lang w:val="pt-BR"/>
        </w:rPr>
      </w:pPr>
    </w:p>
    <w:p w14:paraId="689DADBB" w14:textId="77777777" w:rsidR="00A35A95" w:rsidRDefault="00A35A95" w:rsidP="00A35A95">
      <w:pPr>
        <w:jc w:val="center"/>
        <w:rPr>
          <w:rFonts w:ascii="Times New Roman" w:eastAsia="Times New Roman" w:hAnsi="Times New Roman" w:cs="Times New Roman"/>
          <w:b/>
          <w:bCs/>
          <w:color w:val="000000"/>
          <w:sz w:val="22"/>
          <w:szCs w:val="22"/>
          <w:lang w:val="pt-BR" w:eastAsia="de-DE" w:bidi="en-US"/>
        </w:rPr>
      </w:pPr>
      <w:bookmarkStart w:id="0" w:name="_Ref50396173"/>
      <w:r>
        <w:rPr>
          <w:rFonts w:ascii="Times New Roman" w:hAnsi="Times New Roman"/>
          <w:b/>
          <w:bCs/>
          <w:sz w:val="22"/>
          <w:lang w:val="pt-BR"/>
        </w:rPr>
        <w:br w:type="page"/>
      </w:r>
    </w:p>
    <w:p w14:paraId="6A2B49FB" w14:textId="24C304D9" w:rsidR="00A91D23" w:rsidRPr="00A91D23" w:rsidRDefault="00A91D23" w:rsidP="00A91D23">
      <w:pPr>
        <w:pStyle w:val="MDPI41tablecaption"/>
        <w:ind w:left="0"/>
        <w:rPr>
          <w:rFonts w:ascii="Times New Roman" w:hAnsi="Times New Roman"/>
          <w:sz w:val="22"/>
        </w:rPr>
      </w:pPr>
      <w:r w:rsidRPr="00A91D23">
        <w:rPr>
          <w:rFonts w:ascii="Times New Roman" w:hAnsi="Times New Roman"/>
          <w:b/>
          <w:bCs/>
          <w:sz w:val="22"/>
        </w:rPr>
        <w:lastRenderedPageBreak/>
        <w:t>Table</w:t>
      </w:r>
      <w:bookmarkEnd w:id="0"/>
      <w:r>
        <w:rPr>
          <w:rFonts w:ascii="Times New Roman" w:hAnsi="Times New Roman"/>
          <w:b/>
          <w:bCs/>
          <w:sz w:val="22"/>
        </w:rPr>
        <w:t xml:space="preserve"> S1</w:t>
      </w:r>
      <w:r w:rsidRPr="00A91D23">
        <w:rPr>
          <w:rFonts w:ascii="Times New Roman" w:hAnsi="Times New Roman"/>
          <w:b/>
          <w:bCs/>
          <w:sz w:val="22"/>
        </w:rPr>
        <w:t>.</w:t>
      </w:r>
      <w:r w:rsidRPr="00A91D23">
        <w:rPr>
          <w:rFonts w:ascii="Times New Roman" w:hAnsi="Times New Roman"/>
          <w:sz w:val="22"/>
        </w:rPr>
        <w:t xml:space="preserve"> SARS-CoV-2 target proteins and the non-synonymous variations (NSVs) selected in this study.</w:t>
      </w:r>
    </w:p>
    <w:tbl>
      <w:tblPr>
        <w:tblW w:w="0" w:type="auto"/>
        <w:tblBorders>
          <w:top w:val="single" w:sz="8" w:space="0" w:color="000000"/>
          <w:bottom w:val="single" w:sz="8" w:space="0" w:color="000000"/>
          <w:insideH w:val="single" w:sz="8" w:space="0" w:color="000000"/>
          <w:insideV w:val="single" w:sz="8" w:space="0" w:color="000000"/>
        </w:tblBorders>
        <w:tblCellMar>
          <w:top w:w="15" w:type="dxa"/>
          <w:left w:w="15" w:type="dxa"/>
          <w:bottom w:w="15" w:type="dxa"/>
          <w:right w:w="15" w:type="dxa"/>
        </w:tblCellMar>
        <w:tblLook w:val="04A0" w:firstRow="1" w:lastRow="0" w:firstColumn="1" w:lastColumn="0" w:noHBand="0" w:noVBand="1"/>
      </w:tblPr>
      <w:tblGrid>
        <w:gridCol w:w="775"/>
        <w:gridCol w:w="2053"/>
        <w:gridCol w:w="1007"/>
        <w:gridCol w:w="5525"/>
      </w:tblGrid>
      <w:tr w:rsidR="00A91D23" w:rsidRPr="00A91D23" w14:paraId="7324E105" w14:textId="77777777" w:rsidTr="00A35A95">
        <w:tc>
          <w:tcPr>
            <w:tcW w:w="0" w:type="auto"/>
            <w:shd w:val="clear" w:color="auto" w:fill="auto"/>
            <w:tcMar>
              <w:top w:w="100" w:type="dxa"/>
              <w:left w:w="100" w:type="dxa"/>
              <w:bottom w:w="100" w:type="dxa"/>
              <w:right w:w="100" w:type="dxa"/>
            </w:tcMar>
            <w:hideMark/>
          </w:tcPr>
          <w:p w14:paraId="19C21F3E" w14:textId="77777777" w:rsidR="00A91D23" w:rsidRPr="00A91D23" w:rsidRDefault="00A91D23" w:rsidP="00A91D23">
            <w:pPr>
              <w:pStyle w:val="MDPI42tablebody"/>
              <w:jc w:val="both"/>
              <w:rPr>
                <w:rFonts w:ascii="Times New Roman" w:hAnsi="Times New Roman"/>
                <w:b/>
                <w:bCs/>
                <w:sz w:val="22"/>
                <w:szCs w:val="22"/>
              </w:rPr>
            </w:pPr>
            <w:r w:rsidRPr="00A91D23">
              <w:rPr>
                <w:rFonts w:ascii="Times New Roman" w:hAnsi="Times New Roman"/>
                <w:b/>
                <w:bCs/>
                <w:sz w:val="22"/>
                <w:szCs w:val="22"/>
              </w:rPr>
              <w:t>ORF</w:t>
            </w:r>
          </w:p>
        </w:tc>
        <w:tc>
          <w:tcPr>
            <w:tcW w:w="0" w:type="auto"/>
            <w:shd w:val="clear" w:color="auto" w:fill="auto"/>
            <w:tcMar>
              <w:top w:w="100" w:type="dxa"/>
              <w:left w:w="100" w:type="dxa"/>
              <w:bottom w:w="100" w:type="dxa"/>
              <w:right w:w="100" w:type="dxa"/>
            </w:tcMar>
            <w:hideMark/>
          </w:tcPr>
          <w:p w14:paraId="47354711" w14:textId="77777777" w:rsidR="00A91D23" w:rsidRPr="00A91D23" w:rsidRDefault="00A91D23" w:rsidP="00A91D23">
            <w:pPr>
              <w:pStyle w:val="MDPI42tablebody"/>
              <w:jc w:val="both"/>
              <w:rPr>
                <w:rFonts w:ascii="Times New Roman" w:hAnsi="Times New Roman"/>
                <w:b/>
                <w:bCs/>
                <w:sz w:val="22"/>
                <w:szCs w:val="22"/>
              </w:rPr>
            </w:pPr>
            <w:r w:rsidRPr="00A91D23">
              <w:rPr>
                <w:rFonts w:ascii="Times New Roman" w:hAnsi="Times New Roman"/>
                <w:b/>
                <w:bCs/>
                <w:sz w:val="22"/>
                <w:szCs w:val="22"/>
              </w:rPr>
              <w:t>Description</w:t>
            </w:r>
          </w:p>
        </w:tc>
        <w:tc>
          <w:tcPr>
            <w:tcW w:w="0" w:type="auto"/>
            <w:shd w:val="clear" w:color="auto" w:fill="auto"/>
            <w:tcMar>
              <w:top w:w="100" w:type="dxa"/>
              <w:left w:w="100" w:type="dxa"/>
              <w:bottom w:w="100" w:type="dxa"/>
              <w:right w:w="100" w:type="dxa"/>
            </w:tcMar>
            <w:hideMark/>
          </w:tcPr>
          <w:p w14:paraId="61F44432" w14:textId="77777777" w:rsidR="00A91D23" w:rsidRPr="00A91D23" w:rsidRDefault="00A91D23" w:rsidP="00A91D23">
            <w:pPr>
              <w:pStyle w:val="MDPI42tablebody"/>
              <w:jc w:val="both"/>
              <w:rPr>
                <w:rFonts w:ascii="Times New Roman" w:hAnsi="Times New Roman"/>
                <w:b/>
                <w:bCs/>
                <w:sz w:val="22"/>
                <w:szCs w:val="22"/>
              </w:rPr>
            </w:pPr>
            <w:r w:rsidRPr="00A91D23">
              <w:rPr>
                <w:rFonts w:ascii="Times New Roman" w:hAnsi="Times New Roman"/>
                <w:b/>
                <w:bCs/>
                <w:sz w:val="22"/>
                <w:szCs w:val="22"/>
              </w:rPr>
              <w:t>NSVs</w:t>
            </w:r>
            <w:r w:rsidRPr="00A91D23">
              <w:rPr>
                <w:rFonts w:ascii="Times New Roman" w:hAnsi="Times New Roman"/>
                <w:b/>
                <w:bCs/>
                <w:sz w:val="22"/>
                <w:szCs w:val="22"/>
                <w:vertAlign w:val="superscript"/>
              </w:rPr>
              <w:t>1</w:t>
            </w:r>
          </w:p>
        </w:tc>
        <w:tc>
          <w:tcPr>
            <w:tcW w:w="0" w:type="auto"/>
            <w:shd w:val="clear" w:color="auto" w:fill="auto"/>
            <w:tcMar>
              <w:top w:w="100" w:type="dxa"/>
              <w:left w:w="100" w:type="dxa"/>
              <w:bottom w:w="100" w:type="dxa"/>
              <w:right w:w="100" w:type="dxa"/>
            </w:tcMar>
            <w:hideMark/>
          </w:tcPr>
          <w:p w14:paraId="72E91704" w14:textId="77777777" w:rsidR="00A91D23" w:rsidRPr="00A91D23" w:rsidRDefault="00A91D23" w:rsidP="00A91D23">
            <w:pPr>
              <w:pStyle w:val="MDPI42tablebody"/>
              <w:jc w:val="both"/>
              <w:rPr>
                <w:rFonts w:ascii="Times New Roman" w:hAnsi="Times New Roman"/>
                <w:b/>
                <w:bCs/>
                <w:sz w:val="22"/>
                <w:szCs w:val="22"/>
              </w:rPr>
            </w:pPr>
            <w:r w:rsidRPr="00A91D23">
              <w:rPr>
                <w:rFonts w:ascii="Times New Roman" w:hAnsi="Times New Roman"/>
                <w:b/>
                <w:bCs/>
                <w:sz w:val="22"/>
                <w:szCs w:val="22"/>
              </w:rPr>
              <w:t>Mutations Features</w:t>
            </w:r>
            <w:r w:rsidRPr="00A91D23">
              <w:rPr>
                <w:rFonts w:ascii="Times New Roman" w:hAnsi="Times New Roman"/>
                <w:b/>
                <w:bCs/>
                <w:sz w:val="22"/>
                <w:szCs w:val="22"/>
                <w:vertAlign w:val="superscript"/>
              </w:rPr>
              <w:t>2,3</w:t>
            </w:r>
          </w:p>
        </w:tc>
      </w:tr>
      <w:tr w:rsidR="00A91D23" w:rsidRPr="00A91D23" w14:paraId="7DB2829E" w14:textId="77777777" w:rsidTr="00A35A95">
        <w:trPr>
          <w:trHeight w:val="1230"/>
        </w:trPr>
        <w:tc>
          <w:tcPr>
            <w:tcW w:w="0" w:type="auto"/>
            <w:vMerge w:val="restart"/>
            <w:tcMar>
              <w:top w:w="100" w:type="dxa"/>
              <w:left w:w="100" w:type="dxa"/>
              <w:bottom w:w="100" w:type="dxa"/>
              <w:right w:w="100" w:type="dxa"/>
            </w:tcMar>
            <w:hideMark/>
          </w:tcPr>
          <w:p w14:paraId="68D984A9"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Nsp3</w:t>
            </w:r>
          </w:p>
        </w:tc>
        <w:tc>
          <w:tcPr>
            <w:tcW w:w="0" w:type="auto"/>
            <w:vMerge w:val="restart"/>
            <w:tcMar>
              <w:top w:w="100" w:type="dxa"/>
              <w:left w:w="100" w:type="dxa"/>
              <w:bottom w:w="100" w:type="dxa"/>
              <w:right w:w="100" w:type="dxa"/>
            </w:tcMar>
            <w:hideMark/>
          </w:tcPr>
          <w:p w14:paraId="7BC32D5E"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 xml:space="preserve">Papain-like protease, </w:t>
            </w:r>
            <w:proofErr w:type="spellStart"/>
            <w:r w:rsidRPr="00A91D23">
              <w:rPr>
                <w:rFonts w:ascii="Times New Roman" w:hAnsi="Times New Roman"/>
                <w:sz w:val="22"/>
                <w:szCs w:val="22"/>
              </w:rPr>
              <w:t>PLpro</w:t>
            </w:r>
            <w:proofErr w:type="spellEnd"/>
          </w:p>
        </w:tc>
        <w:tc>
          <w:tcPr>
            <w:tcW w:w="0" w:type="auto"/>
            <w:tcMar>
              <w:top w:w="100" w:type="dxa"/>
              <w:left w:w="100" w:type="dxa"/>
              <w:bottom w:w="100" w:type="dxa"/>
              <w:right w:w="100" w:type="dxa"/>
            </w:tcMar>
            <w:hideMark/>
          </w:tcPr>
          <w:p w14:paraId="09B07786"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P993S</w:t>
            </w:r>
            <w:r w:rsidRPr="00A91D23">
              <w:rPr>
                <w:rFonts w:ascii="Times New Roman" w:hAnsi="Times New Roman"/>
                <w:sz w:val="22"/>
                <w:szCs w:val="22"/>
              </w:rPr>
              <w:br/>
              <w:t>(P248S)</w:t>
            </w:r>
          </w:p>
        </w:tc>
        <w:tc>
          <w:tcPr>
            <w:tcW w:w="0" w:type="auto"/>
            <w:tcMar>
              <w:top w:w="100" w:type="dxa"/>
              <w:left w:w="100" w:type="dxa"/>
              <w:bottom w:w="100" w:type="dxa"/>
              <w:right w:w="100" w:type="dxa"/>
            </w:tcMar>
            <w:hideMark/>
          </w:tcPr>
          <w:p w14:paraId="51E5F345"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Amino-acid substitution (hydrophobic to hydrophilic change) with neutral functional effect, which was identified in 2 samples belonging to either sub-lineages B or B.1.5. The residue falls on the Peptidase C16 domain (</w:t>
            </w:r>
            <w:proofErr w:type="spellStart"/>
            <w:r w:rsidRPr="00A91D23">
              <w:rPr>
                <w:rFonts w:ascii="Times New Roman" w:hAnsi="Times New Roman"/>
                <w:sz w:val="22"/>
                <w:szCs w:val="22"/>
              </w:rPr>
              <w:t>UniProt</w:t>
            </w:r>
            <w:proofErr w:type="spellEnd"/>
            <w:r w:rsidRPr="00A91D23">
              <w:rPr>
                <w:rFonts w:ascii="Times New Roman" w:hAnsi="Times New Roman"/>
                <w:sz w:val="22"/>
                <w:szCs w:val="22"/>
              </w:rPr>
              <w:t xml:space="preserve"> P0DTD1).</w:t>
            </w:r>
          </w:p>
        </w:tc>
      </w:tr>
      <w:tr w:rsidR="00A91D23" w:rsidRPr="00A91D23" w14:paraId="27BF069D" w14:textId="77777777" w:rsidTr="00A35A95">
        <w:trPr>
          <w:trHeight w:val="420"/>
        </w:trPr>
        <w:tc>
          <w:tcPr>
            <w:tcW w:w="0" w:type="auto"/>
            <w:vMerge/>
            <w:vAlign w:val="center"/>
            <w:hideMark/>
          </w:tcPr>
          <w:p w14:paraId="4449DE76" w14:textId="77777777" w:rsidR="00A91D23" w:rsidRPr="00A91D23" w:rsidRDefault="00A91D23" w:rsidP="00A91D23">
            <w:pPr>
              <w:pStyle w:val="MDPI42tablebody"/>
              <w:jc w:val="both"/>
              <w:rPr>
                <w:rFonts w:ascii="Times New Roman" w:hAnsi="Times New Roman"/>
                <w:sz w:val="22"/>
                <w:szCs w:val="22"/>
              </w:rPr>
            </w:pPr>
          </w:p>
        </w:tc>
        <w:tc>
          <w:tcPr>
            <w:tcW w:w="0" w:type="auto"/>
            <w:vMerge/>
            <w:vAlign w:val="center"/>
            <w:hideMark/>
          </w:tcPr>
          <w:p w14:paraId="60E82078" w14:textId="77777777" w:rsidR="00A91D23" w:rsidRPr="00A91D23" w:rsidRDefault="00A91D23" w:rsidP="00A91D23">
            <w:pPr>
              <w:pStyle w:val="MDPI42tablebody"/>
              <w:jc w:val="both"/>
              <w:rPr>
                <w:rFonts w:ascii="Times New Roman" w:hAnsi="Times New Roman"/>
                <w:sz w:val="22"/>
                <w:szCs w:val="22"/>
              </w:rPr>
            </w:pPr>
          </w:p>
        </w:tc>
        <w:tc>
          <w:tcPr>
            <w:tcW w:w="0" w:type="auto"/>
            <w:tcMar>
              <w:top w:w="100" w:type="dxa"/>
              <w:left w:w="100" w:type="dxa"/>
              <w:bottom w:w="100" w:type="dxa"/>
              <w:right w:w="100" w:type="dxa"/>
            </w:tcMar>
            <w:hideMark/>
          </w:tcPr>
          <w:p w14:paraId="44327FFF"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Y1009H</w:t>
            </w:r>
            <w:r w:rsidRPr="00A91D23">
              <w:rPr>
                <w:rFonts w:ascii="Times New Roman" w:hAnsi="Times New Roman"/>
                <w:sz w:val="22"/>
                <w:szCs w:val="22"/>
              </w:rPr>
              <w:br/>
              <w:t>(Y264H)</w:t>
            </w:r>
          </w:p>
        </w:tc>
        <w:tc>
          <w:tcPr>
            <w:tcW w:w="0" w:type="auto"/>
            <w:tcMar>
              <w:top w:w="100" w:type="dxa"/>
              <w:left w:w="100" w:type="dxa"/>
              <w:bottom w:w="100" w:type="dxa"/>
              <w:right w:w="100" w:type="dxa"/>
            </w:tcMar>
            <w:hideMark/>
          </w:tcPr>
          <w:p w14:paraId="606542C2"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Amino-acid substitution (hydrophobic to moderate and neutral to positive changes) with neutral functional effect, which was identified in samples belonging to either sub-lineages B, B.1, B.1.1, B.1.1.1 B.1.23, B.1.33, B.2, B.2.1, B.2.4, B.2.6, B.4 or B.6. The residue falls on the Peptidase C16 domain (</w:t>
            </w:r>
            <w:proofErr w:type="spellStart"/>
            <w:r w:rsidRPr="00A91D23">
              <w:rPr>
                <w:rFonts w:ascii="Times New Roman" w:hAnsi="Times New Roman"/>
                <w:sz w:val="22"/>
                <w:szCs w:val="22"/>
              </w:rPr>
              <w:t>UniProt</w:t>
            </w:r>
            <w:proofErr w:type="spellEnd"/>
            <w:r w:rsidRPr="00A91D23">
              <w:rPr>
                <w:rFonts w:ascii="Times New Roman" w:hAnsi="Times New Roman"/>
                <w:sz w:val="22"/>
                <w:szCs w:val="22"/>
              </w:rPr>
              <w:t xml:space="preserve"> P0DTD1).</w:t>
            </w:r>
          </w:p>
        </w:tc>
      </w:tr>
      <w:tr w:rsidR="00A91D23" w:rsidRPr="00A91D23" w14:paraId="5A734ED1" w14:textId="77777777" w:rsidTr="00A35A95">
        <w:trPr>
          <w:trHeight w:val="420"/>
        </w:trPr>
        <w:tc>
          <w:tcPr>
            <w:tcW w:w="0" w:type="auto"/>
            <w:vMerge/>
            <w:vAlign w:val="center"/>
            <w:hideMark/>
          </w:tcPr>
          <w:p w14:paraId="666D6B5B" w14:textId="77777777" w:rsidR="00A91D23" w:rsidRPr="00A91D23" w:rsidRDefault="00A91D23" w:rsidP="00A91D23">
            <w:pPr>
              <w:pStyle w:val="MDPI42tablebody"/>
              <w:jc w:val="both"/>
              <w:rPr>
                <w:rFonts w:ascii="Times New Roman" w:hAnsi="Times New Roman"/>
                <w:sz w:val="22"/>
                <w:szCs w:val="22"/>
              </w:rPr>
            </w:pPr>
          </w:p>
        </w:tc>
        <w:tc>
          <w:tcPr>
            <w:tcW w:w="0" w:type="auto"/>
            <w:vMerge/>
            <w:vAlign w:val="center"/>
            <w:hideMark/>
          </w:tcPr>
          <w:p w14:paraId="0EBC765A" w14:textId="77777777" w:rsidR="00A91D23" w:rsidRPr="00A91D23" w:rsidRDefault="00A91D23" w:rsidP="00A91D23">
            <w:pPr>
              <w:pStyle w:val="MDPI42tablebody"/>
              <w:jc w:val="both"/>
              <w:rPr>
                <w:rFonts w:ascii="Times New Roman" w:hAnsi="Times New Roman"/>
                <w:sz w:val="22"/>
                <w:szCs w:val="22"/>
              </w:rPr>
            </w:pPr>
          </w:p>
        </w:tc>
        <w:tc>
          <w:tcPr>
            <w:tcW w:w="0" w:type="auto"/>
            <w:tcMar>
              <w:top w:w="100" w:type="dxa"/>
              <w:left w:w="100" w:type="dxa"/>
              <w:bottom w:w="100" w:type="dxa"/>
              <w:right w:w="100" w:type="dxa"/>
            </w:tcMar>
            <w:hideMark/>
          </w:tcPr>
          <w:p w14:paraId="6F150A92"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T1046M</w:t>
            </w:r>
            <w:r w:rsidRPr="00A91D23">
              <w:rPr>
                <w:rFonts w:ascii="Times New Roman" w:hAnsi="Times New Roman"/>
                <w:sz w:val="22"/>
                <w:szCs w:val="22"/>
              </w:rPr>
              <w:br/>
              <w:t>(T301M)</w:t>
            </w:r>
          </w:p>
        </w:tc>
        <w:tc>
          <w:tcPr>
            <w:tcW w:w="0" w:type="auto"/>
            <w:tcMar>
              <w:top w:w="100" w:type="dxa"/>
              <w:left w:w="100" w:type="dxa"/>
              <w:bottom w:w="100" w:type="dxa"/>
              <w:right w:w="100" w:type="dxa"/>
            </w:tcMar>
            <w:hideMark/>
          </w:tcPr>
          <w:p w14:paraId="154385DE"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Amino-acid substitution (hydrophilic to moderate change) with neutral functional effect, which was identified in a sample belonging to sub-lineage B. The residue falls on the Peptidase C16 domain (</w:t>
            </w:r>
            <w:proofErr w:type="spellStart"/>
            <w:r w:rsidRPr="00A91D23">
              <w:rPr>
                <w:rFonts w:ascii="Times New Roman" w:hAnsi="Times New Roman"/>
                <w:sz w:val="22"/>
                <w:szCs w:val="22"/>
              </w:rPr>
              <w:t>UniProt</w:t>
            </w:r>
            <w:proofErr w:type="spellEnd"/>
            <w:r w:rsidRPr="00A91D23">
              <w:rPr>
                <w:rFonts w:ascii="Times New Roman" w:hAnsi="Times New Roman"/>
                <w:sz w:val="22"/>
                <w:szCs w:val="22"/>
              </w:rPr>
              <w:t xml:space="preserve"> P0DTD1).</w:t>
            </w:r>
          </w:p>
        </w:tc>
      </w:tr>
      <w:tr w:rsidR="00A91D23" w:rsidRPr="00A91D23" w14:paraId="15E60499" w14:textId="77777777" w:rsidTr="00A35A95">
        <w:tc>
          <w:tcPr>
            <w:tcW w:w="0" w:type="auto"/>
            <w:tcMar>
              <w:top w:w="100" w:type="dxa"/>
              <w:left w:w="100" w:type="dxa"/>
              <w:bottom w:w="100" w:type="dxa"/>
              <w:right w:w="100" w:type="dxa"/>
            </w:tcMar>
            <w:hideMark/>
          </w:tcPr>
          <w:p w14:paraId="14A39879"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Nsp5</w:t>
            </w:r>
          </w:p>
        </w:tc>
        <w:tc>
          <w:tcPr>
            <w:tcW w:w="0" w:type="auto"/>
            <w:tcMar>
              <w:top w:w="100" w:type="dxa"/>
              <w:left w:w="100" w:type="dxa"/>
              <w:bottom w:w="100" w:type="dxa"/>
              <w:right w:w="100" w:type="dxa"/>
            </w:tcMar>
            <w:hideMark/>
          </w:tcPr>
          <w:p w14:paraId="631D06B0"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 xml:space="preserve">Main protease, </w:t>
            </w:r>
            <w:proofErr w:type="spellStart"/>
            <w:r w:rsidRPr="00A91D23">
              <w:rPr>
                <w:rFonts w:ascii="Times New Roman" w:hAnsi="Times New Roman"/>
                <w:sz w:val="22"/>
                <w:szCs w:val="22"/>
              </w:rPr>
              <w:t>Mpro</w:t>
            </w:r>
            <w:proofErr w:type="spellEnd"/>
          </w:p>
        </w:tc>
        <w:tc>
          <w:tcPr>
            <w:tcW w:w="0" w:type="auto"/>
            <w:tcMar>
              <w:top w:w="100" w:type="dxa"/>
              <w:left w:w="100" w:type="dxa"/>
              <w:bottom w:w="100" w:type="dxa"/>
              <w:right w:w="100" w:type="dxa"/>
            </w:tcMar>
            <w:hideMark/>
          </w:tcPr>
          <w:p w14:paraId="6B9678A2"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M165I</w:t>
            </w:r>
          </w:p>
        </w:tc>
        <w:tc>
          <w:tcPr>
            <w:tcW w:w="0" w:type="auto"/>
            <w:tcMar>
              <w:top w:w="100" w:type="dxa"/>
              <w:left w:w="100" w:type="dxa"/>
              <w:bottom w:w="100" w:type="dxa"/>
              <w:right w:w="100" w:type="dxa"/>
            </w:tcMar>
            <w:hideMark/>
          </w:tcPr>
          <w:p w14:paraId="069ED1DF"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Amino-acid substitution (moderate to hydrophobic change) with neutral functional effect, which was identified in a sample belonging to sub-lineage B. The residue falls on a beta-sheet and is directly part of the ligand-binding site, with the side chains oriented towards the ligand.</w:t>
            </w:r>
          </w:p>
        </w:tc>
      </w:tr>
      <w:tr w:rsidR="00A91D23" w:rsidRPr="00A91D23" w14:paraId="1AFA5856" w14:textId="77777777" w:rsidTr="00A35A95">
        <w:trPr>
          <w:trHeight w:val="420"/>
        </w:trPr>
        <w:tc>
          <w:tcPr>
            <w:tcW w:w="0" w:type="auto"/>
            <w:tcMar>
              <w:top w:w="100" w:type="dxa"/>
              <w:left w:w="100" w:type="dxa"/>
              <w:bottom w:w="100" w:type="dxa"/>
              <w:right w:w="100" w:type="dxa"/>
            </w:tcMar>
            <w:hideMark/>
          </w:tcPr>
          <w:p w14:paraId="344B17FB"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Nsp12</w:t>
            </w:r>
          </w:p>
        </w:tc>
        <w:tc>
          <w:tcPr>
            <w:tcW w:w="0" w:type="auto"/>
            <w:tcMar>
              <w:top w:w="100" w:type="dxa"/>
              <w:left w:w="100" w:type="dxa"/>
              <w:bottom w:w="100" w:type="dxa"/>
              <w:right w:w="100" w:type="dxa"/>
            </w:tcMar>
            <w:hideMark/>
          </w:tcPr>
          <w:p w14:paraId="3FE3CD14" w14:textId="77777777" w:rsidR="00A91D23" w:rsidRPr="00A91D23" w:rsidRDefault="00A91D23" w:rsidP="00A91D23">
            <w:pPr>
              <w:pStyle w:val="MDPI42tablebody"/>
              <w:jc w:val="both"/>
              <w:rPr>
                <w:rFonts w:ascii="Times New Roman" w:hAnsi="Times New Roman"/>
                <w:sz w:val="22"/>
                <w:szCs w:val="22"/>
                <w:lang w:val="pt-BR"/>
              </w:rPr>
            </w:pPr>
            <w:r w:rsidRPr="00A91D23">
              <w:rPr>
                <w:rFonts w:ascii="Times New Roman" w:hAnsi="Times New Roman"/>
                <w:sz w:val="22"/>
                <w:szCs w:val="22"/>
                <w:lang w:val="pt-BR"/>
              </w:rPr>
              <w:t>RNA-</w:t>
            </w:r>
            <w:proofErr w:type="spellStart"/>
            <w:r w:rsidRPr="00A91D23">
              <w:rPr>
                <w:rFonts w:ascii="Times New Roman" w:hAnsi="Times New Roman"/>
                <w:sz w:val="22"/>
                <w:szCs w:val="22"/>
                <w:lang w:val="pt-BR"/>
              </w:rPr>
              <w:t>dependent</w:t>
            </w:r>
            <w:proofErr w:type="spellEnd"/>
            <w:r w:rsidRPr="00A91D23">
              <w:rPr>
                <w:rFonts w:ascii="Times New Roman" w:hAnsi="Times New Roman"/>
                <w:sz w:val="22"/>
                <w:szCs w:val="22"/>
                <w:lang w:val="pt-BR"/>
              </w:rPr>
              <w:t xml:space="preserve"> RNA </w:t>
            </w:r>
            <w:proofErr w:type="spellStart"/>
            <w:r w:rsidRPr="00A91D23">
              <w:rPr>
                <w:rFonts w:ascii="Times New Roman" w:hAnsi="Times New Roman"/>
                <w:sz w:val="22"/>
                <w:szCs w:val="22"/>
                <w:lang w:val="pt-BR"/>
              </w:rPr>
              <w:t>polymerase</w:t>
            </w:r>
            <w:proofErr w:type="spellEnd"/>
            <w:r w:rsidRPr="00A91D23">
              <w:rPr>
                <w:rFonts w:ascii="Times New Roman" w:hAnsi="Times New Roman"/>
                <w:sz w:val="22"/>
                <w:szCs w:val="22"/>
                <w:lang w:val="pt-BR"/>
              </w:rPr>
              <w:t xml:space="preserve">, </w:t>
            </w:r>
            <w:proofErr w:type="spellStart"/>
            <w:r w:rsidRPr="00A91D23">
              <w:rPr>
                <w:rFonts w:ascii="Times New Roman" w:hAnsi="Times New Roman"/>
                <w:sz w:val="22"/>
                <w:szCs w:val="22"/>
                <w:lang w:val="pt-BR"/>
              </w:rPr>
              <w:t>RdRp</w:t>
            </w:r>
            <w:proofErr w:type="spellEnd"/>
          </w:p>
        </w:tc>
        <w:tc>
          <w:tcPr>
            <w:tcW w:w="0" w:type="auto"/>
            <w:tcMar>
              <w:top w:w="100" w:type="dxa"/>
              <w:left w:w="100" w:type="dxa"/>
              <w:bottom w:w="100" w:type="dxa"/>
              <w:right w:w="100" w:type="dxa"/>
            </w:tcMar>
            <w:hideMark/>
          </w:tcPr>
          <w:p w14:paraId="213F4A64"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G683V</w:t>
            </w:r>
          </w:p>
        </w:tc>
        <w:tc>
          <w:tcPr>
            <w:tcW w:w="0" w:type="auto"/>
            <w:tcMar>
              <w:top w:w="100" w:type="dxa"/>
              <w:left w:w="100" w:type="dxa"/>
              <w:bottom w:w="100" w:type="dxa"/>
              <w:right w:w="100" w:type="dxa"/>
            </w:tcMar>
            <w:hideMark/>
          </w:tcPr>
          <w:p w14:paraId="141594CE"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 xml:space="preserve">Amino-acid substitution (no amino-acid properties change) with deleterious functional effect, which was identified in a sample belonging to sub-lineage B.1. The residue falls on the active site of the </w:t>
            </w:r>
            <w:proofErr w:type="spellStart"/>
            <w:r w:rsidRPr="00A91D23">
              <w:rPr>
                <w:rFonts w:ascii="Times New Roman" w:hAnsi="Times New Roman"/>
                <w:sz w:val="22"/>
                <w:szCs w:val="22"/>
              </w:rPr>
              <w:t>RdRp</w:t>
            </w:r>
            <w:proofErr w:type="spellEnd"/>
            <w:r w:rsidRPr="00A91D23">
              <w:rPr>
                <w:rFonts w:ascii="Times New Roman" w:hAnsi="Times New Roman"/>
                <w:sz w:val="22"/>
                <w:szCs w:val="22"/>
              </w:rPr>
              <w:t xml:space="preserve"> domain (motif B), which is formed by the conserved polymerase motifs A-G in the palm domain and configured like other RNA polymerases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YjGkDYZ5","properties":{"formattedCitation":"[40]","plainCitation":"[40]","noteIndex":0},"citationItems":[{"id":2840,"uris":["http://zotero.org/users/1385465/items/6PP2R46M"],"uri":["http://zotero.org/users/1385465/items/6PP2R46M"],"itemData":{"id":2840,"type":"article-journal","abstract":"The COVID-19 RNA-synthesizing machine\nMany in the scientific community have mobilized to understand the virus that is causing the global coronavirus disease 2019 (COVID-19) pandemic. Gao et al. focused on a complex that plays a key role in the replication and transcription cycle of the virus. They used cryo–electron microscopy to determine a 2.9-angstrom-resolution structure of the RNA-dependent RNA polymerase nsp12, which catalyzes the synthesis of viral RNA, in complex with two cofactors, nsp7 and nsp8. nsp12 is a target for nucleotide analog antiviral inhibitors such as remdesivir, and the structure may provide a basis for designing new antiviral therapeutics.\nScience, this issue p. 779\nA novel coronavirus [severe acute respiratory syndrome–coronavirus 2 (SARS-CoV-2)] outbreak has caused a global coronavirus disease 2019 (COVID-19) pandemic, resulting in tens of thousands of infections and thousands of deaths worldwide. The RNA-dependent RNA polymerase [(RdRp), also named nsp12] is the central component of coronaviral replication and transcription machinery, and it appears to be a primary target for the antiviral drug remdesivir. We report the cryo–electron microscopy structure of COVID-19 virus full-length nsp12 in complex with cofactors nsp7 and nsp8 at 2.9-angstrom resolution. In addition to the conserved architecture of the polymerase core of the viral polymerase family, nsp12 possesses a newly identified β-hairpin domain at its N terminus. A comparative analysis model shows how remdesivir binds to this polymerase. The structure provides a basis for the design of new antiviral therapeutics that target viral RdRp.\nThe structure of the COVID-19 virus polymerase essential for viral replication provides a basis for the design of new antiviral drugs.\nThe structure of the COVID-19 virus polymerase essential for viral replication provides a basis for the design of new antiviral drugs.","container-title":"Science","DOI":"10.1126/science.abb7498","ISSN":"0036-8075, 1095-9203","issue":"6492","language":"en","note":"publisher: American Association for the Advancement of Science\nsection: Report\nPMID: 32277040","page":"779-782","source":"science.sciencemag.org","title":"Structure of the RNA-dependent RNA polymerase from COVID-19 virus","volume":"368","author":[{"family":"Gao","given":"Yan"},{"family":"Yan","given":"Liming"},{"family":"Huang","given":"Yucen"},{"family":"Liu","given":"Fengjiang"},{"family":"Zhao","given":"Yao"},{"family":"Cao","given":"Lin"},{"family":"Wang","given":"Tao"},{"family":"Sun","given":"Qianqian"},{"family":"Ming","given":"Zhenhua"},{"family":"Zhang","given":"Lianqi"},{"family":"Ge","given":"Ji"},{"family":"Zheng","given":"Litao"},{"family":"Zhang","given":"Ying"},{"family":"Wang","given":"Haofeng"},{"family":"Zhu","given":"Yan"},{"family":"Zhu","given":"Chen"},{"family":"Hu","given":"Tianyu"},{"family":"Hua","given":"Tian"},{"family":"Zhang","given":"Bing"},{"family":"Yang","given":"Xiuna"},{"family":"Li","given":"Jun"},{"family":"Yang","given":"Haitao"},{"family":"Liu","given":"Zhijie"},{"family":"Xu","given":"Wenqing"},{"family":"Guddat","given":"Luke W."},{"family":"Wang","given":"Quan"},{"family":"Lou","given":"Zhiyong"},{"family":"Rao","given":"Zihe"}],"issued":{"date-parts":[["2020",5,15]]}}}],"schema":"https://github.com/citation-style-language/schema/raw/master/csl-citation.json"}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[40]</w:t>
            </w:r>
            <w:r w:rsidRPr="00A91D23">
              <w:rPr>
                <w:rFonts w:ascii="Times New Roman" w:hAnsi="Times New Roman"/>
                <w:sz w:val="22"/>
                <w:szCs w:val="22"/>
              </w:rPr>
              <w:fldChar w:fldCharType="end"/>
            </w:r>
            <w:r w:rsidRPr="00A91D23">
              <w:rPr>
                <w:rFonts w:ascii="Times New Roman" w:hAnsi="Times New Roman"/>
                <w:sz w:val="22"/>
                <w:szCs w:val="22"/>
              </w:rPr>
              <w:t>.</w:t>
            </w:r>
          </w:p>
        </w:tc>
      </w:tr>
      <w:tr w:rsidR="00A91D23" w:rsidRPr="00A91D23" w14:paraId="4BAC8B69" w14:textId="77777777" w:rsidTr="00A35A95">
        <w:trPr>
          <w:trHeight w:val="420"/>
        </w:trPr>
        <w:tc>
          <w:tcPr>
            <w:tcW w:w="0" w:type="auto"/>
            <w:vMerge w:val="restart"/>
            <w:tcMar>
              <w:top w:w="100" w:type="dxa"/>
              <w:left w:w="100" w:type="dxa"/>
              <w:bottom w:w="100" w:type="dxa"/>
              <w:right w:w="100" w:type="dxa"/>
            </w:tcMar>
            <w:hideMark/>
          </w:tcPr>
          <w:p w14:paraId="111BA93F"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Nsp15</w:t>
            </w:r>
          </w:p>
        </w:tc>
        <w:tc>
          <w:tcPr>
            <w:tcW w:w="0" w:type="auto"/>
            <w:vMerge w:val="restart"/>
            <w:tcMar>
              <w:top w:w="100" w:type="dxa"/>
              <w:left w:w="100" w:type="dxa"/>
              <w:bottom w:w="100" w:type="dxa"/>
              <w:right w:w="100" w:type="dxa"/>
            </w:tcMar>
            <w:hideMark/>
          </w:tcPr>
          <w:p w14:paraId="6D388CBB"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 xml:space="preserve">Endoribonuclease </w:t>
            </w:r>
            <w:proofErr w:type="spellStart"/>
            <w:r w:rsidRPr="00A91D23">
              <w:rPr>
                <w:rFonts w:ascii="Times New Roman" w:hAnsi="Times New Roman"/>
                <w:sz w:val="22"/>
                <w:szCs w:val="22"/>
              </w:rPr>
              <w:t>NendoU</w:t>
            </w:r>
            <w:proofErr w:type="spellEnd"/>
          </w:p>
        </w:tc>
        <w:tc>
          <w:tcPr>
            <w:tcW w:w="0" w:type="auto"/>
            <w:tcMar>
              <w:top w:w="100" w:type="dxa"/>
              <w:left w:w="100" w:type="dxa"/>
              <w:bottom w:w="100" w:type="dxa"/>
              <w:right w:w="100" w:type="dxa"/>
            </w:tcMar>
            <w:hideMark/>
          </w:tcPr>
          <w:p w14:paraId="2D7BE0A4"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S293A</w:t>
            </w:r>
            <w:r w:rsidRPr="00A91D23">
              <w:rPr>
                <w:rFonts w:ascii="Times New Roman" w:hAnsi="Times New Roman"/>
                <w:sz w:val="22"/>
                <w:szCs w:val="22"/>
              </w:rPr>
              <w:br/>
              <w:t>(S294A)</w:t>
            </w:r>
          </w:p>
        </w:tc>
        <w:tc>
          <w:tcPr>
            <w:tcW w:w="0" w:type="auto"/>
            <w:tcMar>
              <w:top w:w="100" w:type="dxa"/>
              <w:left w:w="100" w:type="dxa"/>
              <w:bottom w:w="100" w:type="dxa"/>
              <w:right w:w="100" w:type="dxa"/>
            </w:tcMar>
            <w:hideMark/>
          </w:tcPr>
          <w:p w14:paraId="0465AD0D"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 xml:space="preserve">Amino-acid substitution (hydrophilic to hydrophobic change) with neutral functional effect, which was identified in almost 5 samples belonging to either sub-lineages B.1 p11, B.1.1 or B.2.1. The residue falls on the ligand interaction binding site. Ser293 accounts as the key residue for enzyme discrimination between uracil to cytosine, or adenine to guanine bases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I9pQBfvV","properties":{"formattedCitation":"[55]","plainCitation":"[55]","noteIndex":0},"citationItems":[{"id":2736,"uris":["http://zotero.org/users/1385465/items/V2ZKP3NF"],"uri":["http://zotero.org/users/1385465/items/V2ZKP3NF"],"itemData":{"id":2736,"type":"article-journal","container-title":"Protein Science","DOI":"10.1002/pro.3873","ISSN":"0961-8368, 1469-896X","issue":"7","language":"en","page":"1596-1605","source":"Crossref","title":"Crystal structure of Nsp15 endoribonuclease &lt;span style=\"font-variant:small-caps;\"&gt;NendoU&lt;/span&gt; from &lt;span style=\"font-variant:small-caps;\"&gt;SARS‐CoV&lt;/span&gt; ‐2","title-short":"Crystal structure of Nsp15 endoribonuclease &lt;span style=\"font-variant","volume":"29","author":[{"family":"Kim","given":"Youngchang"},{"family":"Jedrzejczak","given":"Robert"},{"family":"Maltseva","given":"Natalia I."},{"family":"Wilamowski","given":"Mateusz"},{"family":"Endres","given":"Michael"},{"family":"Godzik","given":"Adam"},{"family":"Michalska","given":"Karolina"},{"family":"Joachimiak","given":"Andrzej"}],"issued":{"date-parts":[["2020",7]]}}}],"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[55]</w:t>
            </w:r>
            <w:r w:rsidRPr="00A91D23">
              <w:rPr>
                <w:rFonts w:ascii="Times New Roman" w:hAnsi="Times New Roman"/>
                <w:sz w:val="22"/>
                <w:szCs w:val="22"/>
              </w:rPr>
              <w:fldChar w:fldCharType="end"/>
            </w:r>
            <w:r w:rsidRPr="00A91D23">
              <w:rPr>
                <w:rFonts w:ascii="Times New Roman" w:hAnsi="Times New Roman"/>
                <w:sz w:val="22"/>
                <w:szCs w:val="22"/>
              </w:rPr>
              <w:t>.</w:t>
            </w:r>
          </w:p>
        </w:tc>
      </w:tr>
      <w:tr w:rsidR="00A91D23" w:rsidRPr="00A91D23" w14:paraId="1A3DC4F9" w14:textId="77777777" w:rsidTr="00A35A95">
        <w:trPr>
          <w:trHeight w:val="420"/>
        </w:trPr>
        <w:tc>
          <w:tcPr>
            <w:tcW w:w="0" w:type="auto"/>
            <w:vMerge/>
            <w:vAlign w:val="center"/>
            <w:hideMark/>
          </w:tcPr>
          <w:p w14:paraId="356D241F" w14:textId="77777777" w:rsidR="00A91D23" w:rsidRPr="00A91D23" w:rsidRDefault="00A91D23" w:rsidP="00A91D23">
            <w:pPr>
              <w:pStyle w:val="MDPI42tablebody"/>
              <w:jc w:val="both"/>
              <w:rPr>
                <w:rFonts w:ascii="Times New Roman" w:hAnsi="Times New Roman"/>
                <w:sz w:val="22"/>
                <w:szCs w:val="22"/>
              </w:rPr>
            </w:pPr>
          </w:p>
        </w:tc>
        <w:tc>
          <w:tcPr>
            <w:tcW w:w="0" w:type="auto"/>
            <w:vMerge/>
            <w:vAlign w:val="center"/>
            <w:hideMark/>
          </w:tcPr>
          <w:p w14:paraId="370F7F19" w14:textId="77777777" w:rsidR="00A91D23" w:rsidRPr="00A91D23" w:rsidRDefault="00A91D23" w:rsidP="00A91D23">
            <w:pPr>
              <w:pStyle w:val="MDPI42tablebody"/>
              <w:jc w:val="both"/>
              <w:rPr>
                <w:rFonts w:ascii="Times New Roman" w:hAnsi="Times New Roman"/>
                <w:sz w:val="22"/>
                <w:szCs w:val="22"/>
              </w:rPr>
            </w:pPr>
          </w:p>
        </w:tc>
        <w:tc>
          <w:tcPr>
            <w:tcW w:w="0" w:type="auto"/>
            <w:tcMar>
              <w:top w:w="100" w:type="dxa"/>
              <w:left w:w="100" w:type="dxa"/>
              <w:bottom w:w="100" w:type="dxa"/>
              <w:right w:w="100" w:type="dxa"/>
            </w:tcMar>
            <w:hideMark/>
          </w:tcPr>
          <w:p w14:paraId="688BA0A5"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S293T</w:t>
            </w:r>
            <w:r w:rsidRPr="00A91D23">
              <w:rPr>
                <w:rFonts w:ascii="Times New Roman" w:hAnsi="Times New Roman"/>
                <w:sz w:val="22"/>
                <w:szCs w:val="22"/>
              </w:rPr>
              <w:br/>
              <w:t>(S294T)</w:t>
            </w:r>
          </w:p>
        </w:tc>
        <w:tc>
          <w:tcPr>
            <w:tcW w:w="0" w:type="auto"/>
            <w:tcMar>
              <w:top w:w="100" w:type="dxa"/>
              <w:left w:w="100" w:type="dxa"/>
              <w:bottom w:w="100" w:type="dxa"/>
              <w:right w:w="100" w:type="dxa"/>
            </w:tcMar>
            <w:hideMark/>
          </w:tcPr>
          <w:p w14:paraId="4F9ECD7B"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 xml:space="preserve">Amino-acid substitution (no amino-acid properties change) with neutral functional effect, which was identified in almost 35 samples belonging to either sub-lineages B.36, B.6 or B.14. The residue falls on the ligand interaction binding site. Ser293 accounts as the key residue for enzyme </w:t>
            </w:r>
            <w:r w:rsidRPr="00A91D23">
              <w:rPr>
                <w:rFonts w:ascii="Times New Roman" w:hAnsi="Times New Roman"/>
                <w:sz w:val="22"/>
                <w:szCs w:val="22"/>
              </w:rPr>
              <w:lastRenderedPageBreak/>
              <w:t xml:space="preserve">discrimination between uracil to cytosine, or adenine to guanine bases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0V2WwfGn","properties":{"formattedCitation":"[55]","plainCitation":"[55]","noteIndex":0},"citationItems":[{"id":2736,"uris":["http://zotero.org/users/1385465/items/V2ZKP3NF"],"uri":["http://zotero.org/users/1385465/items/V2ZKP3NF"],"itemData":{"id":2736,"type":"article-journal","container-title":"Protein Science","DOI":"10.1002/pro.3873","ISSN":"0961-8368, 1469-896X","issue":"7","language":"en","page":"1596-1605","source":"Crossref","title":"Crystal structure of Nsp15 endoribonuclease &lt;span style=\"font-variant:small-caps;\"&gt;NendoU&lt;/span&gt; from &lt;span style=\"font-variant:small-caps;\"&gt;SARS‐CoV&lt;/span&gt; ‐2","title-short":"Crystal structure of Nsp15 endoribonuclease &lt;span style=\"font-variant","volume":"29","author":[{"family":"Kim","given":"Youngchang"},{"family":"Jedrzejczak","given":"Robert"},{"family":"Maltseva","given":"Natalia I."},{"family":"Wilamowski","given":"Mateusz"},{"family":"Endres","given":"Michael"},{"family":"Godzik","given":"Adam"},{"family":"Michalska","given":"Karolina"},{"family":"Joachimiak","given":"Andrzej"}],"issued":{"date-parts":[["2020",7]]}}}],"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[55]</w:t>
            </w:r>
            <w:r w:rsidRPr="00A91D23">
              <w:rPr>
                <w:rFonts w:ascii="Times New Roman" w:hAnsi="Times New Roman"/>
                <w:sz w:val="22"/>
                <w:szCs w:val="22"/>
              </w:rPr>
              <w:fldChar w:fldCharType="end"/>
            </w:r>
            <w:r w:rsidRPr="00A91D23">
              <w:rPr>
                <w:rFonts w:ascii="Times New Roman" w:hAnsi="Times New Roman"/>
                <w:sz w:val="22"/>
                <w:szCs w:val="22"/>
              </w:rPr>
              <w:t>.  </w:t>
            </w:r>
          </w:p>
        </w:tc>
      </w:tr>
      <w:tr w:rsidR="00A91D23" w:rsidRPr="00A91D23" w14:paraId="141A8BD5" w14:textId="77777777" w:rsidTr="00A35A95">
        <w:trPr>
          <w:trHeight w:val="420"/>
        </w:trPr>
        <w:tc>
          <w:tcPr>
            <w:tcW w:w="0" w:type="auto"/>
            <w:vMerge/>
            <w:vAlign w:val="center"/>
            <w:hideMark/>
          </w:tcPr>
          <w:p w14:paraId="4EBA3D67" w14:textId="77777777" w:rsidR="00A91D23" w:rsidRPr="00A91D23" w:rsidRDefault="00A91D23" w:rsidP="00A91D23">
            <w:pPr>
              <w:pStyle w:val="MDPI42tablebody"/>
              <w:jc w:val="both"/>
              <w:rPr>
                <w:rFonts w:ascii="Times New Roman" w:hAnsi="Times New Roman"/>
                <w:sz w:val="22"/>
                <w:szCs w:val="22"/>
              </w:rPr>
            </w:pPr>
          </w:p>
        </w:tc>
        <w:tc>
          <w:tcPr>
            <w:tcW w:w="0" w:type="auto"/>
            <w:vMerge/>
            <w:vAlign w:val="center"/>
            <w:hideMark/>
          </w:tcPr>
          <w:p w14:paraId="59D2740E" w14:textId="77777777" w:rsidR="00A91D23" w:rsidRPr="00A91D23" w:rsidRDefault="00A91D23" w:rsidP="00A91D23">
            <w:pPr>
              <w:pStyle w:val="MDPI42tablebody"/>
              <w:jc w:val="both"/>
              <w:rPr>
                <w:rFonts w:ascii="Times New Roman" w:hAnsi="Times New Roman"/>
                <w:sz w:val="22"/>
                <w:szCs w:val="22"/>
              </w:rPr>
            </w:pPr>
          </w:p>
        </w:tc>
        <w:tc>
          <w:tcPr>
            <w:tcW w:w="0" w:type="auto"/>
            <w:tcMar>
              <w:top w:w="100" w:type="dxa"/>
              <w:left w:w="100" w:type="dxa"/>
              <w:bottom w:w="100" w:type="dxa"/>
              <w:right w:w="100" w:type="dxa"/>
            </w:tcMar>
            <w:hideMark/>
          </w:tcPr>
          <w:p w14:paraId="79BB1C8B"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Y342C</w:t>
            </w:r>
            <w:r w:rsidRPr="00A91D23">
              <w:rPr>
                <w:rFonts w:ascii="Times New Roman" w:hAnsi="Times New Roman"/>
                <w:sz w:val="22"/>
                <w:szCs w:val="22"/>
              </w:rPr>
              <w:br/>
              <w:t>(Y343C)</w:t>
            </w:r>
          </w:p>
        </w:tc>
        <w:tc>
          <w:tcPr>
            <w:tcW w:w="0" w:type="auto"/>
            <w:tcMar>
              <w:top w:w="100" w:type="dxa"/>
              <w:left w:w="100" w:type="dxa"/>
              <w:bottom w:w="100" w:type="dxa"/>
              <w:right w:w="100" w:type="dxa"/>
            </w:tcMar>
            <w:hideMark/>
          </w:tcPr>
          <w:p w14:paraId="1A42EA13"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 xml:space="preserve">Amino-acid substitution (hydrophobic to moderate and aromatic to non-aromatic changes) with deleterious functional effect, which was identified in two samples belonging to sub-lineage A.3. The residue falls directly on the ligand interaction binding site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qr9gSxf6","properties":{"formattedCitation":"[55]","plainCitation":"[55]","noteIndex":0},"citationItems":[{"id":2736,"uris":["http://zotero.org/users/1385465/items/V2ZKP3NF"],"uri":["http://zotero.org/users/1385465/items/V2ZKP3NF"],"itemData":{"id":2736,"type":"article-journal","container-title":"Protein Science","DOI":"10.1002/pro.3873","ISSN":"0961-8368, 1469-896X","issue":"7","language":"en","page":"1596-1605","source":"Crossref","title":"Crystal structure of Nsp15 endoribonuclease &lt;span style=\"font-variant:small-caps;\"&gt;NendoU&lt;/span&gt; from &lt;span style=\"font-variant:small-caps;\"&gt;SARS‐CoV&lt;/span&gt; ‐2","title-short":"Crystal structure of Nsp15 endoribonuclease &lt;span style=\"font-variant","volume":"29","author":[{"family":"Kim","given":"Youngchang"},{"family":"Jedrzejczak","given":"Robert"},{"family":"Maltseva","given":"Natalia I."},{"family":"Wilamowski","given":"Mateusz"},{"family":"Endres","given":"Michael"},{"family":"Godzik","given":"Adam"},{"family":"Michalska","given":"Karolina"},{"family":"Joachimiak","given":"Andrzej"}],"issued":{"date-parts":[["2020",7]]}}}],"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[55]</w:t>
            </w:r>
            <w:r w:rsidRPr="00A91D23">
              <w:rPr>
                <w:rFonts w:ascii="Times New Roman" w:hAnsi="Times New Roman"/>
                <w:sz w:val="22"/>
                <w:szCs w:val="22"/>
              </w:rPr>
              <w:fldChar w:fldCharType="end"/>
            </w:r>
            <w:r w:rsidRPr="00A91D23">
              <w:rPr>
                <w:rFonts w:ascii="Times New Roman" w:hAnsi="Times New Roman"/>
                <w:sz w:val="22"/>
                <w:szCs w:val="22"/>
              </w:rPr>
              <w:t>.</w:t>
            </w:r>
          </w:p>
        </w:tc>
      </w:tr>
      <w:tr w:rsidR="00A91D23" w:rsidRPr="00A91D23" w14:paraId="43DA1E10" w14:textId="77777777" w:rsidTr="00A35A95">
        <w:trPr>
          <w:trHeight w:val="420"/>
        </w:trPr>
        <w:tc>
          <w:tcPr>
            <w:tcW w:w="0" w:type="auto"/>
            <w:vMerge/>
            <w:vAlign w:val="center"/>
            <w:hideMark/>
          </w:tcPr>
          <w:p w14:paraId="5973354E" w14:textId="77777777" w:rsidR="00A91D23" w:rsidRPr="00A91D23" w:rsidRDefault="00A91D23" w:rsidP="00A91D23">
            <w:pPr>
              <w:pStyle w:val="MDPI42tablebody"/>
              <w:jc w:val="both"/>
              <w:rPr>
                <w:rFonts w:ascii="Times New Roman" w:hAnsi="Times New Roman"/>
                <w:sz w:val="22"/>
                <w:szCs w:val="22"/>
              </w:rPr>
            </w:pPr>
          </w:p>
        </w:tc>
        <w:tc>
          <w:tcPr>
            <w:tcW w:w="0" w:type="auto"/>
            <w:vMerge/>
            <w:vAlign w:val="center"/>
            <w:hideMark/>
          </w:tcPr>
          <w:p w14:paraId="33D0E3C1" w14:textId="77777777" w:rsidR="00A91D23" w:rsidRPr="00A91D23" w:rsidRDefault="00A91D23" w:rsidP="00A91D23">
            <w:pPr>
              <w:pStyle w:val="MDPI42tablebody"/>
              <w:jc w:val="both"/>
              <w:rPr>
                <w:rFonts w:ascii="Times New Roman" w:hAnsi="Times New Roman"/>
                <w:sz w:val="22"/>
                <w:szCs w:val="22"/>
              </w:rPr>
            </w:pPr>
          </w:p>
        </w:tc>
        <w:tc>
          <w:tcPr>
            <w:tcW w:w="0" w:type="auto"/>
            <w:tcMar>
              <w:top w:w="100" w:type="dxa"/>
              <w:left w:w="100" w:type="dxa"/>
              <w:bottom w:w="100" w:type="dxa"/>
              <w:right w:w="100" w:type="dxa"/>
            </w:tcMar>
            <w:hideMark/>
          </w:tcPr>
          <w:p w14:paraId="6FBE2499"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Y342H</w:t>
            </w:r>
            <w:r w:rsidRPr="00A91D23">
              <w:rPr>
                <w:rFonts w:ascii="Times New Roman" w:hAnsi="Times New Roman"/>
                <w:sz w:val="22"/>
                <w:szCs w:val="22"/>
              </w:rPr>
              <w:br/>
              <w:t>(Y343H)</w:t>
            </w:r>
          </w:p>
        </w:tc>
        <w:tc>
          <w:tcPr>
            <w:tcW w:w="0" w:type="auto"/>
            <w:tcMar>
              <w:top w:w="100" w:type="dxa"/>
              <w:left w:w="100" w:type="dxa"/>
              <w:bottom w:w="100" w:type="dxa"/>
              <w:right w:w="100" w:type="dxa"/>
            </w:tcMar>
            <w:hideMark/>
          </w:tcPr>
          <w:p w14:paraId="6C8EF857"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 xml:space="preserve">Amino-acid substitution (hydrophobic to moderate and neutral to positive changes) with deleterious functional effect, which was identified in two samples belonging to either sub-lineages B.1.5 or B.2.2. The residue falls directly on the ligand interaction binding site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puZxr0Le","properties":{"formattedCitation":"[55]","plainCitation":"[55]","noteIndex":0},"citationItems":[{"id":2736,"uris":["http://zotero.org/users/1385465/items/V2ZKP3NF"],"uri":["http://zotero.org/users/1385465/items/V2ZKP3NF"],"itemData":{"id":2736,"type":"article-journal","container-title":"Protein Science","DOI":"10.1002/pro.3873","ISSN":"0961-8368, 1469-896X","issue":"7","language":"en","page":"1596-1605","source":"Crossref","title":"Crystal structure of Nsp15 endoribonuclease &lt;span style=\"font-variant:small-caps;\"&gt;NendoU&lt;/span&gt; from &lt;span style=\"font-variant:small-caps;\"&gt;SARS‐CoV&lt;/span&gt; ‐2","title-short":"Crystal structure of Nsp15 endoribonuclease &lt;span style=\"font-variant","volume":"29","author":[{"family":"Kim","given":"Youngchang"},{"family":"Jedrzejczak","given":"Robert"},{"family":"Maltseva","given":"Natalia I."},{"family":"Wilamowski","given":"Mateusz"},{"family":"Endres","given":"Michael"},{"family":"Godzik","given":"Adam"},{"family":"Michalska","given":"Karolina"},{"family":"Joachimiak","given":"Andrzej"}],"issued":{"date-parts":[["2020",7]]}}}],"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[55]</w:t>
            </w:r>
            <w:r w:rsidRPr="00A91D23">
              <w:rPr>
                <w:rFonts w:ascii="Times New Roman" w:hAnsi="Times New Roman"/>
                <w:sz w:val="22"/>
                <w:szCs w:val="22"/>
              </w:rPr>
              <w:fldChar w:fldCharType="end"/>
            </w:r>
            <w:r w:rsidRPr="00A91D23">
              <w:rPr>
                <w:rFonts w:ascii="Times New Roman" w:hAnsi="Times New Roman"/>
                <w:sz w:val="22"/>
                <w:szCs w:val="22"/>
              </w:rPr>
              <w:t>.</w:t>
            </w:r>
          </w:p>
        </w:tc>
      </w:tr>
      <w:tr w:rsidR="00A91D23" w:rsidRPr="00A91D23" w14:paraId="4A820063" w14:textId="77777777" w:rsidTr="00A35A95">
        <w:trPr>
          <w:trHeight w:val="420"/>
        </w:trPr>
        <w:tc>
          <w:tcPr>
            <w:tcW w:w="0" w:type="auto"/>
            <w:vMerge w:val="restart"/>
            <w:tcMar>
              <w:top w:w="100" w:type="dxa"/>
              <w:left w:w="100" w:type="dxa"/>
              <w:bottom w:w="100" w:type="dxa"/>
              <w:right w:w="100" w:type="dxa"/>
            </w:tcMar>
            <w:hideMark/>
          </w:tcPr>
          <w:p w14:paraId="21C01A6A"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N</w:t>
            </w:r>
          </w:p>
        </w:tc>
        <w:tc>
          <w:tcPr>
            <w:tcW w:w="0" w:type="auto"/>
            <w:vMerge w:val="restart"/>
            <w:tcMar>
              <w:top w:w="100" w:type="dxa"/>
              <w:left w:w="100" w:type="dxa"/>
              <w:bottom w:w="100" w:type="dxa"/>
              <w:right w:w="100" w:type="dxa"/>
            </w:tcMar>
            <w:hideMark/>
          </w:tcPr>
          <w:p w14:paraId="61C21CBD"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Nucleocapsid phosphoprotein</w:t>
            </w:r>
          </w:p>
        </w:tc>
        <w:tc>
          <w:tcPr>
            <w:tcW w:w="0" w:type="auto"/>
            <w:tcMar>
              <w:top w:w="100" w:type="dxa"/>
              <w:left w:w="100" w:type="dxa"/>
              <w:bottom w:w="100" w:type="dxa"/>
              <w:right w:w="100" w:type="dxa"/>
            </w:tcMar>
            <w:hideMark/>
          </w:tcPr>
          <w:p w14:paraId="6ED55C65"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A50V</w:t>
            </w:r>
          </w:p>
          <w:p w14:paraId="0A467173" w14:textId="77777777" w:rsidR="00A91D23" w:rsidRPr="00A91D23" w:rsidRDefault="00A91D23" w:rsidP="00A91D23">
            <w:pPr>
              <w:pStyle w:val="MDPI42tablebody"/>
              <w:jc w:val="both"/>
              <w:rPr>
                <w:rFonts w:ascii="Times New Roman" w:hAnsi="Times New Roman"/>
                <w:sz w:val="22"/>
                <w:szCs w:val="22"/>
              </w:rPr>
            </w:pPr>
          </w:p>
        </w:tc>
        <w:tc>
          <w:tcPr>
            <w:tcW w:w="0" w:type="auto"/>
            <w:tcMar>
              <w:top w:w="100" w:type="dxa"/>
              <w:left w:w="100" w:type="dxa"/>
              <w:bottom w:w="100" w:type="dxa"/>
              <w:right w:w="100" w:type="dxa"/>
            </w:tcMar>
            <w:hideMark/>
          </w:tcPr>
          <w:p w14:paraId="4B7B0BD6"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 xml:space="preserve">Amino-acid substitution (no amino-acid properties change) with neutral functional effect, which was identified in samples belonging to sub-lineage B. The residue falls on the RNA binding surface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nKs0YHEU","properties":{"formattedCitation":"[90]","plainCitation":"[90]","noteIndex":0},"citationItems":[{"id":2929,"uris":["http://zotero.org/users/1385465/items/6EW7FSR4"],"uri":["http://zotero.org/users/1385465/items/6EW7FSR4"],"itemData":{"id":2929,"type":"article-journal","abstract":"The COVID-2019 pandemic is the most severe acute public health threat of the twenty-first century. To properly address this crisis with both robust testing and novel treatments, we require a deep understanding of the life cycle of the causative agent, the SARS-CoV-2 coronavirus. Here, we examine the architecture and self-assembly properties of the SARS-CoV-2 nucleocapsid (N) protein, which binds viral RNA and assembles into a filament that is packaged into new virions. We determined a 1.4 Å resolution crystal structure of this protein's N2b domain, revealing a compact, intertwined dimer very similar to that of related coronaviruses SARS-CoV and MERS-CoV. Using size exclusion chromatography and multi-angle light scattering, we find that this domain forms a dimer in solution, and that addition of the C-terminal spacer B/N3 domain mediates tetramer formation. Using hydrogen-deuterium exchange mass spectrometry, we find evidence that at least part of this putatively disordered domain is structured, potentially forming an α-helix that either self-associates or docks against the N2b domain to mediate tetramer formation. Finally, we map the locations of over 4,400 individual amino acid substitutions in the N protein from ~17,000 SARS-CoV-2 genome sequences, and find that they are strongly clustered in the protein's N2a linker domain. The nearly 300 substitutions identified within the N1b and N2b domains cluster away from their functional RNA binding and dimerization interfaces. Overall, this work reveals the architecture and self-assembly properties of a key protein in the SARS-CoV-2 life cycle. As the N protein is a common target of patient antibodies, this work will also benefit ongoing efforts to develop robust and specific serological tests, and could also benefit the analysis of patient-derived antibodies.","container-title":"bioRxiv: The Preprint Server for Biology","DOI":"10.1101/2020.05.17.100685","journalAbbreviation":"bioRxiv","language":"eng","note":"PMID: 32511359\nPMCID: PMC7263487","source":"PubMed","title":"Architecture and self-assembly of the SARS-CoV-2 nucleocapsid protein","author":[{"family":"Ye","given":"Qiaozhen"},{"family":"West","given":"Alan M. V."},{"family":"Silletti","given":"Steve"},{"family":"Corbett","given":"Kevin D."}],"issued":{"date-parts":[["2020",5,17]]}}}],"schema":"https://github.com/citation-style-language/schema/raw/master/csl-citation.json"}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[90]</w:t>
            </w:r>
            <w:r w:rsidRPr="00A91D23">
              <w:rPr>
                <w:rFonts w:ascii="Times New Roman" w:hAnsi="Times New Roman"/>
                <w:sz w:val="22"/>
                <w:szCs w:val="22"/>
              </w:rPr>
              <w:fldChar w:fldCharType="end"/>
            </w:r>
            <w:r w:rsidRPr="00A91D23">
              <w:rPr>
                <w:rFonts w:ascii="Times New Roman" w:hAnsi="Times New Roman"/>
                <w:sz w:val="22"/>
                <w:szCs w:val="22"/>
              </w:rPr>
              <w:t xml:space="preserve"> of the RNA-binding domain of N. </w:t>
            </w:r>
          </w:p>
        </w:tc>
      </w:tr>
      <w:tr w:rsidR="00A91D23" w:rsidRPr="00A91D23" w14:paraId="526B9AB8" w14:textId="77777777" w:rsidTr="00A35A95">
        <w:trPr>
          <w:trHeight w:val="420"/>
        </w:trPr>
        <w:tc>
          <w:tcPr>
            <w:tcW w:w="0" w:type="auto"/>
            <w:vMerge/>
            <w:vAlign w:val="center"/>
            <w:hideMark/>
          </w:tcPr>
          <w:p w14:paraId="7855A22A" w14:textId="77777777" w:rsidR="00A91D23" w:rsidRPr="00A91D23" w:rsidRDefault="00A91D23" w:rsidP="00A91D23">
            <w:pPr>
              <w:pStyle w:val="MDPI42tablebody"/>
              <w:jc w:val="both"/>
              <w:rPr>
                <w:rFonts w:ascii="Times New Roman" w:hAnsi="Times New Roman"/>
                <w:sz w:val="22"/>
                <w:szCs w:val="22"/>
              </w:rPr>
            </w:pPr>
          </w:p>
        </w:tc>
        <w:tc>
          <w:tcPr>
            <w:tcW w:w="0" w:type="auto"/>
            <w:vMerge/>
            <w:vAlign w:val="center"/>
            <w:hideMark/>
          </w:tcPr>
          <w:p w14:paraId="083B1B0C" w14:textId="77777777" w:rsidR="00A91D23" w:rsidRPr="00A91D23" w:rsidRDefault="00A91D23" w:rsidP="00A91D23">
            <w:pPr>
              <w:pStyle w:val="MDPI42tablebody"/>
              <w:jc w:val="both"/>
              <w:rPr>
                <w:rFonts w:ascii="Times New Roman" w:hAnsi="Times New Roman"/>
                <w:sz w:val="22"/>
                <w:szCs w:val="22"/>
              </w:rPr>
            </w:pPr>
          </w:p>
        </w:tc>
        <w:tc>
          <w:tcPr>
            <w:tcW w:w="0" w:type="auto"/>
            <w:tcMar>
              <w:top w:w="100" w:type="dxa"/>
              <w:left w:w="100" w:type="dxa"/>
              <w:bottom w:w="100" w:type="dxa"/>
              <w:right w:w="100" w:type="dxa"/>
            </w:tcMar>
            <w:hideMark/>
          </w:tcPr>
          <w:p w14:paraId="5E896384"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R92S</w:t>
            </w:r>
          </w:p>
        </w:tc>
        <w:tc>
          <w:tcPr>
            <w:tcW w:w="0" w:type="auto"/>
            <w:tcMar>
              <w:top w:w="100" w:type="dxa"/>
              <w:left w:w="100" w:type="dxa"/>
              <w:bottom w:w="100" w:type="dxa"/>
              <w:right w:w="100" w:type="dxa"/>
            </w:tcMar>
            <w:hideMark/>
          </w:tcPr>
          <w:p w14:paraId="57BB95B8"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 xml:space="preserve">Amino-acid substitution (positive to neutral change) with neutral functional effect, which was identified in a sample belonging to sub-lineage B.6. The residue falls on the RNA binding surface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2hoDLLdk","properties":{"formattedCitation":"[90]","plainCitation":"[90]","noteIndex":0},"citationItems":[{"id":2929,"uris":["http://zotero.org/users/1385465/items/6EW7FSR4"],"uri":["http://zotero.org/users/1385465/items/6EW7FSR4"],"itemData":{"id":2929,"type":"article-journal","abstract":"The COVID-2019 pandemic is the most severe acute public health threat of the twenty-first century. To properly address this crisis with both robust testing and novel treatments, we require a deep understanding of the life cycle of the causative agent, the SARS-CoV-2 coronavirus. Here, we examine the architecture and self-assembly properties of the SARS-CoV-2 nucleocapsid (N) protein, which binds viral RNA and assembles into a filament that is packaged into new virions. We determined a 1.4 Å resolution crystal structure of this protein's N2b domain, revealing a compact, intertwined dimer very similar to that of related coronaviruses SARS-CoV and MERS-CoV. Using size exclusion chromatography and multi-angle light scattering, we find that this domain forms a dimer in solution, and that addition of the C-terminal spacer B/N3 domain mediates tetramer formation. Using hydrogen-deuterium exchange mass spectrometry, we find evidence that at least part of this putatively disordered domain is structured, potentially forming an α-helix that either self-associates or docks against the N2b domain to mediate tetramer formation. Finally, we map the locations of over 4,400 individual amino acid substitutions in the N protein from ~17,000 SARS-CoV-2 genome sequences, and find that they are strongly clustered in the protein's N2a linker domain. The nearly 300 substitutions identified within the N1b and N2b domains cluster away from their functional RNA binding and dimerization interfaces. Overall, this work reveals the architecture and self-assembly properties of a key protein in the SARS-CoV-2 life cycle. As the N protein is a common target of patient antibodies, this work will also benefit ongoing efforts to develop robust and specific serological tests, and could also benefit the analysis of patient-derived antibodies.","container-title":"bioRxiv: The Preprint Server for Biology","DOI":"10.1101/2020.05.17.100685","journalAbbreviation":"bioRxiv","language":"eng","note":"PMID: 32511359\nPMCID: PMC7263487","source":"PubMed","title":"Architecture and self-assembly of the SARS-CoV-2 nucleocapsid protein","author":[{"family":"Ye","given":"Qiaozhen"},{"family":"West","given":"Alan M. V."},{"family":"Silletti","given":"Steve"},{"family":"Corbett","given":"Kevin D."}],"issued":{"date-parts":[["2020",5,17]]}}}],"schema":"https://github.com/citation-style-language/schema/raw/master/csl-citation.json"}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[90]</w:t>
            </w:r>
            <w:r w:rsidRPr="00A91D23">
              <w:rPr>
                <w:rFonts w:ascii="Times New Roman" w:hAnsi="Times New Roman"/>
                <w:sz w:val="22"/>
                <w:szCs w:val="22"/>
              </w:rPr>
              <w:fldChar w:fldCharType="end"/>
            </w:r>
            <w:r w:rsidRPr="00A91D23">
              <w:rPr>
                <w:rFonts w:ascii="Times New Roman" w:hAnsi="Times New Roman"/>
                <w:sz w:val="22"/>
                <w:szCs w:val="22"/>
              </w:rPr>
              <w:t xml:space="preserve"> of the RNA-binding domain of N. </w:t>
            </w:r>
          </w:p>
        </w:tc>
      </w:tr>
      <w:tr w:rsidR="00A91D23" w:rsidRPr="00A91D23" w14:paraId="5377A936" w14:textId="77777777" w:rsidTr="00A35A95">
        <w:trPr>
          <w:trHeight w:val="420"/>
        </w:trPr>
        <w:tc>
          <w:tcPr>
            <w:tcW w:w="0" w:type="auto"/>
            <w:vMerge/>
            <w:vAlign w:val="center"/>
            <w:hideMark/>
          </w:tcPr>
          <w:p w14:paraId="051B6DBF" w14:textId="77777777" w:rsidR="00A91D23" w:rsidRPr="00A91D23" w:rsidRDefault="00A91D23" w:rsidP="00A91D23">
            <w:pPr>
              <w:pStyle w:val="MDPI42tablebody"/>
              <w:jc w:val="both"/>
              <w:rPr>
                <w:rFonts w:ascii="Times New Roman" w:hAnsi="Times New Roman"/>
                <w:sz w:val="22"/>
                <w:szCs w:val="22"/>
              </w:rPr>
            </w:pPr>
          </w:p>
        </w:tc>
        <w:tc>
          <w:tcPr>
            <w:tcW w:w="0" w:type="auto"/>
            <w:vMerge/>
            <w:vAlign w:val="center"/>
            <w:hideMark/>
          </w:tcPr>
          <w:p w14:paraId="084DF741" w14:textId="77777777" w:rsidR="00A91D23" w:rsidRPr="00A91D23" w:rsidRDefault="00A91D23" w:rsidP="00A91D23">
            <w:pPr>
              <w:pStyle w:val="MDPI42tablebody"/>
              <w:jc w:val="both"/>
              <w:rPr>
                <w:rFonts w:ascii="Times New Roman" w:hAnsi="Times New Roman"/>
                <w:sz w:val="22"/>
                <w:szCs w:val="22"/>
              </w:rPr>
            </w:pPr>
          </w:p>
        </w:tc>
        <w:tc>
          <w:tcPr>
            <w:tcW w:w="0" w:type="auto"/>
            <w:tcMar>
              <w:top w:w="100" w:type="dxa"/>
              <w:left w:w="100" w:type="dxa"/>
              <w:bottom w:w="100" w:type="dxa"/>
              <w:right w:w="100" w:type="dxa"/>
            </w:tcMar>
            <w:hideMark/>
          </w:tcPr>
          <w:p w14:paraId="32133B4D"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R149L</w:t>
            </w:r>
          </w:p>
          <w:p w14:paraId="26D6C5C7" w14:textId="77777777" w:rsidR="00A91D23" w:rsidRPr="00A91D23" w:rsidRDefault="00A91D23" w:rsidP="00A91D23">
            <w:pPr>
              <w:pStyle w:val="MDPI42tablebody"/>
              <w:jc w:val="both"/>
              <w:rPr>
                <w:rFonts w:ascii="Times New Roman" w:hAnsi="Times New Roman"/>
                <w:sz w:val="22"/>
                <w:szCs w:val="22"/>
              </w:rPr>
            </w:pPr>
          </w:p>
        </w:tc>
        <w:tc>
          <w:tcPr>
            <w:tcW w:w="0" w:type="auto"/>
            <w:tcMar>
              <w:top w:w="100" w:type="dxa"/>
              <w:left w:w="100" w:type="dxa"/>
              <w:bottom w:w="100" w:type="dxa"/>
              <w:right w:w="100" w:type="dxa"/>
            </w:tcMar>
            <w:hideMark/>
          </w:tcPr>
          <w:p w14:paraId="186E1DBD"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 xml:space="preserve">Amino-acid substitution (hydrophilic to hydrophobic and positive to neutral changes) with deleterious functional effect, which was identified in a sample belonging to sub-lineage B.3. The residue falls on the RNA binding surface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T26PVnGG","properties":{"formattedCitation":"[90]","plainCitation":"[90]","noteIndex":0},"citationItems":[{"id":2929,"uris":["http://zotero.org/users/1385465/items/6EW7FSR4"],"uri":["http://zotero.org/users/1385465/items/6EW7FSR4"],"itemData":{"id":2929,"type":"article-journal","abstract":"The COVID-2019 pandemic is the most severe acute public health threat of the twenty-first century. To properly address this crisis with both robust testing and novel treatments, we require a deep understanding of the life cycle of the causative agent, the SARS-CoV-2 coronavirus. Here, we examine the architecture and self-assembly properties of the SARS-CoV-2 nucleocapsid (N) protein, which binds viral RNA and assembles into a filament that is packaged into new virions. We determined a 1.4 Å resolution crystal structure of this protein's N2b domain, revealing a compact, intertwined dimer very similar to that of related coronaviruses SARS-CoV and MERS-CoV. Using size exclusion chromatography and multi-angle light scattering, we find that this domain forms a dimer in solution, and that addition of the C-terminal spacer B/N3 domain mediates tetramer formation. Using hydrogen-deuterium exchange mass spectrometry, we find evidence that at least part of this putatively disordered domain is structured, potentially forming an α-helix that either self-associates or docks against the N2b domain to mediate tetramer formation. Finally, we map the locations of over 4,400 individual amino acid substitutions in the N protein from ~17,000 SARS-CoV-2 genome sequences, and find that they are strongly clustered in the protein's N2a linker domain. The nearly 300 substitutions identified within the N1b and N2b domains cluster away from their functional RNA binding and dimerization interfaces. Overall, this work reveals the architecture and self-assembly properties of a key protein in the SARS-CoV-2 life cycle. As the N protein is a common target of patient antibodies, this work will also benefit ongoing efforts to develop robust and specific serological tests, and could also benefit the analysis of patient-derived antibodies.","container-title":"bioRxiv: The Preprint Server for Biology","DOI":"10.1101/2020.05.17.100685","journalAbbreviation":"bioRxiv","language":"eng","note":"PMID: 32511359\nPMCID: PMC7263487","source":"PubMed","title":"Architecture and self-assembly of the SARS-CoV-2 nucleocapsid protein","author":[{"family":"Ye","given":"Qiaozhen"},{"family":"West","given":"Alan M. V."},{"family":"Silletti","given":"Steve"},{"family":"Corbett","given":"Kevin D."}],"issued":{"date-parts":[["2020",5,17]]}}}],"schema":"https://github.com/citation-style-language/schema/raw/master/csl-citation.json"}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[90]</w:t>
            </w:r>
            <w:r w:rsidRPr="00A91D23">
              <w:rPr>
                <w:rFonts w:ascii="Times New Roman" w:hAnsi="Times New Roman"/>
                <w:sz w:val="22"/>
                <w:szCs w:val="22"/>
              </w:rPr>
              <w:fldChar w:fldCharType="end"/>
            </w:r>
            <w:r w:rsidRPr="00A91D23">
              <w:rPr>
                <w:rFonts w:ascii="Times New Roman" w:hAnsi="Times New Roman"/>
                <w:sz w:val="22"/>
                <w:szCs w:val="22"/>
              </w:rPr>
              <w:t xml:space="preserve"> of the RNA-binding domain of N. </w:t>
            </w:r>
          </w:p>
        </w:tc>
      </w:tr>
      <w:tr w:rsidR="00A91D23" w:rsidRPr="00A91D23" w14:paraId="07F61FED" w14:textId="77777777" w:rsidTr="00A35A95">
        <w:trPr>
          <w:trHeight w:val="420"/>
        </w:trPr>
        <w:tc>
          <w:tcPr>
            <w:tcW w:w="0" w:type="auto"/>
            <w:vMerge w:val="restart"/>
            <w:tcMar>
              <w:top w:w="100" w:type="dxa"/>
              <w:left w:w="100" w:type="dxa"/>
              <w:bottom w:w="100" w:type="dxa"/>
              <w:right w:w="100" w:type="dxa"/>
            </w:tcMar>
            <w:hideMark/>
          </w:tcPr>
          <w:p w14:paraId="30A35662"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S</w:t>
            </w:r>
          </w:p>
        </w:tc>
        <w:tc>
          <w:tcPr>
            <w:tcW w:w="0" w:type="auto"/>
            <w:vMerge w:val="restart"/>
            <w:tcMar>
              <w:top w:w="100" w:type="dxa"/>
              <w:left w:w="100" w:type="dxa"/>
              <w:bottom w:w="100" w:type="dxa"/>
              <w:right w:w="100" w:type="dxa"/>
            </w:tcMar>
            <w:hideMark/>
          </w:tcPr>
          <w:p w14:paraId="0535B84F"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Surface glycoprotein, Spike</w:t>
            </w:r>
          </w:p>
        </w:tc>
        <w:tc>
          <w:tcPr>
            <w:tcW w:w="0" w:type="auto"/>
            <w:tcMar>
              <w:top w:w="100" w:type="dxa"/>
              <w:left w:w="100" w:type="dxa"/>
              <w:bottom w:w="100" w:type="dxa"/>
              <w:right w:w="100" w:type="dxa"/>
            </w:tcMar>
            <w:hideMark/>
          </w:tcPr>
          <w:p w14:paraId="78EC65D8"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N439K</w:t>
            </w:r>
          </w:p>
        </w:tc>
        <w:tc>
          <w:tcPr>
            <w:tcW w:w="0" w:type="auto"/>
            <w:tcMar>
              <w:top w:w="100" w:type="dxa"/>
              <w:left w:w="100" w:type="dxa"/>
              <w:bottom w:w="100" w:type="dxa"/>
              <w:right w:w="100" w:type="dxa"/>
            </w:tcMar>
            <w:hideMark/>
          </w:tcPr>
          <w:p w14:paraId="200C03AF"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Amino-acid substitution (neutral to positive change) with neutral functional effect, which was identified in several samples (recovered only from patients of Scotland, UK) belonging to either sub-lineages B.1.p73 or B.1. The residue falls on the receptor-binding motif (RBM) of RBD and on a SARS-</w:t>
            </w:r>
            <w:proofErr w:type="spellStart"/>
            <w:r w:rsidRPr="00A91D23">
              <w:rPr>
                <w:rFonts w:ascii="Times New Roman" w:hAnsi="Times New Roman"/>
                <w:sz w:val="22"/>
                <w:szCs w:val="22"/>
              </w:rPr>
              <w:t>CoV</w:t>
            </w:r>
            <w:proofErr w:type="spellEnd"/>
            <w:r w:rsidRPr="00A91D23">
              <w:rPr>
                <w:rFonts w:ascii="Times New Roman" w:hAnsi="Times New Roman"/>
                <w:sz w:val="22"/>
                <w:szCs w:val="22"/>
              </w:rPr>
              <w:t xml:space="preserve"> neutralizing antibody epitope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Td8F0y69","properties":{"formattedCitation":"[77]","plainCitation":"[77]","noteIndex":0},"citationItems":[{"id":2641,"uris":["http://zotero.org/users/1385465/items/7IBPQY9Z"],"uri":["http://zotero.org/users/1385465/items/7IBPQY9Z"],"itemData":{"id":2641,"type":"article-journal","abstract":"A new and highly pathogenic coronavirus (severe acute respiratory syndrome coronavirus-2, SARS-CoV-2) caused an outbreak in Wuhan city, Hubei province, China, starting from December 2019 that quickly spread nationwide and to other countries around the world1–3. Here, to better understand the initial step of infection at an atomic level, we determined the crystal structure of the receptor-binding domain (RBD) of the spike protein of SARS-CoV-2 bound to the cell receptor ACE2. The overall ACE2-binding mode of the SARS-CoV-2 RBD is nearly identical to that of the SARS-CoV RBD, which also uses ACE2 as the cell receptor4. Structural analysis identified residues in the SARS-CoV-2 RBD that are essential for ACE2 binding, the majority of which either are highly conserved or share similar side chain properties with those in the SARS-CoV RBD. Such similarity in structure and sequence strongly indicate convergent evolution between the SARS-CoV-2 and SARS-CoV RBDs for improved binding to ACE2, although SARS-CoV-2 does not cluster within SARS and SARS-related coronaviruses1–3,5. The epitopes of two SARS-CoV antibodies that target the RBD are also analysed for binding to the SARS-CoV-2 RBD, providing insights into the future identification of cross-reactive antibodies.","container-title":"Nature","DOI":"10.1038/s41586-020-2180-5","ISSN":"1476-4687","issue":"7807","language":"en","note":"number: 7807\npublisher: Nature Publishing Group","page":"215-220","source":"www.nature.com","title":"Structure of the SARS-CoV-2 spike receptor-binding domain bound to the ACE2 receptor","volume":"581","author":[{"family":"Lan","given":"Jun"},{"family":"Ge","given":"Jiwan"},{"family":"Yu","given":"Jinfang"},{"family":"Shan","given":"Sisi"},{"family":"Zhou","given":"Huan"},{"family":"Fan","given":"Shilong"},{"family":"Zhang","given":"Qi"},{"family":"Shi","given":"Xuanling"},{"family":"Wang","given":"Qisheng"},{"family":"Zhang","given":"Linqi"},{"family":"Wang","given":"Xinquan"}],"issued":{"date-parts":[["2020",5]]}}}],"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[77]</w:t>
            </w:r>
            <w:r w:rsidRPr="00A91D23">
              <w:rPr>
                <w:rFonts w:ascii="Times New Roman" w:hAnsi="Times New Roman"/>
                <w:sz w:val="22"/>
                <w:szCs w:val="22"/>
              </w:rPr>
              <w:fldChar w:fldCharType="end"/>
            </w:r>
            <w:r w:rsidRPr="00A91D23">
              <w:rPr>
                <w:rFonts w:ascii="Times New Roman" w:hAnsi="Times New Roman"/>
                <w:sz w:val="22"/>
                <w:szCs w:val="22"/>
              </w:rPr>
              <w:t>. An equivalent position has been studied in SARS-</w:t>
            </w:r>
            <w:proofErr w:type="spellStart"/>
            <w:r w:rsidRPr="00A91D23">
              <w:rPr>
                <w:rFonts w:ascii="Times New Roman" w:hAnsi="Times New Roman"/>
                <w:sz w:val="22"/>
                <w:szCs w:val="22"/>
              </w:rPr>
              <w:t>CoV</w:t>
            </w:r>
            <w:proofErr w:type="spellEnd"/>
            <w:r w:rsidRPr="00A91D23">
              <w:rPr>
                <w:rFonts w:ascii="Times New Roman" w:hAnsi="Times New Roman"/>
                <w:sz w:val="22"/>
                <w:szCs w:val="22"/>
              </w:rPr>
              <w:t xml:space="preserve"> (Arg426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YSFhdnfl","properties":{"formattedCitation":"[92]","plainCitation":"[92]","noteIndex":0},"citationItems":[{"id":2679,"uris":["http://zotero.org/users/1385465/items/YZN2AIHK"],"uri":["http://zotero.org/users/1385465/items/YZN2AIHK"],"itemData":{"id":2679,"type":"article-journal","abstract":"The entry of the SARS coronavirus (SCV) into cells is initiated by binding of its spike envelope glycoprotein (S) to a receptor, ACE2. We and others identified the receptor-binding domain (RBD) by using S fragments of various lengths but all including the amino acid residue 318 and two other potential glycosylation sites. To further characterize the role of glycosylation and identify residues important for its function as an interacting partner of ACE2, we have cloned, expressed and characterized various soluble fragments of S containing RBD, and mutated all potential glycosylation sites and 32 other residues. The shortest of these fragments still able to bind the receptor ACE2 did not include residue 318 (which is a potential glycosylation site), but started at residue 319, and has only two potential glycosylation sites (residues 330 and 357). Mutation of each of these sites to either alanine or glutamine, as well as mutation of residue 318 to alanine in longer fragments resulted in the same decrease of molecular weight (by approximately 3 kDa) suggesting that all glycosylation sites are functional. Simultaneous mutation of all glycosylation sites resulted in lack of expression suggesting that at least one glycosylation site (any of the three) is required for expression. Glycosylation did not affect binding to ACE2. Alanine scanning mutagenesis of the fragment S319–518 resulted in the identification of ten residues (K390, R426, D429, T431, I455, N473, F483, Q492, Y494, R495) that significantly reduced binding to ACE2, and one residue (D393) that appears to increase binding. Mutation of residue T431 reduced binding by about 2-fold, and mutation of the other eight residues – by more than 10-fold. Analysis of these data and the mapping of these mutations on the recently determined crystal structure of a fragment containing the RBD complexed to ACE2 (Li, F, Li, W, Farzan, M, and Harrison, S. C., submitted) suggested the existence of two hot spots on the S RBD surface, R426 and N473, which are likely to contribute significant portion of the binding energy. The finding that most of the mutations (23 out of 34 including glycosylation sites) do not affect the RBD binding function indicates possible mechanisms for evasion of immune responses.","container-title":"Virology Journal","DOI":"10.1186/1743-422X-2-73","ISSN":"1743-422X","issue":"1","journalAbbreviation":"Virology Journal","page":"73","source":"BioMed Central","title":"The SARS Coronavirus S Glycoprotein Receptor Binding Domain: Fine Mapping and Functional Characterization","title-short":"The SARS Coronavirus S Glycoprotein Receptor Binding Domain","volume":"2","author":[{"family":"Chakraborti","given":"Samitabh"},{"family":"Prabakaran","given":"Ponraj"},{"family":"Xiao","given":"Xiaodong"},{"family":"Dimitrov","given":"Dimiter S."}],"issued":{"date-parts":[["2005",8,25]]}}}],"schema":"https://github.com/citation-style-language/schema/raw/master/csl-citation.json"}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[92]</w:t>
            </w:r>
            <w:r w:rsidRPr="00A91D23">
              <w:rPr>
                <w:rFonts w:ascii="Times New Roman" w:hAnsi="Times New Roman"/>
                <w:sz w:val="22"/>
                <w:szCs w:val="22"/>
              </w:rPr>
              <w:fldChar w:fldCharType="end"/>
            </w:r>
            <w:r w:rsidRPr="00A91D23">
              <w:rPr>
                <w:rFonts w:ascii="Times New Roman" w:hAnsi="Times New Roman"/>
                <w:sz w:val="22"/>
                <w:szCs w:val="22"/>
              </w:rPr>
              <w:t>), where at least two amino acid substitutions significantly reduced binding to ACE2.</w:t>
            </w:r>
          </w:p>
        </w:tc>
      </w:tr>
      <w:tr w:rsidR="00A91D23" w:rsidRPr="00A91D23" w14:paraId="270F16EC" w14:textId="77777777" w:rsidTr="00A35A95">
        <w:trPr>
          <w:trHeight w:val="420"/>
        </w:trPr>
        <w:tc>
          <w:tcPr>
            <w:tcW w:w="0" w:type="auto"/>
            <w:vMerge/>
            <w:vAlign w:val="center"/>
            <w:hideMark/>
          </w:tcPr>
          <w:p w14:paraId="0833884A" w14:textId="77777777" w:rsidR="00A91D23" w:rsidRPr="00A91D23" w:rsidRDefault="00A91D23" w:rsidP="00A91D23">
            <w:pPr>
              <w:pStyle w:val="MDPI42tablebody"/>
              <w:jc w:val="both"/>
              <w:rPr>
                <w:rFonts w:ascii="Times New Roman" w:hAnsi="Times New Roman"/>
                <w:sz w:val="22"/>
                <w:szCs w:val="22"/>
              </w:rPr>
            </w:pPr>
          </w:p>
        </w:tc>
        <w:tc>
          <w:tcPr>
            <w:tcW w:w="0" w:type="auto"/>
            <w:vMerge/>
            <w:vAlign w:val="center"/>
            <w:hideMark/>
          </w:tcPr>
          <w:p w14:paraId="3C003368" w14:textId="77777777" w:rsidR="00A91D23" w:rsidRPr="00A91D23" w:rsidRDefault="00A91D23" w:rsidP="00A91D23">
            <w:pPr>
              <w:pStyle w:val="MDPI42tablebody"/>
              <w:jc w:val="both"/>
              <w:rPr>
                <w:rFonts w:ascii="Times New Roman" w:hAnsi="Times New Roman"/>
                <w:sz w:val="22"/>
                <w:szCs w:val="22"/>
              </w:rPr>
            </w:pPr>
          </w:p>
        </w:tc>
        <w:tc>
          <w:tcPr>
            <w:tcW w:w="0" w:type="auto"/>
            <w:tcMar>
              <w:top w:w="100" w:type="dxa"/>
              <w:left w:w="100" w:type="dxa"/>
              <w:bottom w:w="100" w:type="dxa"/>
              <w:right w:w="100" w:type="dxa"/>
            </w:tcMar>
            <w:hideMark/>
          </w:tcPr>
          <w:p w14:paraId="6EC10348"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F456L</w:t>
            </w:r>
          </w:p>
          <w:p w14:paraId="7DA7CD93" w14:textId="77777777" w:rsidR="00A91D23" w:rsidRPr="00A91D23" w:rsidRDefault="00A91D23" w:rsidP="00A91D23">
            <w:pPr>
              <w:pStyle w:val="MDPI42tablebody"/>
              <w:jc w:val="both"/>
              <w:rPr>
                <w:rFonts w:ascii="Times New Roman" w:hAnsi="Times New Roman"/>
                <w:sz w:val="22"/>
                <w:szCs w:val="22"/>
              </w:rPr>
            </w:pPr>
          </w:p>
        </w:tc>
        <w:tc>
          <w:tcPr>
            <w:tcW w:w="0" w:type="auto"/>
            <w:tcMar>
              <w:top w:w="100" w:type="dxa"/>
              <w:left w:w="100" w:type="dxa"/>
              <w:bottom w:w="100" w:type="dxa"/>
              <w:right w:w="100" w:type="dxa"/>
            </w:tcMar>
            <w:hideMark/>
          </w:tcPr>
          <w:p w14:paraId="29867A50"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 xml:space="preserve">Amino acid substitution (aromatic to non-aromatic change) with neutral functional effect, which was identified in samples belonging to either sub-lineages B.1 or B.1.1. The residue falls on the receptor-binding motif (RBM) of RBD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ZlqZXmsI","properties":{"formattedCitation":"[95]","plainCitation":"[95]","noteIndex":0},"citationItems":[{"id":2674,"uris":["http://zotero.org/users/1385465/items/KWMXDVH7"],"uri":["http://zotero.org/users/1385465/items/KWMXDVH7"],"itemData":{"id":2674,"type":"article-journal","abstract":"Structure of the nCoV trimeric spike\nThe World Health Organization has declared the outbreak of a novel coronavirus (2019-nCoV) to be a public health emergency of international concern. The virus binds to host cells through its trimeric spike glycoprotein, making this protein a key target for potential therapies and diagnostics. Wrapp et al. determined a 3.5-angstrom-resolution structure of the 2019-nCoV trimeric spike protein by cryo–electron microscopy. Using biophysical assays, the authors show that this protein binds at least 10 times more tightly than the corresponding spike protein of severe acute respiratory syndrome (SARS)–CoV to their common host cell receptor. They also tested three antibodies known to bind to the SARS-CoV spike protein but did not detect binding to the 2019-nCoV spike protein. These studies provide valuable information to guide the development of medical counter-measures for 2019-nCoV.\nScience, this issue p. 1260\nThe outbreak of a novel coronavirus (2019-nCoV) represents a pandemic threat that has been declared a public health emergency of international concern. The CoV spike (S) glycoprotein is a key target for vaccines, therapeutic antibodies, and diagnostics. To facilitate medical countermeasure development, we determined a 3.5-angstrom-resolution cryo–electron microscopy structure of the 2019-nCoV S trimer in the prefusion conformation. The predominant state of the trimer has one of the three receptor-binding domains (RBDs) rotated up in a receptor-accessible conformation. We also provide biophysical and structural evidence that the 2019-nCoV S protein binds angiotensin-converting enzyme 2 (ACE2) with higher affinity than does severe acute respiratory syndrome (SARS)-CoV S. Additionally, we tested several published SARS-CoV RBD-specific monoclonal antibodies and found that they do not have appreciable binding to 2019-nCoV S, suggesting that antibody cross-reactivity may be limited between the two RBDs. The structure of 2019-nCoV S should enable the rapid development and evaluation of medical countermeasures to address the ongoing public health crisis.\nThe overall structure of the 2019-nCoV spike (S) protein resembles that of SARS-CoV S, but 2019-nCoV S binds more tightly to the host receptor.\nThe overall structure of the 2019-nCoV spike (S) protein resembles that of SARS-CoV S, but 2019-nCoV S binds more tightly to the host receptor.","container-title":"Science","DOI":"10.1126/science.abb2507","ISSN":"0036-8075, 1095-9203","issue":"6483","language":"en","note":"publisher: American Association for the Advancement of Science\nsection: Report\nPMID: 32075877","page":"1260-1263","source":"science.sciencemag.org","title":"Cryo-EM structure of the 2019-nCoV spike in the prefusion conformation","volume":"367","author":[{"family":"Wrapp","given":"Daniel"},{"family":"Wang","given":"Nianshuang"},{"family":"Corbett","given":"Kizzmekia S."},{"family":"Goldsmith","given":"Jory A."},{"family":"Hsieh","given":"Ching-Lin"},{"family":"Abiona","given":"Olubukola"},{"family":"Graham","given":"Barney S."},{"family":"McLellan","given":"Jason S."}],"issued":{"date-parts":[["2020",3,13]]}}}],"schema":"https://github.com/citation-style-language/schema/raw/master/csl-citation.json"}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[95]</w:t>
            </w:r>
            <w:r w:rsidRPr="00A91D23">
              <w:rPr>
                <w:rFonts w:ascii="Times New Roman" w:hAnsi="Times New Roman"/>
                <w:sz w:val="22"/>
                <w:szCs w:val="22"/>
              </w:rPr>
              <w:fldChar w:fldCharType="end"/>
            </w:r>
            <w:r w:rsidRPr="00A91D23">
              <w:rPr>
                <w:rFonts w:ascii="Times New Roman" w:hAnsi="Times New Roman"/>
                <w:sz w:val="22"/>
                <w:szCs w:val="22"/>
              </w:rPr>
              <w:t>. An equivalent position has been studied in SARS-</w:t>
            </w:r>
            <w:proofErr w:type="spellStart"/>
            <w:r w:rsidRPr="00A91D23">
              <w:rPr>
                <w:rFonts w:ascii="Times New Roman" w:hAnsi="Times New Roman"/>
                <w:sz w:val="22"/>
                <w:szCs w:val="22"/>
              </w:rPr>
              <w:t>CoV</w:t>
            </w:r>
            <w:proofErr w:type="spellEnd"/>
            <w:r w:rsidRPr="00A91D23">
              <w:rPr>
                <w:rFonts w:ascii="Times New Roman" w:hAnsi="Times New Roman"/>
                <w:sz w:val="22"/>
                <w:szCs w:val="22"/>
              </w:rPr>
              <w:t xml:space="preserve"> (Leu443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55Hocea8","properties":{"formattedCitation":"[77,91]","plainCitation":"[77,91]","noteIndex":0},"citationItems":[{"id":2641,"uris":["http://zotero.org/users/1385465/items/7IBPQY9Z"],"uri":["http://zotero.org/users/1385465/items/7IBPQY9Z"],"itemData":{"id":2641,"type":"article-journal","abstract":"A new and highly pathogenic coronavirus (severe acute respiratory syndrome coronavirus-2, SARS-CoV-2) caused an outbreak in Wuhan city, Hubei province, China, starting from December 2019 that quickly spread nationwide and to other countries around the world1–3. Here, to better understand the initial step of infection at an atomic level, we determined the crystal structure of the receptor-binding domain (RBD) of the spike protein of SARS-CoV-2 bound to the cell receptor ACE2. The overall ACE2-binding mode of the SARS-CoV-2 RBD is nearly identical to that of the SARS-CoV RBD, which also uses ACE2 as the cell receptor4. Structural analysis identified residues in the SARS-CoV-2 RBD that are essential for ACE2 binding, the majority of which either are highly conserved or share similar side chain properties with those in the SARS-CoV RBD. Such similarity in structure and sequence strongly indicate convergent evolution between the SARS-CoV-2 and SARS-CoV RBDs for improved binding to ACE2, although SARS-CoV-2 does not cluster within SARS and SARS-related coronaviruses1–3,5. The epitopes of two SARS-CoV antibodies that target the RBD are also analysed for binding to the SARS-CoV-2 RBD, providing insights into the future identification of cross-reactive antibodies.","container-title":"Nature","DOI":"10.1038/s41586-020-2180-5","ISSN":"1476-4687","issue":"7807","language":"en","note":"number: 7807\npublisher: Nature Publishing Group","page":"215-220","source":"www.nature.com","title":"Structure of the SARS-CoV-2 spike receptor-binding domain bound to the ACE2 receptor","volume":"581","author":[{"family":"Lan","given":"Jun"},{"family":"Ge","given":"Jiwan"},{"family":"Yu","given":"Jinfang"},{"family":"Shan","given":"Sisi"},{"family":"Zhou","given":"Huan"},{"family":"Fan","given":"Shilong"},{"family":"Zhang","given":"Qi"},{"family":"Shi","given":"Xuanling"},{"family":"Wang","given":"Qisheng"},{"family":"Zhang","given":"Linqi"},{"family":"Wang","given":"Xinquan"}],"issued":{"date-parts":[["2020",5]]}},"label":"page"},{"id":2677,"uris":["http://zotero.org/users/1385465/items/7BPQAVA3"],"uri":["http://zotero.org/users/1385465/items/7BPQAVA3"],"itemData":{"id":2677,"type":"article-journal","abstract":"Abstract.  Background. Severe acute respiratory syndrome (SARS) emerged as a human disease in 2002. Detailed phylogenetic analysis and epidemiologic studies hav","container-title":"The Journal of Infectious Diseases","DOI":"10.1086/651022","ISSN":"0022-1899","issue":"6","journalAbbreviation":"J Infect Dis","language":"en","note":"publisher: Oxford Academic","page":"946-955","source":"academic.oup.com","title":"Escape from Human Monoclonal Antibody Neutralization Affects In Vitro and In Vivo Fitness of Severe Acute Respiratory Syndrome Coronavirus","volume":"201","author":[{"family":"Rockx","given":"Barry"},{"family":"Donaldson","given":"Eric"},{"family":"Frieman","given":"Matthew"},{"family":"Sheahan","given":"Timothy"},{"family":"Corti","given":"Davide"},{"family":"Lanzavecchia","given":"Antonio"},{"family":"Baric","given":"Ralph S."}],"issued":{"date-parts":[["2010",3,15]]}},"label":"page"}],"schema":"https://github.com/citation-style-language/schema/raw/master/csl-citation.json"}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[77,91]</w:t>
            </w:r>
            <w:r w:rsidRPr="00A91D23">
              <w:rPr>
                <w:rFonts w:ascii="Times New Roman" w:hAnsi="Times New Roman"/>
                <w:sz w:val="22"/>
                <w:szCs w:val="22"/>
              </w:rPr>
              <w:fldChar w:fldCharType="end"/>
            </w:r>
            <w:r w:rsidRPr="00A91D23">
              <w:rPr>
                <w:rFonts w:ascii="Times New Roman" w:hAnsi="Times New Roman"/>
                <w:sz w:val="22"/>
                <w:szCs w:val="22"/>
              </w:rPr>
              <w:t>), where an amino acid substitution affected antibody binding and neutralization. </w:t>
            </w:r>
          </w:p>
        </w:tc>
      </w:tr>
      <w:tr w:rsidR="00A91D23" w:rsidRPr="00A91D23" w14:paraId="3E1891BC" w14:textId="77777777" w:rsidTr="00A35A95">
        <w:trPr>
          <w:trHeight w:val="420"/>
        </w:trPr>
        <w:tc>
          <w:tcPr>
            <w:tcW w:w="0" w:type="auto"/>
            <w:vMerge/>
            <w:vAlign w:val="center"/>
            <w:hideMark/>
          </w:tcPr>
          <w:p w14:paraId="08EF16A2" w14:textId="77777777" w:rsidR="00A91D23" w:rsidRPr="00A91D23" w:rsidRDefault="00A91D23" w:rsidP="00A91D23">
            <w:pPr>
              <w:pStyle w:val="MDPI42tablebody"/>
              <w:jc w:val="both"/>
              <w:rPr>
                <w:rFonts w:ascii="Times New Roman" w:hAnsi="Times New Roman"/>
                <w:sz w:val="22"/>
                <w:szCs w:val="22"/>
              </w:rPr>
            </w:pPr>
          </w:p>
        </w:tc>
        <w:tc>
          <w:tcPr>
            <w:tcW w:w="0" w:type="auto"/>
            <w:vMerge/>
            <w:vAlign w:val="center"/>
            <w:hideMark/>
          </w:tcPr>
          <w:p w14:paraId="5743EF7C" w14:textId="77777777" w:rsidR="00A91D23" w:rsidRPr="00A91D23" w:rsidRDefault="00A91D23" w:rsidP="00A91D23">
            <w:pPr>
              <w:pStyle w:val="MDPI42tablebody"/>
              <w:jc w:val="both"/>
              <w:rPr>
                <w:rFonts w:ascii="Times New Roman" w:hAnsi="Times New Roman"/>
                <w:sz w:val="22"/>
                <w:szCs w:val="22"/>
              </w:rPr>
            </w:pPr>
          </w:p>
        </w:tc>
        <w:tc>
          <w:tcPr>
            <w:tcW w:w="0" w:type="auto"/>
            <w:tcMar>
              <w:top w:w="100" w:type="dxa"/>
              <w:left w:w="100" w:type="dxa"/>
              <w:bottom w:w="100" w:type="dxa"/>
              <w:right w:w="100" w:type="dxa"/>
            </w:tcMar>
            <w:hideMark/>
          </w:tcPr>
          <w:p w14:paraId="64474F72"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G476S</w:t>
            </w:r>
          </w:p>
          <w:p w14:paraId="1EBFBBBB" w14:textId="77777777" w:rsidR="00A91D23" w:rsidRPr="00A91D23" w:rsidRDefault="00A91D23" w:rsidP="00A91D23">
            <w:pPr>
              <w:pStyle w:val="MDPI42tablebody"/>
              <w:jc w:val="both"/>
              <w:rPr>
                <w:rFonts w:ascii="Times New Roman" w:hAnsi="Times New Roman"/>
                <w:sz w:val="22"/>
                <w:szCs w:val="22"/>
              </w:rPr>
            </w:pPr>
          </w:p>
        </w:tc>
        <w:tc>
          <w:tcPr>
            <w:tcW w:w="0" w:type="auto"/>
            <w:tcMar>
              <w:top w:w="100" w:type="dxa"/>
              <w:left w:w="100" w:type="dxa"/>
              <w:bottom w:w="100" w:type="dxa"/>
              <w:right w:w="100" w:type="dxa"/>
            </w:tcMar>
            <w:hideMark/>
          </w:tcPr>
          <w:p w14:paraId="3C91BD51"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 xml:space="preserve">Amino acid substitution (hydrophobic to hydrophilic change) with neutral functional effect, which was identified in samples belonging to either sub-lineages A.1, B.1, B.1.1, B.1.1.1 or B.2. The residue falls on the receptor-binding motif (RBM) of RBD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2dwGB3yH","properties":{"formattedCitation":"[77]","plainCitation":"[77]","noteIndex":0},"citationItems":[{"id":2641,"uris":["http://zotero.org/users/1385465/items/7IBPQY9Z"],"uri":["http://zotero.org/users/1385465/items/7IBPQY9Z"],"itemData":{"id":2641,"type":"article-journal","abstract":"A new and highly pathogenic coronavirus (severe acute respiratory syndrome coronavirus-2, SARS-CoV-2) caused an outbreak in Wuhan city, Hubei province, China, starting from December 2019 that quickly spread nationwide and to other countries around the world1–3. Here, to better understand the initial step of infection at an atomic level, we determined the crystal structure of the receptor-binding domain (RBD) of the spike protein of SARS-CoV-2 bound to the cell receptor ACE2. The overall ACE2-binding mode of the SARS-CoV-2 RBD is nearly identical to that of the SARS-CoV RBD, which also uses ACE2 as the cell receptor4. Structural analysis identified residues in the SARS-CoV-2 RBD that are essential for ACE2 binding, the majority of which either are highly conserved or share similar side chain properties with those in the SARS-CoV RBD. Such similarity in structure and sequence strongly indicate convergent evolution between the SARS-CoV-2 and SARS-CoV RBDs for improved binding to ACE2, although SARS-CoV-2 does not cluster within SARS and SARS-related coronaviruses1–3,5. The epitopes of two SARS-CoV antibodies that target the RBD are also analysed for binding to the SARS-CoV-2 RBD, providing insights into the future identification of cross-reactive antibodies.","container-title":"Nature","DOI":"10.1038/s41586-020-2180-5","ISSN":"1476-4687","issue":"7807","language":"en","note":"number: 7807\npublisher: Nature Publishing Group","page":"215-220","source":"www.nature.com","title":"Structure of the SARS-CoV-2 spike receptor-binding domain bound to the ACE2 receptor","volume":"581","author":[{"family":"Lan","given":"Jun"},{"family":"Ge","given":"Jiwan"},{"family":"Yu","given":"Jinfang"},{"family":"Shan","given":"Sisi"},{"family":"Zhou","given":"Huan"},{"family":"Fan","given":"Shilong"},{"family":"Zhang","given":"Qi"},{"family":"Shi","given":"Xuanling"},{"family":"Wang","given":"Qisheng"},{"family":"Zhang","given":"Linqi"},{"family":"Wang","given":"Xinquan"}],"issued":{"date-parts":[["2020",5]]}}}],"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[77]</w:t>
            </w:r>
            <w:r w:rsidRPr="00A91D23">
              <w:rPr>
                <w:rFonts w:ascii="Times New Roman" w:hAnsi="Times New Roman"/>
                <w:sz w:val="22"/>
                <w:szCs w:val="22"/>
              </w:rPr>
              <w:fldChar w:fldCharType="end"/>
            </w:r>
            <w:r w:rsidRPr="00A91D23">
              <w:rPr>
                <w:rFonts w:ascii="Times New Roman" w:hAnsi="Times New Roman"/>
                <w:sz w:val="22"/>
                <w:szCs w:val="22"/>
              </w:rPr>
              <w:t>. An equivalent residue has been studied in SARS-</w:t>
            </w:r>
            <w:proofErr w:type="spellStart"/>
            <w:r w:rsidRPr="00A91D23">
              <w:rPr>
                <w:rFonts w:ascii="Times New Roman" w:hAnsi="Times New Roman"/>
                <w:sz w:val="22"/>
                <w:szCs w:val="22"/>
              </w:rPr>
              <w:t>CoV</w:t>
            </w:r>
            <w:proofErr w:type="spellEnd"/>
            <w:r w:rsidRPr="00A91D23">
              <w:rPr>
                <w:rFonts w:ascii="Times New Roman" w:hAnsi="Times New Roman"/>
                <w:sz w:val="22"/>
                <w:szCs w:val="22"/>
              </w:rPr>
              <w:t xml:space="preserve"> (Asp463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xkkQ6UfF","properties":{"formattedCitation":"[91]","plainCitation":"[91]","noteIndex":0},"citationItems":[{"id":2677,"uris":["http://zotero.org/users/1385465/items/7BPQAVA3"],"uri":["http://zotero.org/users/1385465/items/7BPQAVA3"],"itemData":{"id":2677,"type":"article-journal","abstract":"Abstract.  Background. Severe acute respiratory syndrome (SARS) emerged as a human disease in 2002. Detailed phylogenetic analysis and epidemiologic studies hav","container-title":"The Journal of Infectious Diseases","DOI":"10.1086/651022","ISSN":"0022-1899","issue":"6","journalAbbreviation":"J Infect Dis","language":"en","note":"publisher: Oxford Academic","page":"946-955","source":"academic.oup.com","title":"Escape from Human Monoclonal Antibody Neutralization Affects In Vitro and In Vivo Fitness of Severe Acute Respiratory Syndrome Coronavirus","volume":"201","author":[{"family":"Rockx","given":"Barry"},{"family":"Donaldson","given":"Eric"},{"family":"Frieman","given":"Matthew"},{"family":"Sheahan","given":"Timothy"},{"family":"Corti","given":"Davide"},{"family":"Lanzavecchia","given":"Antonio"},{"family":"Baric","given":"Ralph S."}],"issued":{"date-parts":[["2010",3,15]]}}}],"schema":"https://github.com/citation-style-language/schema/raw/master/csl-citation.json"}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[91]</w:t>
            </w:r>
            <w:r w:rsidRPr="00A91D23">
              <w:rPr>
                <w:rFonts w:ascii="Times New Roman" w:hAnsi="Times New Roman"/>
                <w:sz w:val="22"/>
                <w:szCs w:val="22"/>
              </w:rPr>
              <w:fldChar w:fldCharType="end"/>
            </w:r>
            <w:r w:rsidRPr="00A91D23">
              <w:rPr>
                <w:rFonts w:ascii="Times New Roman" w:hAnsi="Times New Roman"/>
                <w:sz w:val="22"/>
                <w:szCs w:val="22"/>
              </w:rPr>
              <w:t>), where an amino acid substitution affected antibody binding and neutralization.</w:t>
            </w:r>
          </w:p>
        </w:tc>
      </w:tr>
      <w:tr w:rsidR="00A91D23" w:rsidRPr="00A91D23" w14:paraId="1870E61B" w14:textId="77777777" w:rsidTr="00A35A95">
        <w:trPr>
          <w:trHeight w:val="420"/>
        </w:trPr>
        <w:tc>
          <w:tcPr>
            <w:tcW w:w="0" w:type="auto"/>
            <w:vMerge/>
            <w:vAlign w:val="center"/>
            <w:hideMark/>
          </w:tcPr>
          <w:p w14:paraId="4F9BB3CF" w14:textId="77777777" w:rsidR="00A91D23" w:rsidRPr="00A91D23" w:rsidRDefault="00A91D23" w:rsidP="00A91D23">
            <w:pPr>
              <w:pStyle w:val="MDPI42tablebody"/>
              <w:jc w:val="both"/>
              <w:rPr>
                <w:rFonts w:ascii="Times New Roman" w:hAnsi="Times New Roman"/>
                <w:sz w:val="22"/>
                <w:szCs w:val="22"/>
              </w:rPr>
            </w:pPr>
          </w:p>
        </w:tc>
        <w:tc>
          <w:tcPr>
            <w:tcW w:w="0" w:type="auto"/>
            <w:vMerge/>
            <w:vAlign w:val="center"/>
            <w:hideMark/>
          </w:tcPr>
          <w:p w14:paraId="234DF63A" w14:textId="77777777" w:rsidR="00A91D23" w:rsidRPr="00A91D23" w:rsidRDefault="00A91D23" w:rsidP="00A91D23">
            <w:pPr>
              <w:pStyle w:val="MDPI42tablebody"/>
              <w:jc w:val="both"/>
              <w:rPr>
                <w:rFonts w:ascii="Times New Roman" w:hAnsi="Times New Roman"/>
                <w:sz w:val="22"/>
                <w:szCs w:val="22"/>
              </w:rPr>
            </w:pPr>
          </w:p>
        </w:tc>
        <w:tc>
          <w:tcPr>
            <w:tcW w:w="0" w:type="auto"/>
            <w:tcMar>
              <w:top w:w="100" w:type="dxa"/>
              <w:left w:w="100" w:type="dxa"/>
              <w:bottom w:w="100" w:type="dxa"/>
              <w:right w:w="100" w:type="dxa"/>
            </w:tcMar>
            <w:hideMark/>
          </w:tcPr>
          <w:p w14:paraId="00EBC360"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V483A</w:t>
            </w:r>
          </w:p>
          <w:p w14:paraId="6FB2E51B" w14:textId="77777777" w:rsidR="00A91D23" w:rsidRPr="00A91D23" w:rsidRDefault="00A91D23" w:rsidP="00A91D23">
            <w:pPr>
              <w:pStyle w:val="MDPI42tablebody"/>
              <w:jc w:val="both"/>
              <w:rPr>
                <w:rFonts w:ascii="Times New Roman" w:hAnsi="Times New Roman"/>
                <w:sz w:val="22"/>
                <w:szCs w:val="22"/>
              </w:rPr>
            </w:pPr>
          </w:p>
        </w:tc>
        <w:tc>
          <w:tcPr>
            <w:tcW w:w="0" w:type="auto"/>
            <w:tcMar>
              <w:top w:w="100" w:type="dxa"/>
              <w:left w:w="100" w:type="dxa"/>
              <w:bottom w:w="100" w:type="dxa"/>
              <w:right w:w="100" w:type="dxa"/>
            </w:tcMar>
            <w:hideMark/>
          </w:tcPr>
          <w:p w14:paraId="3D0C3598" w14:textId="77777777" w:rsidR="00A91D23" w:rsidRPr="00A91D23" w:rsidRDefault="00A91D23" w:rsidP="00A91D23">
            <w:pPr>
              <w:pStyle w:val="MDPI42tablebody"/>
              <w:jc w:val="both"/>
              <w:rPr>
                <w:rFonts w:ascii="Times New Roman" w:hAnsi="Times New Roman"/>
                <w:sz w:val="22"/>
                <w:szCs w:val="22"/>
              </w:rPr>
            </w:pPr>
            <w:r w:rsidRPr="00A91D23">
              <w:rPr>
                <w:rFonts w:ascii="Times New Roman" w:hAnsi="Times New Roman"/>
                <w:sz w:val="22"/>
                <w:szCs w:val="22"/>
              </w:rPr>
              <w:t xml:space="preserve">Amino-acid substitution (no amino-acid properties change) with neutral functional effect, which was identified in samples belonging to either sub-lineages A.1 or B.1.1. The residue falls on the receptor-binding motif (RBM) of RBD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dY8BS3QE","properties":{"formattedCitation":"[77]","plainCitation":"[77]","noteIndex":0},"citationItems":[{"id":2641,"uris":["http://zotero.org/users/1385465/items/7IBPQY9Z"],"uri":["http://zotero.org/users/1385465/items/7IBPQY9Z"],"itemData":{"id":2641,"type":"article-journal","abstract":"A new and highly pathogenic coronavirus (severe acute respiratory syndrome coronavirus-2, SARS-CoV-2) caused an outbreak in Wuhan city, Hubei province, China, starting from December 2019 that quickly spread nationwide and to other countries around the world1–3. Here, to better understand the initial step of infection at an atomic level, we determined the crystal structure of the receptor-binding domain (RBD) of the spike protein of SARS-CoV-2 bound to the cell receptor ACE2. The overall ACE2-binding mode of the SARS-CoV-2 RBD is nearly identical to that of the SARS-CoV RBD, which also uses ACE2 as the cell receptor4. Structural analysis identified residues in the SARS-CoV-2 RBD that are essential for ACE2 binding, the majority of which either are highly conserved or share similar side chain properties with those in the SARS-CoV RBD. Such similarity in structure and sequence strongly indicate convergent evolution between the SARS-CoV-2 and SARS-CoV RBDs for improved binding to ACE2, although SARS-CoV-2 does not cluster within SARS and SARS-related coronaviruses1–3,5. The epitopes of two SARS-CoV antibodies that target the RBD are also analysed for binding to the SARS-CoV-2 RBD, providing insights into the future identification of cross-reactive antibodies.","container-title":"Nature","DOI":"10.1038/s41586-020-2180-5","ISSN":"1476-4687","issue":"7807","language":"en","note":"number: 7807\npublisher: Nature Publishing Group","page":"215-220","source":"www.nature.com","title":"Structure of the SARS-CoV-2 spike receptor-binding domain bound to the ACE2 receptor","volume":"581","author":[{"family":"Lan","given":"Jun"},{"family":"Ge","given":"Jiwan"},{"family":"Yu","given":"Jinfang"},{"family":"Shan","given":"Sisi"},{"family":"Zhou","given":"Huan"},{"family":"Fan","given":"Shilong"},{"family":"Zhang","given":"Qi"},{"family":"Shi","given":"Xuanling"},{"family":"Wang","given":"Qisheng"},{"family":"Zhang","given":"Linqi"},{"family":"Wang","given":"Xinquan"}],"issued":{"date-parts":[["2020",5]]}}}],"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[77]</w:t>
            </w:r>
            <w:r w:rsidRPr="00A91D23">
              <w:rPr>
                <w:rFonts w:ascii="Times New Roman" w:hAnsi="Times New Roman"/>
                <w:sz w:val="22"/>
                <w:szCs w:val="22"/>
              </w:rPr>
              <w:fldChar w:fldCharType="end"/>
            </w:r>
            <w:r w:rsidRPr="00A91D23">
              <w:rPr>
                <w:rFonts w:ascii="Times New Roman" w:hAnsi="Times New Roman"/>
                <w:sz w:val="22"/>
                <w:szCs w:val="22"/>
              </w:rPr>
              <w:t>. An equivalent position has been studied in MERS-</w:t>
            </w:r>
            <w:proofErr w:type="spellStart"/>
            <w:r w:rsidRPr="00A91D23">
              <w:rPr>
                <w:rFonts w:ascii="Times New Roman" w:hAnsi="Times New Roman"/>
                <w:sz w:val="22"/>
                <w:szCs w:val="22"/>
              </w:rPr>
              <w:t>CoV</w:t>
            </w:r>
            <w:proofErr w:type="spellEnd"/>
            <w:r w:rsidRPr="00A91D23">
              <w:rPr>
                <w:rFonts w:ascii="Times New Roman" w:hAnsi="Times New Roman"/>
                <w:sz w:val="22"/>
                <w:szCs w:val="22"/>
              </w:rPr>
              <w:t xml:space="preserve"> (I529 </w:t>
            </w:r>
            <w:r w:rsidRPr="00A91D23">
              <w:rPr>
                <w:rFonts w:ascii="Times New Roman" w:hAnsi="Times New Roman"/>
                <w:sz w:val="22"/>
                <w:szCs w:val="22"/>
              </w:rPr>
              <w:fldChar w:fldCharType="begin"/>
            </w:r>
            <w:r w:rsidRPr="00A91D23">
              <w:rPr>
                <w:rFonts w:ascii="Times New Roman" w:hAnsi="Times New Roman"/>
                <w:sz w:val="22"/>
                <w:szCs w:val="22"/>
              </w:rPr>
              <w:instrText xml:space="preserve"> ADDIN ZOTERO_ITEM CSL_CITATION {"citationID":"anH9aDGk","properties":{"formattedCitation":"[94]","plainCitation":"[94]","noteIndex":0},"citationItems":[{"id":2681,"uris":["http://zotero.org/users/1385465/items/Q5AI5TSJ"],"uri":["http://zotero.org/users/1385465/items/Q5AI5TSJ"],"itemData":{"id":2681,"type":"article-journal","abstract":"Middle East respiratory syndrome coronavirus (MERS-CoV) poses a threat to public health. The virus is endemic in the Middle East but can be transmitted to other countries by travel activity. The introduction of MERS-CoV into the Republic of Korea by an infected traveler resulted in a hospital outbreak of MERS that entailed 186 cases and 38 deaths. The MERS-CoV spike (S) protein binds to the cellular protein DPP4 via its receptor binding domain (RBD) and mediates viral entry into target cells. During the MERS outbreak in Korea, emergence and spread of viral variants that harbored mutations in the RBD, D510G and I529T, was observed. Counterintuitively, these mutations were found to reduce DPP4 binding and viral entry into target cells. In this study, we investigated whether they also exerted proviral effects. We confirm that changes D510G and I529T reduce S protein binding to DPP4 but show that this reduction only translates into diminished viral entry when expression of DPP4 on target cells is low. Neither mutation modulated S protein binding to sialic acids, S protein activation by host cell proteases, or inhibition of S protein-driven entry by interferon-induced transmembrane proteins. In contrast, changes D510G and I529T increased resistance of S protein-driven entry to neutralization by monoclonal antibodies and sera from MERS patients. These findings indicate that MERS-CoV variants with reduced neutralization sensitivity were transmitted during the Korean outbreak and that the responsible mutations were compatible with robust infection of cells expressing high levels of DPP4.\nIMPORTANCE MERS-CoV has pandemic potential, and it is important to identify mutations in viral proteins that might augment viral spread. In the course of a large hospital outbreak of MERS in the Republic of Korea in 2015, the spread of a viral variant that contained mutations in the viral spike protein was observed. These mutations were found to reduce receptor binding and viral infectivity. However, it remained unclear whether they also exerted proviral effects. We demonstrate that these mutations reduce sensitivity to antibody-mediated neutralization and are compatible with robust infection of target cells expressing large amounts of the viral receptor DPP4.","container-title":"Journal of Virology","DOI":"10.1128/JVI.01381-18","ISSN":"0022-538X, 1098-5514","issue":"2","language":"en","note":"publisher: American Society for Microbiology Journals\nsection: Virus-Cell Interactions\nPMID: 30404801","source":"jvi.asm.org","title":"Mutations in the Spike Protein of Middle East Respiratory Syndrome Coronavirus Transmitted in Korea Increase Resistance to Antibody-Mediated Neutralization","URL":"https://jvi.asm.org/content/93/2/e01381-18","volume":"93","author":[{"family":"Kleine-Weber","given":"Hannah"},{"family":"Elzayat","given":"Mahmoud Tarek"},{"family":"Wang","given":"Lingshu"},{"family":"Graham","given":"Barney S."},{"family":"Müller","given":"Marcel A."},{"family":"Drosten","given":"Christian"},{"family":"Pöhlmann","given":"Stefan"},{"family":"Hoffmann","given":"Markus"}],"accessed":{"date-parts":[["2020",6,18]]},"issued":{"date-parts":[["2019",1,15]]}}}],"schema":"https://github.com/citation-style-language/schema/raw/master/csl-citation.json"} </w:instrText>
            </w:r>
            <w:r w:rsidRPr="00A91D23">
              <w:rPr>
                <w:rFonts w:ascii="Times New Roman" w:hAnsi="Times New Roman"/>
                <w:sz w:val="22"/>
                <w:szCs w:val="22"/>
              </w:rPr>
              <w:fldChar w:fldCharType="separate"/>
            </w:r>
            <w:r w:rsidRPr="00A91D23">
              <w:rPr>
                <w:rFonts w:ascii="Times New Roman" w:hAnsi="Times New Roman"/>
                <w:noProof/>
                <w:sz w:val="22"/>
                <w:szCs w:val="22"/>
              </w:rPr>
              <w:t>[94]</w:t>
            </w:r>
            <w:r w:rsidRPr="00A91D23">
              <w:rPr>
                <w:rFonts w:ascii="Times New Roman" w:hAnsi="Times New Roman"/>
                <w:sz w:val="22"/>
                <w:szCs w:val="22"/>
              </w:rPr>
              <w:fldChar w:fldCharType="end"/>
            </w:r>
            <w:r w:rsidRPr="00A91D23">
              <w:rPr>
                <w:rFonts w:ascii="Times New Roman" w:hAnsi="Times New Roman"/>
                <w:sz w:val="22"/>
                <w:szCs w:val="22"/>
              </w:rPr>
              <w:t xml:space="preserve"> where a single amino acid substitution increased resistance to antibody-mediated neutralization and reduced the host’s receptor binding.</w:t>
            </w:r>
          </w:p>
        </w:tc>
      </w:tr>
    </w:tbl>
    <w:p w14:paraId="6D71963E" w14:textId="4B74525F" w:rsidR="00A91D23" w:rsidRDefault="00A91D23" w:rsidP="00A91D23">
      <w:pPr>
        <w:jc w:val="both"/>
        <w:rPr>
          <w:rFonts w:ascii="Times New Roman" w:hAnsi="Times New Roman" w:cs="Times New Roman"/>
          <w:sz w:val="22"/>
          <w:szCs w:val="22"/>
        </w:rPr>
      </w:pPr>
      <w:r w:rsidRPr="00A91D23">
        <w:rPr>
          <w:rFonts w:ascii="Times New Roman" w:hAnsi="Times New Roman" w:cs="Times New Roman"/>
          <w:sz w:val="22"/>
          <w:szCs w:val="22"/>
        </w:rPr>
        <w:t>1 Replacement between parentheses denotes the equivalent position in the PDB: 6W9C (Nsp3), 6VWW (Nsp15). 2 Functional effects predicted by Provean algorithm (</w:t>
      </w:r>
      <w:hyperlink r:id="rId6" w:history="1">
        <w:r w:rsidRPr="00A91D23">
          <w:rPr>
            <w:rStyle w:val="Hyperlink"/>
            <w:rFonts w:ascii="Times New Roman" w:hAnsi="Times New Roman" w:cs="Times New Roman"/>
            <w:color w:val="000000"/>
            <w:sz w:val="22"/>
            <w:szCs w:val="22"/>
          </w:rPr>
          <w:t>http://provean.jcvi.org</w:t>
        </w:r>
      </w:hyperlink>
      <w:r w:rsidRPr="00A91D23">
        <w:rPr>
          <w:rFonts w:ascii="Times New Roman" w:hAnsi="Times New Roman" w:cs="Times New Roman"/>
          <w:sz w:val="22"/>
          <w:szCs w:val="22"/>
        </w:rPr>
        <w:t>). 3 Sub-lineages from CoVGLUE database (</w:t>
      </w:r>
      <w:hyperlink r:id="rId7" w:history="1">
        <w:r w:rsidRPr="00A91D23">
          <w:rPr>
            <w:rStyle w:val="Hyperlink"/>
            <w:rFonts w:ascii="Times New Roman" w:hAnsi="Times New Roman" w:cs="Times New Roman"/>
            <w:color w:val="000000"/>
            <w:sz w:val="22"/>
            <w:szCs w:val="22"/>
          </w:rPr>
          <w:t>http://cov-glue.cvr.gla.ac.uk</w:t>
        </w:r>
      </w:hyperlink>
      <w:r w:rsidRPr="00A91D23">
        <w:rPr>
          <w:rFonts w:ascii="Times New Roman" w:hAnsi="Times New Roman" w:cs="Times New Roman"/>
          <w:sz w:val="22"/>
          <w:szCs w:val="22"/>
        </w:rPr>
        <w:t>).</w:t>
      </w:r>
    </w:p>
    <w:p w14:paraId="4888D0EA" w14:textId="43C38902" w:rsidR="00014378" w:rsidRDefault="00014378" w:rsidP="00A91D23">
      <w:pPr>
        <w:jc w:val="both"/>
        <w:rPr>
          <w:rFonts w:ascii="Times New Roman" w:hAnsi="Times New Roman" w:cs="Times New Roman"/>
          <w:sz w:val="22"/>
          <w:szCs w:val="22"/>
        </w:rPr>
      </w:pPr>
    </w:p>
    <w:p w14:paraId="05A5488D" w14:textId="77777777" w:rsidR="00A709DB" w:rsidRDefault="00A709DB" w:rsidP="00A91D23">
      <w:pPr>
        <w:jc w:val="both"/>
        <w:rPr>
          <w:rFonts w:ascii="Times New Roman" w:hAnsi="Times New Roman" w:cs="Times New Roman"/>
          <w:sz w:val="22"/>
          <w:szCs w:val="22"/>
          <w:lang w:val="en-US"/>
        </w:rPr>
        <w:sectPr w:rsidR="00A709DB">
          <w:pgSz w:w="12240" w:h="15840"/>
          <w:pgMar w:top="1440" w:right="1440" w:bottom="1440" w:left="1440" w:header="708" w:footer="708" w:gutter="0"/>
          <w:cols w:space="708"/>
          <w:docGrid w:linePitch="360"/>
        </w:sectPr>
      </w:pPr>
    </w:p>
    <w:p w14:paraId="30DD0B3C" w14:textId="735BD3C4" w:rsidR="00A709DB" w:rsidRPr="00051CC3" w:rsidRDefault="00A709DB" w:rsidP="00A709DB">
      <w:pPr>
        <w:pStyle w:val="MDPI41tablecaption"/>
        <w:ind w:left="0"/>
        <w:rPr>
          <w:rFonts w:ascii="Times New Roman" w:hAnsi="Times New Roman"/>
          <w:sz w:val="22"/>
        </w:rPr>
      </w:pPr>
      <w:bookmarkStart w:id="1" w:name="_Ref50398472"/>
      <w:r w:rsidRPr="00E21F8C">
        <w:rPr>
          <w:rFonts w:ascii="Times New Roman" w:hAnsi="Times New Roman"/>
          <w:b/>
          <w:bCs/>
          <w:sz w:val="22"/>
        </w:rPr>
        <w:lastRenderedPageBreak/>
        <w:t>Table</w:t>
      </w:r>
      <w:bookmarkEnd w:id="1"/>
      <w:r>
        <w:rPr>
          <w:rFonts w:ascii="Times New Roman" w:hAnsi="Times New Roman"/>
          <w:b/>
          <w:bCs/>
          <w:sz w:val="22"/>
        </w:rPr>
        <w:t xml:space="preserve"> S2</w:t>
      </w:r>
      <w:r w:rsidRPr="00E21F8C">
        <w:rPr>
          <w:rFonts w:ascii="Times New Roman" w:hAnsi="Times New Roman"/>
          <w:b/>
          <w:bCs/>
          <w:sz w:val="22"/>
        </w:rPr>
        <w:t>.</w:t>
      </w:r>
      <w:r w:rsidRPr="00051CC3">
        <w:rPr>
          <w:rFonts w:ascii="Times New Roman" w:hAnsi="Times New Roman"/>
          <w:sz w:val="22"/>
        </w:rPr>
        <w:t xml:space="preserve"> Top-20 drug candidates for repurposing for each SARS-CoV-2 according to the virtual screening experiments. Drugs currently ongoing clinical trials are highlighted in bold.</w:t>
      </w:r>
    </w:p>
    <w:tbl>
      <w:tblPr>
        <w:tblW w:w="5386" w:type="pct"/>
        <w:tblLayout w:type="fixed"/>
        <w:tblLook w:val="04A0" w:firstRow="1" w:lastRow="0" w:firstColumn="1" w:lastColumn="0" w:noHBand="0" w:noVBand="1"/>
      </w:tblPr>
      <w:tblGrid>
        <w:gridCol w:w="1538"/>
        <w:gridCol w:w="767"/>
        <w:gridCol w:w="1421"/>
        <w:gridCol w:w="773"/>
        <w:gridCol w:w="1533"/>
        <w:gridCol w:w="757"/>
        <w:gridCol w:w="1539"/>
        <w:gridCol w:w="771"/>
        <w:gridCol w:w="1787"/>
        <w:gridCol w:w="771"/>
        <w:gridCol w:w="1536"/>
        <w:gridCol w:w="768"/>
      </w:tblGrid>
      <w:tr w:rsidR="00A709DB" w:rsidRPr="00E21F8C" w14:paraId="7B05D0A6" w14:textId="77777777" w:rsidTr="00A35A95">
        <w:trPr>
          <w:trHeight w:val="320"/>
        </w:trPr>
        <w:tc>
          <w:tcPr>
            <w:tcW w:w="826" w:type="pct"/>
            <w:gridSpan w:val="2"/>
            <w:tcBorders>
              <w:top w:val="single" w:sz="4" w:space="0" w:color="auto"/>
              <w:left w:val="nil"/>
              <w:bottom w:val="single" w:sz="4" w:space="0" w:color="auto"/>
              <w:right w:val="nil"/>
            </w:tcBorders>
            <w:shd w:val="clear" w:color="auto" w:fill="auto"/>
            <w:noWrap/>
            <w:vAlign w:val="bottom"/>
            <w:hideMark/>
          </w:tcPr>
          <w:p w14:paraId="2B04D79D" w14:textId="77777777" w:rsidR="00A709DB" w:rsidRPr="00E21F8C" w:rsidRDefault="00A709DB" w:rsidP="00A35A95">
            <w:pPr>
              <w:pStyle w:val="MDPI42tablebody"/>
              <w:rPr>
                <w:rFonts w:ascii="Times New Roman" w:hAnsi="Times New Roman"/>
                <w:b/>
                <w:bCs/>
                <w:sz w:val="18"/>
                <w:szCs w:val="18"/>
              </w:rPr>
            </w:pPr>
            <w:proofErr w:type="spellStart"/>
            <w:r w:rsidRPr="00E21F8C">
              <w:rPr>
                <w:rFonts w:ascii="Times New Roman" w:hAnsi="Times New Roman"/>
                <w:b/>
                <w:bCs/>
                <w:sz w:val="18"/>
                <w:szCs w:val="18"/>
              </w:rPr>
              <w:t>PLpro</w:t>
            </w:r>
            <w:proofErr w:type="spellEnd"/>
          </w:p>
        </w:tc>
        <w:tc>
          <w:tcPr>
            <w:tcW w:w="786" w:type="pct"/>
            <w:gridSpan w:val="2"/>
            <w:tcBorders>
              <w:top w:val="single" w:sz="4" w:space="0" w:color="auto"/>
              <w:left w:val="nil"/>
              <w:bottom w:val="single" w:sz="4" w:space="0" w:color="auto"/>
              <w:right w:val="nil"/>
            </w:tcBorders>
            <w:shd w:val="clear" w:color="auto" w:fill="auto"/>
            <w:noWrap/>
            <w:vAlign w:val="bottom"/>
            <w:hideMark/>
          </w:tcPr>
          <w:p w14:paraId="73D05B34" w14:textId="77777777" w:rsidR="00A709DB" w:rsidRPr="00E21F8C" w:rsidRDefault="00A709DB" w:rsidP="00A35A95">
            <w:pPr>
              <w:pStyle w:val="MDPI42tablebody"/>
              <w:rPr>
                <w:rFonts w:ascii="Times New Roman" w:hAnsi="Times New Roman"/>
                <w:b/>
                <w:bCs/>
                <w:sz w:val="18"/>
                <w:szCs w:val="18"/>
              </w:rPr>
            </w:pPr>
            <w:proofErr w:type="spellStart"/>
            <w:r w:rsidRPr="00E21F8C">
              <w:rPr>
                <w:rFonts w:ascii="Times New Roman" w:hAnsi="Times New Roman"/>
                <w:b/>
                <w:bCs/>
                <w:sz w:val="18"/>
                <w:szCs w:val="18"/>
              </w:rPr>
              <w:t>Mpro</w:t>
            </w:r>
            <w:proofErr w:type="spellEnd"/>
          </w:p>
        </w:tc>
        <w:tc>
          <w:tcPr>
            <w:tcW w:w="820" w:type="pct"/>
            <w:gridSpan w:val="2"/>
            <w:tcBorders>
              <w:top w:val="single" w:sz="4" w:space="0" w:color="auto"/>
              <w:left w:val="nil"/>
              <w:bottom w:val="single" w:sz="4" w:space="0" w:color="auto"/>
              <w:right w:val="nil"/>
            </w:tcBorders>
            <w:shd w:val="clear" w:color="auto" w:fill="auto"/>
            <w:noWrap/>
            <w:vAlign w:val="bottom"/>
            <w:hideMark/>
          </w:tcPr>
          <w:p w14:paraId="1B47CA6F" w14:textId="77777777" w:rsidR="00A709DB" w:rsidRPr="00E21F8C" w:rsidRDefault="00A709DB" w:rsidP="00A35A95">
            <w:pPr>
              <w:pStyle w:val="MDPI42tablebody"/>
              <w:rPr>
                <w:rFonts w:ascii="Times New Roman" w:hAnsi="Times New Roman"/>
                <w:b/>
                <w:bCs/>
                <w:sz w:val="18"/>
                <w:szCs w:val="18"/>
              </w:rPr>
            </w:pPr>
            <w:proofErr w:type="spellStart"/>
            <w:r w:rsidRPr="00E21F8C">
              <w:rPr>
                <w:rFonts w:ascii="Times New Roman" w:hAnsi="Times New Roman"/>
                <w:b/>
                <w:bCs/>
                <w:sz w:val="18"/>
                <w:szCs w:val="18"/>
              </w:rPr>
              <w:t>RdRp</w:t>
            </w:r>
            <w:proofErr w:type="spellEnd"/>
          </w:p>
        </w:tc>
        <w:tc>
          <w:tcPr>
            <w:tcW w:w="827" w:type="pct"/>
            <w:gridSpan w:val="2"/>
            <w:tcBorders>
              <w:top w:val="single" w:sz="4" w:space="0" w:color="auto"/>
              <w:left w:val="nil"/>
              <w:bottom w:val="single" w:sz="4" w:space="0" w:color="auto"/>
              <w:right w:val="nil"/>
            </w:tcBorders>
            <w:shd w:val="clear" w:color="auto" w:fill="auto"/>
            <w:noWrap/>
            <w:vAlign w:val="bottom"/>
            <w:hideMark/>
          </w:tcPr>
          <w:p w14:paraId="2C2DD792" w14:textId="77777777" w:rsidR="00A709DB" w:rsidRPr="00E21F8C" w:rsidRDefault="00A709DB" w:rsidP="00A35A95">
            <w:pPr>
              <w:pStyle w:val="MDPI42tablebody"/>
              <w:rPr>
                <w:rFonts w:ascii="Times New Roman" w:hAnsi="Times New Roman"/>
                <w:b/>
                <w:bCs/>
                <w:sz w:val="18"/>
                <w:szCs w:val="18"/>
              </w:rPr>
            </w:pPr>
            <w:proofErr w:type="spellStart"/>
            <w:r w:rsidRPr="00E21F8C">
              <w:rPr>
                <w:rFonts w:ascii="Times New Roman" w:hAnsi="Times New Roman"/>
                <w:b/>
                <w:bCs/>
                <w:sz w:val="18"/>
                <w:szCs w:val="18"/>
              </w:rPr>
              <w:t>NendoU</w:t>
            </w:r>
            <w:proofErr w:type="spellEnd"/>
          </w:p>
        </w:tc>
        <w:tc>
          <w:tcPr>
            <w:tcW w:w="916" w:type="pct"/>
            <w:gridSpan w:val="2"/>
            <w:tcBorders>
              <w:top w:val="single" w:sz="4" w:space="0" w:color="auto"/>
              <w:left w:val="nil"/>
              <w:bottom w:val="single" w:sz="4" w:space="0" w:color="auto"/>
              <w:right w:val="nil"/>
            </w:tcBorders>
            <w:shd w:val="clear" w:color="auto" w:fill="auto"/>
            <w:noWrap/>
            <w:vAlign w:val="bottom"/>
            <w:hideMark/>
          </w:tcPr>
          <w:p w14:paraId="75B3CE4F"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Nucleocapsid</w:t>
            </w:r>
          </w:p>
        </w:tc>
        <w:tc>
          <w:tcPr>
            <w:tcW w:w="825" w:type="pct"/>
            <w:gridSpan w:val="2"/>
            <w:tcBorders>
              <w:top w:val="single" w:sz="4" w:space="0" w:color="auto"/>
              <w:left w:val="nil"/>
              <w:bottom w:val="single" w:sz="4" w:space="0" w:color="auto"/>
              <w:right w:val="nil"/>
            </w:tcBorders>
            <w:shd w:val="clear" w:color="auto" w:fill="auto"/>
            <w:noWrap/>
            <w:vAlign w:val="bottom"/>
            <w:hideMark/>
          </w:tcPr>
          <w:p w14:paraId="0DFE977A"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Spike</w:t>
            </w:r>
          </w:p>
        </w:tc>
      </w:tr>
      <w:tr w:rsidR="00A709DB" w:rsidRPr="00E21F8C" w14:paraId="0B93B306" w14:textId="77777777" w:rsidTr="00A35A95">
        <w:trPr>
          <w:trHeight w:val="320"/>
        </w:trPr>
        <w:tc>
          <w:tcPr>
            <w:tcW w:w="551" w:type="pct"/>
            <w:tcBorders>
              <w:top w:val="single" w:sz="4" w:space="0" w:color="auto"/>
              <w:left w:val="nil"/>
              <w:bottom w:val="single" w:sz="4" w:space="0" w:color="auto"/>
              <w:right w:val="nil"/>
            </w:tcBorders>
            <w:shd w:val="clear" w:color="auto" w:fill="auto"/>
            <w:noWrap/>
            <w:vAlign w:val="bottom"/>
            <w:hideMark/>
          </w:tcPr>
          <w:p w14:paraId="29226C63"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Name</w:t>
            </w:r>
          </w:p>
        </w:tc>
        <w:tc>
          <w:tcPr>
            <w:tcW w:w="275" w:type="pct"/>
            <w:tcBorders>
              <w:top w:val="single" w:sz="4" w:space="0" w:color="auto"/>
              <w:left w:val="nil"/>
              <w:bottom w:val="single" w:sz="4" w:space="0" w:color="auto"/>
              <w:right w:val="nil"/>
            </w:tcBorders>
            <w:shd w:val="clear" w:color="auto" w:fill="auto"/>
            <w:noWrap/>
            <w:vAlign w:val="bottom"/>
            <w:hideMark/>
          </w:tcPr>
          <w:p w14:paraId="28A4E403"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Score</w:t>
            </w:r>
          </w:p>
        </w:tc>
        <w:tc>
          <w:tcPr>
            <w:tcW w:w="509" w:type="pct"/>
            <w:tcBorders>
              <w:top w:val="single" w:sz="4" w:space="0" w:color="auto"/>
              <w:left w:val="nil"/>
              <w:bottom w:val="single" w:sz="4" w:space="0" w:color="auto"/>
              <w:right w:val="nil"/>
            </w:tcBorders>
            <w:shd w:val="clear" w:color="auto" w:fill="auto"/>
            <w:noWrap/>
            <w:vAlign w:val="bottom"/>
            <w:hideMark/>
          </w:tcPr>
          <w:p w14:paraId="58CC1CF5"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Name</w:t>
            </w:r>
          </w:p>
        </w:tc>
        <w:tc>
          <w:tcPr>
            <w:tcW w:w="277" w:type="pct"/>
            <w:tcBorders>
              <w:top w:val="single" w:sz="4" w:space="0" w:color="auto"/>
              <w:left w:val="nil"/>
              <w:bottom w:val="single" w:sz="4" w:space="0" w:color="auto"/>
              <w:right w:val="nil"/>
            </w:tcBorders>
            <w:shd w:val="clear" w:color="auto" w:fill="auto"/>
            <w:noWrap/>
            <w:vAlign w:val="bottom"/>
            <w:hideMark/>
          </w:tcPr>
          <w:p w14:paraId="297FC2FD"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Score</w:t>
            </w:r>
          </w:p>
        </w:tc>
        <w:tc>
          <w:tcPr>
            <w:tcW w:w="549" w:type="pct"/>
            <w:tcBorders>
              <w:top w:val="single" w:sz="4" w:space="0" w:color="auto"/>
              <w:left w:val="nil"/>
              <w:bottom w:val="single" w:sz="4" w:space="0" w:color="auto"/>
              <w:right w:val="nil"/>
            </w:tcBorders>
            <w:shd w:val="clear" w:color="auto" w:fill="auto"/>
            <w:noWrap/>
            <w:vAlign w:val="bottom"/>
            <w:hideMark/>
          </w:tcPr>
          <w:p w14:paraId="2568318A"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Name</w:t>
            </w:r>
          </w:p>
        </w:tc>
        <w:tc>
          <w:tcPr>
            <w:tcW w:w="271" w:type="pct"/>
            <w:tcBorders>
              <w:top w:val="single" w:sz="4" w:space="0" w:color="auto"/>
              <w:left w:val="nil"/>
              <w:bottom w:val="single" w:sz="4" w:space="0" w:color="auto"/>
              <w:right w:val="nil"/>
            </w:tcBorders>
            <w:shd w:val="clear" w:color="auto" w:fill="auto"/>
            <w:noWrap/>
            <w:vAlign w:val="bottom"/>
            <w:hideMark/>
          </w:tcPr>
          <w:p w14:paraId="29413581"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Score</w:t>
            </w:r>
          </w:p>
        </w:tc>
        <w:tc>
          <w:tcPr>
            <w:tcW w:w="551" w:type="pct"/>
            <w:tcBorders>
              <w:top w:val="single" w:sz="4" w:space="0" w:color="auto"/>
              <w:left w:val="nil"/>
              <w:bottom w:val="single" w:sz="4" w:space="0" w:color="auto"/>
              <w:right w:val="nil"/>
            </w:tcBorders>
            <w:shd w:val="clear" w:color="auto" w:fill="auto"/>
            <w:noWrap/>
            <w:vAlign w:val="bottom"/>
            <w:hideMark/>
          </w:tcPr>
          <w:p w14:paraId="45AE5C72"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Name</w:t>
            </w:r>
          </w:p>
        </w:tc>
        <w:tc>
          <w:tcPr>
            <w:tcW w:w="276" w:type="pct"/>
            <w:tcBorders>
              <w:top w:val="single" w:sz="4" w:space="0" w:color="auto"/>
              <w:left w:val="nil"/>
              <w:bottom w:val="single" w:sz="4" w:space="0" w:color="auto"/>
              <w:right w:val="nil"/>
            </w:tcBorders>
            <w:shd w:val="clear" w:color="auto" w:fill="auto"/>
            <w:noWrap/>
            <w:vAlign w:val="bottom"/>
            <w:hideMark/>
          </w:tcPr>
          <w:p w14:paraId="4D1D5F4C"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Score</w:t>
            </w:r>
          </w:p>
        </w:tc>
        <w:tc>
          <w:tcPr>
            <w:tcW w:w="640" w:type="pct"/>
            <w:tcBorders>
              <w:top w:val="single" w:sz="4" w:space="0" w:color="auto"/>
              <w:left w:val="nil"/>
              <w:bottom w:val="single" w:sz="4" w:space="0" w:color="auto"/>
              <w:right w:val="nil"/>
            </w:tcBorders>
            <w:shd w:val="clear" w:color="auto" w:fill="auto"/>
            <w:noWrap/>
            <w:vAlign w:val="bottom"/>
            <w:hideMark/>
          </w:tcPr>
          <w:p w14:paraId="7ADDD74C"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Name</w:t>
            </w:r>
          </w:p>
        </w:tc>
        <w:tc>
          <w:tcPr>
            <w:tcW w:w="276" w:type="pct"/>
            <w:tcBorders>
              <w:top w:val="single" w:sz="4" w:space="0" w:color="auto"/>
              <w:left w:val="nil"/>
              <w:bottom w:val="single" w:sz="4" w:space="0" w:color="auto"/>
              <w:right w:val="nil"/>
            </w:tcBorders>
            <w:shd w:val="clear" w:color="auto" w:fill="auto"/>
            <w:noWrap/>
            <w:vAlign w:val="bottom"/>
            <w:hideMark/>
          </w:tcPr>
          <w:p w14:paraId="2B998602"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Score</w:t>
            </w:r>
          </w:p>
        </w:tc>
        <w:tc>
          <w:tcPr>
            <w:tcW w:w="550" w:type="pct"/>
            <w:tcBorders>
              <w:top w:val="single" w:sz="4" w:space="0" w:color="auto"/>
              <w:left w:val="nil"/>
              <w:bottom w:val="single" w:sz="4" w:space="0" w:color="auto"/>
              <w:right w:val="nil"/>
            </w:tcBorders>
            <w:shd w:val="clear" w:color="auto" w:fill="auto"/>
            <w:noWrap/>
            <w:vAlign w:val="bottom"/>
            <w:hideMark/>
          </w:tcPr>
          <w:p w14:paraId="3BB6B6E5"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Name</w:t>
            </w:r>
          </w:p>
        </w:tc>
        <w:tc>
          <w:tcPr>
            <w:tcW w:w="275" w:type="pct"/>
            <w:tcBorders>
              <w:top w:val="single" w:sz="4" w:space="0" w:color="auto"/>
              <w:left w:val="nil"/>
              <w:bottom w:val="single" w:sz="4" w:space="0" w:color="auto"/>
              <w:right w:val="nil"/>
            </w:tcBorders>
            <w:shd w:val="clear" w:color="auto" w:fill="auto"/>
            <w:noWrap/>
            <w:vAlign w:val="bottom"/>
            <w:hideMark/>
          </w:tcPr>
          <w:p w14:paraId="6B93438F"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Score</w:t>
            </w:r>
          </w:p>
        </w:tc>
      </w:tr>
      <w:tr w:rsidR="00A709DB" w:rsidRPr="00E21F8C" w14:paraId="619CA26E" w14:textId="77777777" w:rsidTr="00A35A95">
        <w:trPr>
          <w:trHeight w:val="632"/>
        </w:trPr>
        <w:tc>
          <w:tcPr>
            <w:tcW w:w="551" w:type="pct"/>
            <w:tcBorders>
              <w:top w:val="single" w:sz="4" w:space="0" w:color="auto"/>
              <w:left w:val="nil"/>
              <w:bottom w:val="nil"/>
              <w:right w:val="nil"/>
            </w:tcBorders>
            <w:shd w:val="clear" w:color="auto" w:fill="auto"/>
            <w:noWrap/>
            <w:vAlign w:val="bottom"/>
            <w:hideMark/>
          </w:tcPr>
          <w:p w14:paraId="3C479A36"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PLICAMYCIN</w:t>
            </w:r>
          </w:p>
        </w:tc>
        <w:tc>
          <w:tcPr>
            <w:tcW w:w="275" w:type="pct"/>
            <w:tcBorders>
              <w:top w:val="single" w:sz="4" w:space="0" w:color="auto"/>
              <w:left w:val="nil"/>
              <w:bottom w:val="nil"/>
              <w:right w:val="nil"/>
            </w:tcBorders>
            <w:shd w:val="clear" w:color="auto" w:fill="auto"/>
            <w:noWrap/>
            <w:vAlign w:val="bottom"/>
            <w:hideMark/>
          </w:tcPr>
          <w:p w14:paraId="21F3E9D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-9.95</w:t>
            </w:r>
          </w:p>
        </w:tc>
        <w:tc>
          <w:tcPr>
            <w:tcW w:w="509" w:type="pct"/>
            <w:tcBorders>
              <w:top w:val="single" w:sz="4" w:space="0" w:color="auto"/>
              <w:left w:val="nil"/>
              <w:bottom w:val="nil"/>
              <w:right w:val="nil"/>
            </w:tcBorders>
            <w:shd w:val="clear" w:color="auto" w:fill="auto"/>
            <w:noWrap/>
            <w:vAlign w:val="bottom"/>
            <w:hideMark/>
          </w:tcPr>
          <w:p w14:paraId="255E262F"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HISTRELIN</w:t>
            </w:r>
          </w:p>
        </w:tc>
        <w:tc>
          <w:tcPr>
            <w:tcW w:w="277" w:type="pct"/>
            <w:tcBorders>
              <w:top w:val="single" w:sz="4" w:space="0" w:color="auto"/>
              <w:left w:val="nil"/>
              <w:bottom w:val="nil"/>
              <w:right w:val="nil"/>
            </w:tcBorders>
            <w:shd w:val="clear" w:color="auto" w:fill="auto"/>
            <w:noWrap/>
            <w:vAlign w:val="bottom"/>
            <w:hideMark/>
          </w:tcPr>
          <w:p w14:paraId="27EBAD72"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-10.71</w:t>
            </w:r>
          </w:p>
        </w:tc>
        <w:tc>
          <w:tcPr>
            <w:tcW w:w="549" w:type="pct"/>
            <w:tcBorders>
              <w:top w:val="single" w:sz="4" w:space="0" w:color="auto"/>
              <w:left w:val="nil"/>
              <w:bottom w:val="nil"/>
              <w:right w:val="nil"/>
            </w:tcBorders>
            <w:shd w:val="clear" w:color="auto" w:fill="auto"/>
            <w:noWrap/>
            <w:vAlign w:val="bottom"/>
            <w:hideMark/>
          </w:tcPr>
          <w:p w14:paraId="1769B620"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DACTINOMYCIN</w:t>
            </w:r>
          </w:p>
        </w:tc>
        <w:tc>
          <w:tcPr>
            <w:tcW w:w="271" w:type="pct"/>
            <w:tcBorders>
              <w:top w:val="single" w:sz="4" w:space="0" w:color="auto"/>
              <w:left w:val="nil"/>
              <w:bottom w:val="nil"/>
              <w:right w:val="nil"/>
            </w:tcBorders>
            <w:shd w:val="clear" w:color="auto" w:fill="auto"/>
            <w:noWrap/>
            <w:vAlign w:val="bottom"/>
            <w:hideMark/>
          </w:tcPr>
          <w:p w14:paraId="4D7C969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-9.88</w:t>
            </w:r>
          </w:p>
        </w:tc>
        <w:tc>
          <w:tcPr>
            <w:tcW w:w="551" w:type="pct"/>
            <w:tcBorders>
              <w:top w:val="single" w:sz="4" w:space="0" w:color="auto"/>
              <w:left w:val="nil"/>
              <w:bottom w:val="nil"/>
              <w:right w:val="nil"/>
            </w:tcBorders>
            <w:shd w:val="clear" w:color="auto" w:fill="auto"/>
            <w:noWrap/>
            <w:vAlign w:val="bottom"/>
            <w:hideMark/>
          </w:tcPr>
          <w:p w14:paraId="3FA9AB5E"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LOPINAVIR</w:t>
            </w:r>
          </w:p>
        </w:tc>
        <w:tc>
          <w:tcPr>
            <w:tcW w:w="276" w:type="pct"/>
            <w:tcBorders>
              <w:top w:val="single" w:sz="4" w:space="0" w:color="auto"/>
              <w:left w:val="nil"/>
              <w:bottom w:val="nil"/>
              <w:right w:val="nil"/>
            </w:tcBorders>
            <w:shd w:val="clear" w:color="auto" w:fill="auto"/>
            <w:noWrap/>
            <w:vAlign w:val="bottom"/>
            <w:hideMark/>
          </w:tcPr>
          <w:p w14:paraId="6B201BC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-10.12</w:t>
            </w:r>
          </w:p>
        </w:tc>
        <w:tc>
          <w:tcPr>
            <w:tcW w:w="640" w:type="pct"/>
            <w:tcBorders>
              <w:top w:val="single" w:sz="4" w:space="0" w:color="auto"/>
              <w:left w:val="nil"/>
              <w:bottom w:val="nil"/>
              <w:right w:val="nil"/>
            </w:tcBorders>
            <w:shd w:val="clear" w:color="auto" w:fill="auto"/>
            <w:noWrap/>
            <w:vAlign w:val="bottom"/>
            <w:hideMark/>
          </w:tcPr>
          <w:p w14:paraId="49D75B78"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ELBASVIR</w:t>
            </w:r>
          </w:p>
        </w:tc>
        <w:tc>
          <w:tcPr>
            <w:tcW w:w="276" w:type="pct"/>
            <w:tcBorders>
              <w:top w:val="single" w:sz="4" w:space="0" w:color="auto"/>
              <w:left w:val="nil"/>
              <w:bottom w:val="nil"/>
              <w:right w:val="nil"/>
            </w:tcBorders>
            <w:shd w:val="clear" w:color="auto" w:fill="auto"/>
            <w:noWrap/>
            <w:vAlign w:val="bottom"/>
            <w:hideMark/>
          </w:tcPr>
          <w:p w14:paraId="65DCD5E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-10.21</w:t>
            </w:r>
          </w:p>
        </w:tc>
        <w:tc>
          <w:tcPr>
            <w:tcW w:w="550" w:type="pct"/>
            <w:tcBorders>
              <w:top w:val="single" w:sz="4" w:space="0" w:color="auto"/>
              <w:left w:val="nil"/>
              <w:bottom w:val="nil"/>
              <w:right w:val="nil"/>
            </w:tcBorders>
            <w:shd w:val="clear" w:color="auto" w:fill="auto"/>
            <w:noWrap/>
            <w:vAlign w:val="bottom"/>
            <w:hideMark/>
          </w:tcPr>
          <w:p w14:paraId="6406A11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OMBITASVIR</w:t>
            </w:r>
          </w:p>
        </w:tc>
        <w:tc>
          <w:tcPr>
            <w:tcW w:w="275" w:type="pct"/>
            <w:tcBorders>
              <w:top w:val="single" w:sz="4" w:space="0" w:color="auto"/>
              <w:left w:val="nil"/>
              <w:bottom w:val="nil"/>
              <w:right w:val="nil"/>
            </w:tcBorders>
            <w:shd w:val="clear" w:color="auto" w:fill="auto"/>
            <w:noWrap/>
            <w:vAlign w:val="bottom"/>
            <w:hideMark/>
          </w:tcPr>
          <w:p w14:paraId="6D5E9C3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-10.08</w:t>
            </w:r>
          </w:p>
        </w:tc>
      </w:tr>
      <w:tr w:rsidR="00A709DB" w:rsidRPr="00E21F8C" w14:paraId="10852FC2" w14:textId="77777777" w:rsidTr="00A35A95">
        <w:trPr>
          <w:trHeight w:val="320"/>
        </w:trPr>
        <w:tc>
          <w:tcPr>
            <w:tcW w:w="551" w:type="pct"/>
            <w:tcBorders>
              <w:top w:val="nil"/>
              <w:left w:val="nil"/>
              <w:bottom w:val="nil"/>
              <w:right w:val="nil"/>
            </w:tcBorders>
            <w:shd w:val="clear" w:color="auto" w:fill="auto"/>
            <w:noWrap/>
            <w:vAlign w:val="bottom"/>
            <w:hideMark/>
          </w:tcPr>
          <w:p w14:paraId="511040E2"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BAZEDOXIFENE</w:t>
            </w:r>
          </w:p>
        </w:tc>
        <w:tc>
          <w:tcPr>
            <w:tcW w:w="275" w:type="pct"/>
            <w:tcBorders>
              <w:top w:val="nil"/>
              <w:left w:val="nil"/>
              <w:bottom w:val="nil"/>
              <w:right w:val="nil"/>
            </w:tcBorders>
            <w:shd w:val="clear" w:color="auto" w:fill="auto"/>
            <w:noWrap/>
            <w:vAlign w:val="bottom"/>
            <w:hideMark/>
          </w:tcPr>
          <w:p w14:paraId="7795FFA8"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-9.65</w:t>
            </w:r>
          </w:p>
        </w:tc>
        <w:tc>
          <w:tcPr>
            <w:tcW w:w="509" w:type="pct"/>
            <w:tcBorders>
              <w:top w:val="nil"/>
              <w:left w:val="nil"/>
              <w:bottom w:val="nil"/>
              <w:right w:val="nil"/>
            </w:tcBorders>
            <w:shd w:val="clear" w:color="auto" w:fill="auto"/>
            <w:noWrap/>
            <w:vAlign w:val="bottom"/>
            <w:hideMark/>
          </w:tcPr>
          <w:p w14:paraId="507DBCE7"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LEDIPASVIR</w:t>
            </w:r>
          </w:p>
        </w:tc>
        <w:tc>
          <w:tcPr>
            <w:tcW w:w="277" w:type="pct"/>
            <w:tcBorders>
              <w:top w:val="nil"/>
              <w:left w:val="nil"/>
              <w:bottom w:val="nil"/>
              <w:right w:val="nil"/>
            </w:tcBorders>
            <w:shd w:val="clear" w:color="auto" w:fill="auto"/>
            <w:noWrap/>
            <w:vAlign w:val="bottom"/>
            <w:hideMark/>
          </w:tcPr>
          <w:p w14:paraId="02C4C0E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-10.59</w:t>
            </w:r>
          </w:p>
        </w:tc>
        <w:tc>
          <w:tcPr>
            <w:tcW w:w="549" w:type="pct"/>
            <w:tcBorders>
              <w:top w:val="nil"/>
              <w:left w:val="nil"/>
              <w:bottom w:val="nil"/>
              <w:right w:val="nil"/>
            </w:tcBorders>
            <w:shd w:val="clear" w:color="auto" w:fill="auto"/>
            <w:noWrap/>
            <w:vAlign w:val="bottom"/>
            <w:hideMark/>
          </w:tcPr>
          <w:p w14:paraId="51298010"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ABARELIX</w:t>
            </w:r>
          </w:p>
        </w:tc>
        <w:tc>
          <w:tcPr>
            <w:tcW w:w="271" w:type="pct"/>
            <w:tcBorders>
              <w:top w:val="nil"/>
              <w:left w:val="nil"/>
              <w:bottom w:val="nil"/>
              <w:right w:val="nil"/>
            </w:tcBorders>
            <w:shd w:val="clear" w:color="auto" w:fill="auto"/>
            <w:noWrap/>
            <w:vAlign w:val="bottom"/>
            <w:hideMark/>
          </w:tcPr>
          <w:p w14:paraId="4022C25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-9.81</w:t>
            </w:r>
          </w:p>
        </w:tc>
        <w:tc>
          <w:tcPr>
            <w:tcW w:w="551" w:type="pct"/>
            <w:tcBorders>
              <w:top w:val="nil"/>
              <w:left w:val="nil"/>
              <w:bottom w:val="nil"/>
              <w:right w:val="nil"/>
            </w:tcBorders>
            <w:shd w:val="clear" w:color="auto" w:fill="auto"/>
            <w:noWrap/>
            <w:vAlign w:val="bottom"/>
            <w:hideMark/>
          </w:tcPr>
          <w:p w14:paraId="1086CDB1"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LOMITAPIDE</w:t>
            </w:r>
          </w:p>
        </w:tc>
        <w:tc>
          <w:tcPr>
            <w:tcW w:w="276" w:type="pct"/>
            <w:tcBorders>
              <w:top w:val="nil"/>
              <w:left w:val="nil"/>
              <w:bottom w:val="nil"/>
              <w:right w:val="nil"/>
            </w:tcBorders>
            <w:shd w:val="clear" w:color="auto" w:fill="auto"/>
            <w:noWrap/>
            <w:vAlign w:val="bottom"/>
            <w:hideMark/>
          </w:tcPr>
          <w:p w14:paraId="1E8DAE5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-9.95</w:t>
            </w:r>
          </w:p>
        </w:tc>
        <w:tc>
          <w:tcPr>
            <w:tcW w:w="640" w:type="pct"/>
            <w:tcBorders>
              <w:top w:val="nil"/>
              <w:left w:val="nil"/>
              <w:bottom w:val="nil"/>
              <w:right w:val="nil"/>
            </w:tcBorders>
            <w:shd w:val="clear" w:color="auto" w:fill="auto"/>
            <w:noWrap/>
            <w:vAlign w:val="bottom"/>
            <w:hideMark/>
          </w:tcPr>
          <w:p w14:paraId="3C66B598"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FIDAXOMICIN</w:t>
            </w:r>
          </w:p>
        </w:tc>
        <w:tc>
          <w:tcPr>
            <w:tcW w:w="276" w:type="pct"/>
            <w:tcBorders>
              <w:top w:val="nil"/>
              <w:left w:val="nil"/>
              <w:bottom w:val="nil"/>
              <w:right w:val="nil"/>
            </w:tcBorders>
            <w:shd w:val="clear" w:color="auto" w:fill="auto"/>
            <w:noWrap/>
            <w:vAlign w:val="bottom"/>
            <w:hideMark/>
          </w:tcPr>
          <w:p w14:paraId="4B516E92"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-10.00</w:t>
            </w:r>
          </w:p>
        </w:tc>
        <w:tc>
          <w:tcPr>
            <w:tcW w:w="550" w:type="pct"/>
            <w:tcBorders>
              <w:top w:val="nil"/>
              <w:left w:val="nil"/>
              <w:bottom w:val="nil"/>
              <w:right w:val="nil"/>
            </w:tcBorders>
            <w:shd w:val="clear" w:color="auto" w:fill="auto"/>
            <w:noWrap/>
            <w:vAlign w:val="bottom"/>
            <w:hideMark/>
          </w:tcPr>
          <w:p w14:paraId="0E0BB587"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ELBASVIR</w:t>
            </w:r>
          </w:p>
        </w:tc>
        <w:tc>
          <w:tcPr>
            <w:tcW w:w="275" w:type="pct"/>
            <w:tcBorders>
              <w:top w:val="nil"/>
              <w:left w:val="nil"/>
              <w:bottom w:val="nil"/>
              <w:right w:val="nil"/>
            </w:tcBorders>
            <w:shd w:val="clear" w:color="auto" w:fill="auto"/>
            <w:noWrap/>
            <w:vAlign w:val="bottom"/>
            <w:hideMark/>
          </w:tcPr>
          <w:p w14:paraId="723FB16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-9.79</w:t>
            </w:r>
          </w:p>
        </w:tc>
      </w:tr>
      <w:tr w:rsidR="00A709DB" w:rsidRPr="00E21F8C" w14:paraId="031BFA92" w14:textId="77777777" w:rsidTr="00A35A95">
        <w:trPr>
          <w:trHeight w:val="320"/>
        </w:trPr>
        <w:tc>
          <w:tcPr>
            <w:tcW w:w="551" w:type="pct"/>
            <w:tcBorders>
              <w:top w:val="nil"/>
              <w:left w:val="nil"/>
              <w:bottom w:val="nil"/>
              <w:right w:val="nil"/>
            </w:tcBorders>
            <w:shd w:val="clear" w:color="auto" w:fill="auto"/>
            <w:noWrap/>
            <w:vAlign w:val="bottom"/>
            <w:hideMark/>
          </w:tcPr>
          <w:p w14:paraId="6085E4A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MENAQUINONE</w:t>
            </w:r>
          </w:p>
        </w:tc>
        <w:tc>
          <w:tcPr>
            <w:tcW w:w="275" w:type="pct"/>
            <w:tcBorders>
              <w:top w:val="nil"/>
              <w:left w:val="nil"/>
              <w:bottom w:val="nil"/>
              <w:right w:val="nil"/>
            </w:tcBorders>
            <w:shd w:val="clear" w:color="auto" w:fill="auto"/>
            <w:noWrap/>
            <w:vAlign w:val="bottom"/>
            <w:hideMark/>
          </w:tcPr>
          <w:p w14:paraId="0BA1462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-9.50</w:t>
            </w:r>
          </w:p>
        </w:tc>
        <w:tc>
          <w:tcPr>
            <w:tcW w:w="509" w:type="pct"/>
            <w:tcBorders>
              <w:top w:val="nil"/>
              <w:left w:val="nil"/>
              <w:bottom w:val="nil"/>
              <w:right w:val="nil"/>
            </w:tcBorders>
            <w:shd w:val="clear" w:color="auto" w:fill="auto"/>
            <w:noWrap/>
            <w:vAlign w:val="bottom"/>
            <w:hideMark/>
          </w:tcPr>
          <w:p w14:paraId="450C8F6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LEUPROLIDE</w:t>
            </w:r>
          </w:p>
        </w:tc>
        <w:tc>
          <w:tcPr>
            <w:tcW w:w="277" w:type="pct"/>
            <w:tcBorders>
              <w:top w:val="nil"/>
              <w:left w:val="nil"/>
              <w:bottom w:val="nil"/>
              <w:right w:val="nil"/>
            </w:tcBorders>
            <w:shd w:val="clear" w:color="auto" w:fill="auto"/>
            <w:noWrap/>
            <w:vAlign w:val="bottom"/>
            <w:hideMark/>
          </w:tcPr>
          <w:p w14:paraId="0DE5F800"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-10.30</w:t>
            </w:r>
          </w:p>
        </w:tc>
        <w:tc>
          <w:tcPr>
            <w:tcW w:w="549" w:type="pct"/>
            <w:tcBorders>
              <w:top w:val="nil"/>
              <w:left w:val="nil"/>
              <w:bottom w:val="nil"/>
              <w:right w:val="nil"/>
            </w:tcBorders>
            <w:shd w:val="clear" w:color="auto" w:fill="auto"/>
            <w:noWrap/>
            <w:vAlign w:val="bottom"/>
            <w:hideMark/>
          </w:tcPr>
          <w:p w14:paraId="4A67D777"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ELBASVIR</w:t>
            </w:r>
          </w:p>
        </w:tc>
        <w:tc>
          <w:tcPr>
            <w:tcW w:w="271" w:type="pct"/>
            <w:tcBorders>
              <w:top w:val="nil"/>
              <w:left w:val="nil"/>
              <w:bottom w:val="nil"/>
              <w:right w:val="nil"/>
            </w:tcBorders>
            <w:shd w:val="clear" w:color="auto" w:fill="auto"/>
            <w:noWrap/>
            <w:vAlign w:val="bottom"/>
            <w:hideMark/>
          </w:tcPr>
          <w:p w14:paraId="0CC1C44E"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-9.21</w:t>
            </w:r>
          </w:p>
        </w:tc>
        <w:tc>
          <w:tcPr>
            <w:tcW w:w="551" w:type="pct"/>
            <w:tcBorders>
              <w:top w:val="nil"/>
              <w:left w:val="nil"/>
              <w:bottom w:val="nil"/>
              <w:right w:val="nil"/>
            </w:tcBorders>
            <w:shd w:val="clear" w:color="auto" w:fill="auto"/>
            <w:noWrap/>
            <w:vAlign w:val="bottom"/>
            <w:hideMark/>
          </w:tcPr>
          <w:p w14:paraId="0094902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OMBITASVIR</w:t>
            </w:r>
          </w:p>
        </w:tc>
        <w:tc>
          <w:tcPr>
            <w:tcW w:w="276" w:type="pct"/>
            <w:tcBorders>
              <w:top w:val="nil"/>
              <w:left w:val="nil"/>
              <w:bottom w:val="nil"/>
              <w:right w:val="nil"/>
            </w:tcBorders>
            <w:shd w:val="clear" w:color="auto" w:fill="auto"/>
            <w:noWrap/>
            <w:vAlign w:val="bottom"/>
            <w:hideMark/>
          </w:tcPr>
          <w:p w14:paraId="5E6BA56D"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-9.86</w:t>
            </w:r>
          </w:p>
        </w:tc>
        <w:tc>
          <w:tcPr>
            <w:tcW w:w="640" w:type="pct"/>
            <w:tcBorders>
              <w:top w:val="nil"/>
              <w:left w:val="nil"/>
              <w:bottom w:val="nil"/>
              <w:right w:val="nil"/>
            </w:tcBorders>
            <w:shd w:val="clear" w:color="auto" w:fill="auto"/>
            <w:noWrap/>
            <w:vAlign w:val="bottom"/>
            <w:hideMark/>
          </w:tcPr>
          <w:p w14:paraId="62B61E57"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M-FIDAXOMICIN</w:t>
            </w:r>
          </w:p>
        </w:tc>
        <w:tc>
          <w:tcPr>
            <w:tcW w:w="276" w:type="pct"/>
            <w:tcBorders>
              <w:top w:val="nil"/>
              <w:left w:val="nil"/>
              <w:bottom w:val="nil"/>
              <w:right w:val="nil"/>
            </w:tcBorders>
            <w:shd w:val="clear" w:color="auto" w:fill="auto"/>
            <w:noWrap/>
            <w:vAlign w:val="bottom"/>
            <w:hideMark/>
          </w:tcPr>
          <w:p w14:paraId="7FB6C971"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-9.78</w:t>
            </w:r>
          </w:p>
        </w:tc>
        <w:tc>
          <w:tcPr>
            <w:tcW w:w="550" w:type="pct"/>
            <w:tcBorders>
              <w:top w:val="nil"/>
              <w:left w:val="nil"/>
              <w:bottom w:val="nil"/>
              <w:right w:val="nil"/>
            </w:tcBorders>
            <w:shd w:val="clear" w:color="auto" w:fill="auto"/>
            <w:noWrap/>
            <w:vAlign w:val="bottom"/>
            <w:hideMark/>
          </w:tcPr>
          <w:p w14:paraId="225AEC17"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NAFARELIN</w:t>
            </w:r>
          </w:p>
        </w:tc>
        <w:tc>
          <w:tcPr>
            <w:tcW w:w="275" w:type="pct"/>
            <w:tcBorders>
              <w:top w:val="nil"/>
              <w:left w:val="nil"/>
              <w:bottom w:val="nil"/>
              <w:right w:val="nil"/>
            </w:tcBorders>
            <w:shd w:val="clear" w:color="auto" w:fill="auto"/>
            <w:noWrap/>
            <w:vAlign w:val="bottom"/>
            <w:hideMark/>
          </w:tcPr>
          <w:p w14:paraId="151FE189"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-9.78</w:t>
            </w:r>
          </w:p>
        </w:tc>
      </w:tr>
      <w:tr w:rsidR="00A709DB" w:rsidRPr="00E21F8C" w14:paraId="77FBA065" w14:textId="77777777" w:rsidTr="00A35A95">
        <w:trPr>
          <w:trHeight w:val="320"/>
        </w:trPr>
        <w:tc>
          <w:tcPr>
            <w:tcW w:w="551" w:type="pct"/>
            <w:tcBorders>
              <w:top w:val="nil"/>
              <w:left w:val="nil"/>
              <w:bottom w:val="nil"/>
              <w:right w:val="nil"/>
            </w:tcBorders>
            <w:shd w:val="clear" w:color="auto" w:fill="auto"/>
            <w:noWrap/>
            <w:vAlign w:val="bottom"/>
            <w:hideMark/>
          </w:tcPr>
          <w:p w14:paraId="6368768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NINTEDANIB</w:t>
            </w:r>
          </w:p>
        </w:tc>
        <w:tc>
          <w:tcPr>
            <w:tcW w:w="275" w:type="pct"/>
            <w:tcBorders>
              <w:top w:val="nil"/>
              <w:left w:val="nil"/>
              <w:bottom w:val="nil"/>
              <w:right w:val="nil"/>
            </w:tcBorders>
            <w:shd w:val="clear" w:color="auto" w:fill="auto"/>
            <w:noWrap/>
            <w:vAlign w:val="bottom"/>
            <w:hideMark/>
          </w:tcPr>
          <w:p w14:paraId="3998CBF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-9.39</w:t>
            </w:r>
          </w:p>
        </w:tc>
        <w:tc>
          <w:tcPr>
            <w:tcW w:w="509" w:type="pct"/>
            <w:tcBorders>
              <w:top w:val="nil"/>
              <w:left w:val="nil"/>
              <w:bottom w:val="nil"/>
              <w:right w:val="nil"/>
            </w:tcBorders>
            <w:shd w:val="clear" w:color="auto" w:fill="auto"/>
            <w:noWrap/>
            <w:vAlign w:val="bottom"/>
            <w:hideMark/>
          </w:tcPr>
          <w:p w14:paraId="35D51A1F"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ELBASVIR</w:t>
            </w:r>
          </w:p>
        </w:tc>
        <w:tc>
          <w:tcPr>
            <w:tcW w:w="277" w:type="pct"/>
            <w:tcBorders>
              <w:top w:val="nil"/>
              <w:left w:val="nil"/>
              <w:bottom w:val="nil"/>
              <w:right w:val="nil"/>
            </w:tcBorders>
            <w:shd w:val="clear" w:color="auto" w:fill="auto"/>
            <w:noWrap/>
            <w:vAlign w:val="bottom"/>
            <w:hideMark/>
          </w:tcPr>
          <w:p w14:paraId="4B57DFDE"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-10.20</w:t>
            </w:r>
          </w:p>
        </w:tc>
        <w:tc>
          <w:tcPr>
            <w:tcW w:w="549" w:type="pct"/>
            <w:tcBorders>
              <w:top w:val="nil"/>
              <w:left w:val="nil"/>
              <w:bottom w:val="nil"/>
              <w:right w:val="nil"/>
            </w:tcBorders>
            <w:shd w:val="clear" w:color="auto" w:fill="auto"/>
            <w:noWrap/>
            <w:vAlign w:val="bottom"/>
            <w:hideMark/>
          </w:tcPr>
          <w:p w14:paraId="053421DE"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TRIPTORELIN</w:t>
            </w:r>
          </w:p>
        </w:tc>
        <w:tc>
          <w:tcPr>
            <w:tcW w:w="271" w:type="pct"/>
            <w:tcBorders>
              <w:top w:val="nil"/>
              <w:left w:val="nil"/>
              <w:bottom w:val="nil"/>
              <w:right w:val="nil"/>
            </w:tcBorders>
            <w:shd w:val="clear" w:color="auto" w:fill="auto"/>
            <w:noWrap/>
            <w:vAlign w:val="bottom"/>
            <w:hideMark/>
          </w:tcPr>
          <w:p w14:paraId="3C03E970"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-9.20</w:t>
            </w:r>
          </w:p>
        </w:tc>
        <w:tc>
          <w:tcPr>
            <w:tcW w:w="551" w:type="pct"/>
            <w:tcBorders>
              <w:top w:val="nil"/>
              <w:left w:val="nil"/>
              <w:bottom w:val="nil"/>
              <w:right w:val="nil"/>
            </w:tcBorders>
            <w:shd w:val="clear" w:color="auto" w:fill="auto"/>
            <w:noWrap/>
            <w:vAlign w:val="bottom"/>
            <w:hideMark/>
          </w:tcPr>
          <w:p w14:paraId="7D1F3278"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VENETOCLAX</w:t>
            </w:r>
          </w:p>
        </w:tc>
        <w:tc>
          <w:tcPr>
            <w:tcW w:w="276" w:type="pct"/>
            <w:tcBorders>
              <w:top w:val="nil"/>
              <w:left w:val="nil"/>
              <w:bottom w:val="nil"/>
              <w:right w:val="nil"/>
            </w:tcBorders>
            <w:shd w:val="clear" w:color="auto" w:fill="auto"/>
            <w:noWrap/>
            <w:vAlign w:val="bottom"/>
            <w:hideMark/>
          </w:tcPr>
          <w:p w14:paraId="30E01C0E"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-9.86</w:t>
            </w:r>
          </w:p>
        </w:tc>
        <w:tc>
          <w:tcPr>
            <w:tcW w:w="640" w:type="pct"/>
            <w:tcBorders>
              <w:top w:val="nil"/>
              <w:left w:val="nil"/>
              <w:bottom w:val="nil"/>
              <w:right w:val="nil"/>
            </w:tcBorders>
            <w:shd w:val="clear" w:color="auto" w:fill="auto"/>
            <w:noWrap/>
            <w:vAlign w:val="bottom"/>
            <w:hideMark/>
          </w:tcPr>
          <w:p w14:paraId="20A125A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NAFARELIN</w:t>
            </w:r>
          </w:p>
        </w:tc>
        <w:tc>
          <w:tcPr>
            <w:tcW w:w="276" w:type="pct"/>
            <w:tcBorders>
              <w:top w:val="nil"/>
              <w:left w:val="nil"/>
              <w:bottom w:val="nil"/>
              <w:right w:val="nil"/>
            </w:tcBorders>
            <w:shd w:val="clear" w:color="auto" w:fill="auto"/>
            <w:noWrap/>
            <w:vAlign w:val="bottom"/>
            <w:hideMark/>
          </w:tcPr>
          <w:p w14:paraId="612EF021"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-9.71</w:t>
            </w:r>
          </w:p>
        </w:tc>
        <w:tc>
          <w:tcPr>
            <w:tcW w:w="550" w:type="pct"/>
            <w:tcBorders>
              <w:top w:val="nil"/>
              <w:left w:val="nil"/>
              <w:bottom w:val="nil"/>
              <w:right w:val="nil"/>
            </w:tcBorders>
            <w:shd w:val="clear" w:color="auto" w:fill="auto"/>
            <w:noWrap/>
            <w:vAlign w:val="bottom"/>
            <w:hideMark/>
          </w:tcPr>
          <w:p w14:paraId="60BF081D"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BETA-CAROTENE</w:t>
            </w:r>
          </w:p>
        </w:tc>
        <w:tc>
          <w:tcPr>
            <w:tcW w:w="275" w:type="pct"/>
            <w:tcBorders>
              <w:top w:val="nil"/>
              <w:left w:val="nil"/>
              <w:bottom w:val="nil"/>
              <w:right w:val="nil"/>
            </w:tcBorders>
            <w:shd w:val="clear" w:color="auto" w:fill="auto"/>
            <w:noWrap/>
            <w:vAlign w:val="bottom"/>
            <w:hideMark/>
          </w:tcPr>
          <w:p w14:paraId="1BA7307B"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-9.72</w:t>
            </w:r>
          </w:p>
        </w:tc>
      </w:tr>
      <w:tr w:rsidR="00A709DB" w:rsidRPr="00E21F8C" w14:paraId="6EDAD667" w14:textId="77777777" w:rsidTr="00A35A95">
        <w:trPr>
          <w:trHeight w:val="320"/>
        </w:trPr>
        <w:tc>
          <w:tcPr>
            <w:tcW w:w="551" w:type="pct"/>
            <w:tcBorders>
              <w:top w:val="nil"/>
              <w:left w:val="nil"/>
              <w:bottom w:val="nil"/>
              <w:right w:val="nil"/>
            </w:tcBorders>
            <w:shd w:val="clear" w:color="auto" w:fill="auto"/>
            <w:noWrap/>
            <w:vAlign w:val="bottom"/>
            <w:hideMark/>
          </w:tcPr>
          <w:p w14:paraId="0B4527FF"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ZAFIRLUKAST</w:t>
            </w:r>
          </w:p>
        </w:tc>
        <w:tc>
          <w:tcPr>
            <w:tcW w:w="275" w:type="pct"/>
            <w:tcBorders>
              <w:top w:val="nil"/>
              <w:left w:val="nil"/>
              <w:bottom w:val="nil"/>
              <w:right w:val="nil"/>
            </w:tcBorders>
            <w:shd w:val="clear" w:color="auto" w:fill="auto"/>
            <w:noWrap/>
            <w:vAlign w:val="bottom"/>
            <w:hideMark/>
          </w:tcPr>
          <w:p w14:paraId="771C2B4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-9.39</w:t>
            </w:r>
          </w:p>
        </w:tc>
        <w:tc>
          <w:tcPr>
            <w:tcW w:w="509" w:type="pct"/>
            <w:tcBorders>
              <w:top w:val="nil"/>
              <w:left w:val="nil"/>
              <w:bottom w:val="nil"/>
              <w:right w:val="nil"/>
            </w:tcBorders>
            <w:shd w:val="clear" w:color="auto" w:fill="auto"/>
            <w:noWrap/>
            <w:vAlign w:val="bottom"/>
            <w:hideMark/>
          </w:tcPr>
          <w:p w14:paraId="0EB5A4EE"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NAFARELIN</w:t>
            </w:r>
          </w:p>
        </w:tc>
        <w:tc>
          <w:tcPr>
            <w:tcW w:w="277" w:type="pct"/>
            <w:tcBorders>
              <w:top w:val="nil"/>
              <w:left w:val="nil"/>
              <w:bottom w:val="nil"/>
              <w:right w:val="nil"/>
            </w:tcBorders>
            <w:shd w:val="clear" w:color="auto" w:fill="auto"/>
            <w:noWrap/>
            <w:vAlign w:val="bottom"/>
            <w:hideMark/>
          </w:tcPr>
          <w:p w14:paraId="6984F96D"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-10.12</w:t>
            </w:r>
          </w:p>
        </w:tc>
        <w:tc>
          <w:tcPr>
            <w:tcW w:w="549" w:type="pct"/>
            <w:tcBorders>
              <w:top w:val="nil"/>
              <w:left w:val="nil"/>
              <w:bottom w:val="nil"/>
              <w:right w:val="nil"/>
            </w:tcBorders>
            <w:shd w:val="clear" w:color="auto" w:fill="auto"/>
            <w:noWrap/>
            <w:vAlign w:val="bottom"/>
            <w:hideMark/>
          </w:tcPr>
          <w:p w14:paraId="2D61C8EE"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VELPATASVIR</w:t>
            </w:r>
          </w:p>
        </w:tc>
        <w:tc>
          <w:tcPr>
            <w:tcW w:w="271" w:type="pct"/>
            <w:tcBorders>
              <w:top w:val="nil"/>
              <w:left w:val="nil"/>
              <w:bottom w:val="nil"/>
              <w:right w:val="nil"/>
            </w:tcBorders>
            <w:shd w:val="clear" w:color="auto" w:fill="auto"/>
            <w:noWrap/>
            <w:vAlign w:val="bottom"/>
            <w:hideMark/>
          </w:tcPr>
          <w:p w14:paraId="1B660F61"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-9.20</w:t>
            </w:r>
          </w:p>
        </w:tc>
        <w:tc>
          <w:tcPr>
            <w:tcW w:w="551" w:type="pct"/>
            <w:tcBorders>
              <w:top w:val="nil"/>
              <w:left w:val="nil"/>
              <w:bottom w:val="nil"/>
              <w:right w:val="nil"/>
            </w:tcBorders>
            <w:shd w:val="clear" w:color="auto" w:fill="auto"/>
            <w:noWrap/>
            <w:vAlign w:val="bottom"/>
            <w:hideMark/>
          </w:tcPr>
          <w:p w14:paraId="3568C991"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DOCETAXEL</w:t>
            </w:r>
          </w:p>
        </w:tc>
        <w:tc>
          <w:tcPr>
            <w:tcW w:w="276" w:type="pct"/>
            <w:tcBorders>
              <w:top w:val="nil"/>
              <w:left w:val="nil"/>
              <w:bottom w:val="nil"/>
              <w:right w:val="nil"/>
            </w:tcBorders>
            <w:shd w:val="clear" w:color="auto" w:fill="auto"/>
            <w:noWrap/>
            <w:vAlign w:val="bottom"/>
            <w:hideMark/>
          </w:tcPr>
          <w:p w14:paraId="1009848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-9.8</w:t>
            </w:r>
          </w:p>
        </w:tc>
        <w:tc>
          <w:tcPr>
            <w:tcW w:w="640" w:type="pct"/>
            <w:tcBorders>
              <w:top w:val="nil"/>
              <w:left w:val="nil"/>
              <w:bottom w:val="nil"/>
              <w:right w:val="nil"/>
            </w:tcBorders>
            <w:shd w:val="clear" w:color="auto" w:fill="auto"/>
            <w:noWrap/>
            <w:vAlign w:val="bottom"/>
            <w:hideMark/>
          </w:tcPr>
          <w:p w14:paraId="582E52D6"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PLICAMYCIN</w:t>
            </w:r>
          </w:p>
        </w:tc>
        <w:tc>
          <w:tcPr>
            <w:tcW w:w="276" w:type="pct"/>
            <w:tcBorders>
              <w:top w:val="nil"/>
              <w:left w:val="nil"/>
              <w:bottom w:val="nil"/>
              <w:right w:val="nil"/>
            </w:tcBorders>
            <w:shd w:val="clear" w:color="auto" w:fill="auto"/>
            <w:noWrap/>
            <w:vAlign w:val="bottom"/>
            <w:hideMark/>
          </w:tcPr>
          <w:p w14:paraId="042CB822"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-9.61</w:t>
            </w:r>
          </w:p>
        </w:tc>
        <w:tc>
          <w:tcPr>
            <w:tcW w:w="550" w:type="pct"/>
            <w:tcBorders>
              <w:top w:val="nil"/>
              <w:left w:val="nil"/>
              <w:bottom w:val="nil"/>
              <w:right w:val="nil"/>
            </w:tcBorders>
            <w:shd w:val="clear" w:color="auto" w:fill="auto"/>
            <w:noWrap/>
            <w:vAlign w:val="bottom"/>
            <w:hideMark/>
          </w:tcPr>
          <w:p w14:paraId="42A0A267"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PIBRENTASVIR</w:t>
            </w:r>
          </w:p>
        </w:tc>
        <w:tc>
          <w:tcPr>
            <w:tcW w:w="275" w:type="pct"/>
            <w:tcBorders>
              <w:top w:val="nil"/>
              <w:left w:val="nil"/>
              <w:bottom w:val="nil"/>
              <w:right w:val="nil"/>
            </w:tcBorders>
            <w:shd w:val="clear" w:color="auto" w:fill="auto"/>
            <w:noWrap/>
            <w:vAlign w:val="bottom"/>
            <w:hideMark/>
          </w:tcPr>
          <w:p w14:paraId="2783302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-9.70</w:t>
            </w:r>
          </w:p>
        </w:tc>
      </w:tr>
      <w:tr w:rsidR="00A709DB" w:rsidRPr="00E21F8C" w14:paraId="0ADF782E" w14:textId="77777777" w:rsidTr="00A35A95">
        <w:trPr>
          <w:trHeight w:val="320"/>
        </w:trPr>
        <w:tc>
          <w:tcPr>
            <w:tcW w:w="551" w:type="pct"/>
            <w:tcBorders>
              <w:top w:val="nil"/>
              <w:left w:val="nil"/>
              <w:bottom w:val="nil"/>
              <w:right w:val="nil"/>
            </w:tcBorders>
            <w:shd w:val="clear" w:color="auto" w:fill="auto"/>
            <w:noWrap/>
            <w:vAlign w:val="bottom"/>
            <w:hideMark/>
          </w:tcPr>
          <w:p w14:paraId="5C601AE3"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DOXACURIUM</w:t>
            </w:r>
          </w:p>
        </w:tc>
        <w:tc>
          <w:tcPr>
            <w:tcW w:w="275" w:type="pct"/>
            <w:tcBorders>
              <w:top w:val="nil"/>
              <w:left w:val="nil"/>
              <w:bottom w:val="nil"/>
              <w:right w:val="nil"/>
            </w:tcBorders>
            <w:shd w:val="clear" w:color="auto" w:fill="auto"/>
            <w:noWrap/>
            <w:vAlign w:val="bottom"/>
            <w:hideMark/>
          </w:tcPr>
          <w:p w14:paraId="6DF45ED6"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-9.24</w:t>
            </w:r>
          </w:p>
        </w:tc>
        <w:tc>
          <w:tcPr>
            <w:tcW w:w="509" w:type="pct"/>
            <w:tcBorders>
              <w:top w:val="nil"/>
              <w:left w:val="nil"/>
              <w:bottom w:val="nil"/>
              <w:right w:val="nil"/>
            </w:tcBorders>
            <w:shd w:val="clear" w:color="auto" w:fill="auto"/>
            <w:noWrap/>
            <w:vAlign w:val="bottom"/>
            <w:hideMark/>
          </w:tcPr>
          <w:p w14:paraId="52E738EB"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IMATINIB</w:t>
            </w:r>
          </w:p>
        </w:tc>
        <w:tc>
          <w:tcPr>
            <w:tcW w:w="277" w:type="pct"/>
            <w:tcBorders>
              <w:top w:val="nil"/>
              <w:left w:val="nil"/>
              <w:bottom w:val="nil"/>
              <w:right w:val="nil"/>
            </w:tcBorders>
            <w:shd w:val="clear" w:color="auto" w:fill="auto"/>
            <w:noWrap/>
            <w:vAlign w:val="bottom"/>
            <w:hideMark/>
          </w:tcPr>
          <w:p w14:paraId="0B7F6EE8"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-10.10</w:t>
            </w:r>
          </w:p>
        </w:tc>
        <w:tc>
          <w:tcPr>
            <w:tcW w:w="549" w:type="pct"/>
            <w:tcBorders>
              <w:top w:val="nil"/>
              <w:left w:val="nil"/>
              <w:bottom w:val="nil"/>
              <w:right w:val="nil"/>
            </w:tcBorders>
            <w:shd w:val="clear" w:color="auto" w:fill="auto"/>
            <w:noWrap/>
            <w:vAlign w:val="bottom"/>
            <w:hideMark/>
          </w:tcPr>
          <w:p w14:paraId="32CE8476"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PIBRENTASVIR</w:t>
            </w:r>
          </w:p>
        </w:tc>
        <w:tc>
          <w:tcPr>
            <w:tcW w:w="271" w:type="pct"/>
            <w:tcBorders>
              <w:top w:val="nil"/>
              <w:left w:val="nil"/>
              <w:bottom w:val="nil"/>
              <w:right w:val="nil"/>
            </w:tcBorders>
            <w:shd w:val="clear" w:color="auto" w:fill="auto"/>
            <w:noWrap/>
            <w:vAlign w:val="bottom"/>
            <w:hideMark/>
          </w:tcPr>
          <w:p w14:paraId="37BC75F7"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-9.19</w:t>
            </w:r>
          </w:p>
        </w:tc>
        <w:tc>
          <w:tcPr>
            <w:tcW w:w="551" w:type="pct"/>
            <w:tcBorders>
              <w:top w:val="nil"/>
              <w:left w:val="nil"/>
              <w:bottom w:val="nil"/>
              <w:right w:val="nil"/>
            </w:tcBorders>
            <w:shd w:val="clear" w:color="auto" w:fill="auto"/>
            <w:noWrap/>
            <w:vAlign w:val="bottom"/>
            <w:hideMark/>
          </w:tcPr>
          <w:p w14:paraId="54064910"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VELPATASVIR</w:t>
            </w:r>
          </w:p>
        </w:tc>
        <w:tc>
          <w:tcPr>
            <w:tcW w:w="276" w:type="pct"/>
            <w:tcBorders>
              <w:top w:val="nil"/>
              <w:left w:val="nil"/>
              <w:bottom w:val="nil"/>
              <w:right w:val="nil"/>
            </w:tcBorders>
            <w:shd w:val="clear" w:color="auto" w:fill="auto"/>
            <w:noWrap/>
            <w:vAlign w:val="bottom"/>
            <w:hideMark/>
          </w:tcPr>
          <w:p w14:paraId="102DDDD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-9.73</w:t>
            </w:r>
          </w:p>
        </w:tc>
        <w:tc>
          <w:tcPr>
            <w:tcW w:w="640" w:type="pct"/>
            <w:tcBorders>
              <w:top w:val="nil"/>
              <w:left w:val="nil"/>
              <w:bottom w:val="nil"/>
              <w:right w:val="nil"/>
            </w:tcBorders>
            <w:shd w:val="clear" w:color="auto" w:fill="auto"/>
            <w:noWrap/>
            <w:vAlign w:val="bottom"/>
            <w:hideMark/>
          </w:tcPr>
          <w:p w14:paraId="4AA3E0E3"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ITRACONAZOLE</w:t>
            </w:r>
          </w:p>
        </w:tc>
        <w:tc>
          <w:tcPr>
            <w:tcW w:w="276" w:type="pct"/>
            <w:tcBorders>
              <w:top w:val="nil"/>
              <w:left w:val="nil"/>
              <w:bottom w:val="nil"/>
              <w:right w:val="nil"/>
            </w:tcBorders>
            <w:shd w:val="clear" w:color="auto" w:fill="auto"/>
            <w:noWrap/>
            <w:vAlign w:val="bottom"/>
            <w:hideMark/>
          </w:tcPr>
          <w:p w14:paraId="0BF73A43"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-9.60</w:t>
            </w:r>
          </w:p>
        </w:tc>
        <w:tc>
          <w:tcPr>
            <w:tcW w:w="550" w:type="pct"/>
            <w:tcBorders>
              <w:top w:val="nil"/>
              <w:left w:val="nil"/>
              <w:bottom w:val="nil"/>
              <w:right w:val="nil"/>
            </w:tcBorders>
            <w:shd w:val="clear" w:color="auto" w:fill="auto"/>
            <w:noWrap/>
            <w:vAlign w:val="bottom"/>
            <w:hideMark/>
          </w:tcPr>
          <w:p w14:paraId="2682CEFE"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LEDIPASVIR</w:t>
            </w:r>
          </w:p>
        </w:tc>
        <w:tc>
          <w:tcPr>
            <w:tcW w:w="275" w:type="pct"/>
            <w:tcBorders>
              <w:top w:val="nil"/>
              <w:left w:val="nil"/>
              <w:bottom w:val="nil"/>
              <w:right w:val="nil"/>
            </w:tcBorders>
            <w:shd w:val="clear" w:color="auto" w:fill="auto"/>
            <w:noWrap/>
            <w:vAlign w:val="bottom"/>
            <w:hideMark/>
          </w:tcPr>
          <w:p w14:paraId="034BB806"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-9.66</w:t>
            </w:r>
          </w:p>
        </w:tc>
      </w:tr>
      <w:tr w:rsidR="00A709DB" w:rsidRPr="00E21F8C" w14:paraId="4DFAB6AB" w14:textId="77777777" w:rsidTr="00A35A95">
        <w:trPr>
          <w:trHeight w:val="320"/>
        </w:trPr>
        <w:tc>
          <w:tcPr>
            <w:tcW w:w="551" w:type="pct"/>
            <w:tcBorders>
              <w:top w:val="nil"/>
              <w:left w:val="nil"/>
              <w:bottom w:val="nil"/>
              <w:right w:val="nil"/>
            </w:tcBorders>
            <w:shd w:val="clear" w:color="auto" w:fill="auto"/>
            <w:noWrap/>
            <w:vAlign w:val="bottom"/>
            <w:hideMark/>
          </w:tcPr>
          <w:p w14:paraId="3A12207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NILOTINIB</w:t>
            </w:r>
          </w:p>
        </w:tc>
        <w:tc>
          <w:tcPr>
            <w:tcW w:w="275" w:type="pct"/>
            <w:tcBorders>
              <w:top w:val="nil"/>
              <w:left w:val="nil"/>
              <w:bottom w:val="nil"/>
              <w:right w:val="nil"/>
            </w:tcBorders>
            <w:shd w:val="clear" w:color="auto" w:fill="auto"/>
            <w:noWrap/>
            <w:vAlign w:val="bottom"/>
            <w:hideMark/>
          </w:tcPr>
          <w:p w14:paraId="6473E542"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-9.17</w:t>
            </w:r>
          </w:p>
        </w:tc>
        <w:tc>
          <w:tcPr>
            <w:tcW w:w="509" w:type="pct"/>
            <w:tcBorders>
              <w:top w:val="nil"/>
              <w:left w:val="nil"/>
              <w:bottom w:val="nil"/>
              <w:right w:val="nil"/>
            </w:tcBorders>
            <w:shd w:val="clear" w:color="auto" w:fill="auto"/>
            <w:noWrap/>
            <w:vAlign w:val="bottom"/>
            <w:hideMark/>
          </w:tcPr>
          <w:p w14:paraId="4D2F11CE"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PIBRENTASVIR</w:t>
            </w:r>
          </w:p>
        </w:tc>
        <w:tc>
          <w:tcPr>
            <w:tcW w:w="277" w:type="pct"/>
            <w:tcBorders>
              <w:top w:val="nil"/>
              <w:left w:val="nil"/>
              <w:bottom w:val="nil"/>
              <w:right w:val="nil"/>
            </w:tcBorders>
            <w:shd w:val="clear" w:color="auto" w:fill="auto"/>
            <w:noWrap/>
            <w:vAlign w:val="bottom"/>
            <w:hideMark/>
          </w:tcPr>
          <w:p w14:paraId="21CAFD3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-9.87</w:t>
            </w:r>
          </w:p>
        </w:tc>
        <w:tc>
          <w:tcPr>
            <w:tcW w:w="549" w:type="pct"/>
            <w:tcBorders>
              <w:top w:val="nil"/>
              <w:left w:val="nil"/>
              <w:bottom w:val="nil"/>
              <w:right w:val="nil"/>
            </w:tcBorders>
            <w:shd w:val="clear" w:color="auto" w:fill="auto"/>
            <w:noWrap/>
            <w:vAlign w:val="bottom"/>
            <w:hideMark/>
          </w:tcPr>
          <w:p w14:paraId="036086EA"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LEDIPASVIR</w:t>
            </w:r>
          </w:p>
        </w:tc>
        <w:tc>
          <w:tcPr>
            <w:tcW w:w="271" w:type="pct"/>
            <w:tcBorders>
              <w:top w:val="nil"/>
              <w:left w:val="nil"/>
              <w:bottom w:val="nil"/>
              <w:right w:val="nil"/>
            </w:tcBorders>
            <w:shd w:val="clear" w:color="auto" w:fill="auto"/>
            <w:noWrap/>
            <w:vAlign w:val="bottom"/>
            <w:hideMark/>
          </w:tcPr>
          <w:p w14:paraId="29247C60"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-9.16</w:t>
            </w:r>
          </w:p>
        </w:tc>
        <w:tc>
          <w:tcPr>
            <w:tcW w:w="551" w:type="pct"/>
            <w:tcBorders>
              <w:top w:val="nil"/>
              <w:left w:val="nil"/>
              <w:bottom w:val="nil"/>
              <w:right w:val="nil"/>
            </w:tcBorders>
            <w:shd w:val="clear" w:color="auto" w:fill="auto"/>
            <w:noWrap/>
            <w:vAlign w:val="bottom"/>
            <w:hideMark/>
          </w:tcPr>
          <w:p w14:paraId="77C43FA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ABARELIX</w:t>
            </w:r>
          </w:p>
        </w:tc>
        <w:tc>
          <w:tcPr>
            <w:tcW w:w="276" w:type="pct"/>
            <w:tcBorders>
              <w:top w:val="nil"/>
              <w:left w:val="nil"/>
              <w:bottom w:val="nil"/>
              <w:right w:val="nil"/>
            </w:tcBorders>
            <w:shd w:val="clear" w:color="auto" w:fill="auto"/>
            <w:noWrap/>
            <w:vAlign w:val="bottom"/>
            <w:hideMark/>
          </w:tcPr>
          <w:p w14:paraId="3ECA95CD"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-9.7</w:t>
            </w:r>
          </w:p>
        </w:tc>
        <w:tc>
          <w:tcPr>
            <w:tcW w:w="640" w:type="pct"/>
            <w:tcBorders>
              <w:top w:val="nil"/>
              <w:left w:val="nil"/>
              <w:bottom w:val="nil"/>
              <w:right w:val="nil"/>
            </w:tcBorders>
            <w:shd w:val="clear" w:color="auto" w:fill="auto"/>
            <w:noWrap/>
            <w:vAlign w:val="bottom"/>
            <w:hideMark/>
          </w:tcPr>
          <w:p w14:paraId="7CE1B2D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CABAZITAXEL</w:t>
            </w:r>
          </w:p>
        </w:tc>
        <w:tc>
          <w:tcPr>
            <w:tcW w:w="276" w:type="pct"/>
            <w:tcBorders>
              <w:top w:val="nil"/>
              <w:left w:val="nil"/>
              <w:bottom w:val="nil"/>
              <w:right w:val="nil"/>
            </w:tcBorders>
            <w:shd w:val="clear" w:color="auto" w:fill="auto"/>
            <w:noWrap/>
            <w:vAlign w:val="bottom"/>
            <w:hideMark/>
          </w:tcPr>
          <w:p w14:paraId="79979682"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-9.59</w:t>
            </w:r>
          </w:p>
        </w:tc>
        <w:tc>
          <w:tcPr>
            <w:tcW w:w="550" w:type="pct"/>
            <w:tcBorders>
              <w:top w:val="nil"/>
              <w:left w:val="nil"/>
              <w:bottom w:val="nil"/>
              <w:right w:val="nil"/>
            </w:tcBorders>
            <w:shd w:val="clear" w:color="auto" w:fill="auto"/>
            <w:noWrap/>
            <w:vAlign w:val="bottom"/>
            <w:hideMark/>
          </w:tcPr>
          <w:p w14:paraId="4775EB58"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VELPATASVIR</w:t>
            </w:r>
          </w:p>
        </w:tc>
        <w:tc>
          <w:tcPr>
            <w:tcW w:w="275" w:type="pct"/>
            <w:tcBorders>
              <w:top w:val="nil"/>
              <w:left w:val="nil"/>
              <w:bottom w:val="nil"/>
              <w:right w:val="nil"/>
            </w:tcBorders>
            <w:shd w:val="clear" w:color="auto" w:fill="auto"/>
            <w:noWrap/>
            <w:vAlign w:val="bottom"/>
            <w:hideMark/>
          </w:tcPr>
          <w:p w14:paraId="11D25B06"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-9.56</w:t>
            </w:r>
          </w:p>
        </w:tc>
      </w:tr>
      <w:tr w:rsidR="00A709DB" w:rsidRPr="00E21F8C" w14:paraId="49FB9354" w14:textId="77777777" w:rsidTr="00A35A95">
        <w:trPr>
          <w:trHeight w:val="320"/>
        </w:trPr>
        <w:tc>
          <w:tcPr>
            <w:tcW w:w="551" w:type="pct"/>
            <w:tcBorders>
              <w:top w:val="nil"/>
              <w:left w:val="nil"/>
              <w:bottom w:val="nil"/>
              <w:right w:val="nil"/>
            </w:tcBorders>
            <w:shd w:val="clear" w:color="auto" w:fill="auto"/>
            <w:noWrap/>
            <w:vAlign w:val="bottom"/>
            <w:hideMark/>
          </w:tcPr>
          <w:p w14:paraId="263E8E8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VEMURAFENIB</w:t>
            </w:r>
          </w:p>
        </w:tc>
        <w:tc>
          <w:tcPr>
            <w:tcW w:w="275" w:type="pct"/>
            <w:tcBorders>
              <w:top w:val="nil"/>
              <w:left w:val="nil"/>
              <w:bottom w:val="nil"/>
              <w:right w:val="nil"/>
            </w:tcBorders>
            <w:shd w:val="clear" w:color="auto" w:fill="auto"/>
            <w:noWrap/>
            <w:vAlign w:val="bottom"/>
            <w:hideMark/>
          </w:tcPr>
          <w:p w14:paraId="48EE5A5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-9.15</w:t>
            </w:r>
          </w:p>
        </w:tc>
        <w:tc>
          <w:tcPr>
            <w:tcW w:w="509" w:type="pct"/>
            <w:tcBorders>
              <w:top w:val="nil"/>
              <w:left w:val="nil"/>
              <w:bottom w:val="nil"/>
              <w:right w:val="nil"/>
            </w:tcBorders>
            <w:shd w:val="clear" w:color="auto" w:fill="auto"/>
            <w:noWrap/>
            <w:vAlign w:val="bottom"/>
            <w:hideMark/>
          </w:tcPr>
          <w:p w14:paraId="7B0C5CC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NILOTINIB</w:t>
            </w:r>
          </w:p>
        </w:tc>
        <w:tc>
          <w:tcPr>
            <w:tcW w:w="277" w:type="pct"/>
            <w:tcBorders>
              <w:top w:val="nil"/>
              <w:left w:val="nil"/>
              <w:bottom w:val="nil"/>
              <w:right w:val="nil"/>
            </w:tcBorders>
            <w:shd w:val="clear" w:color="auto" w:fill="auto"/>
            <w:noWrap/>
            <w:vAlign w:val="bottom"/>
            <w:hideMark/>
          </w:tcPr>
          <w:p w14:paraId="2450E9D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-9.85</w:t>
            </w:r>
          </w:p>
        </w:tc>
        <w:tc>
          <w:tcPr>
            <w:tcW w:w="549" w:type="pct"/>
            <w:tcBorders>
              <w:top w:val="nil"/>
              <w:left w:val="nil"/>
              <w:bottom w:val="nil"/>
              <w:right w:val="nil"/>
            </w:tcBorders>
            <w:shd w:val="clear" w:color="auto" w:fill="auto"/>
            <w:noWrap/>
            <w:vAlign w:val="bottom"/>
            <w:hideMark/>
          </w:tcPr>
          <w:p w14:paraId="4F285831"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DESLANOSIDE</w:t>
            </w:r>
          </w:p>
        </w:tc>
        <w:tc>
          <w:tcPr>
            <w:tcW w:w="271" w:type="pct"/>
            <w:tcBorders>
              <w:top w:val="nil"/>
              <w:left w:val="nil"/>
              <w:bottom w:val="nil"/>
              <w:right w:val="nil"/>
            </w:tcBorders>
            <w:shd w:val="clear" w:color="auto" w:fill="auto"/>
            <w:noWrap/>
            <w:vAlign w:val="bottom"/>
            <w:hideMark/>
          </w:tcPr>
          <w:p w14:paraId="59CC1D46"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-9.11</w:t>
            </w:r>
          </w:p>
        </w:tc>
        <w:tc>
          <w:tcPr>
            <w:tcW w:w="551" w:type="pct"/>
            <w:tcBorders>
              <w:top w:val="nil"/>
              <w:left w:val="nil"/>
              <w:bottom w:val="nil"/>
              <w:right w:val="nil"/>
            </w:tcBorders>
            <w:shd w:val="clear" w:color="auto" w:fill="auto"/>
            <w:noWrap/>
            <w:vAlign w:val="bottom"/>
            <w:hideMark/>
          </w:tcPr>
          <w:p w14:paraId="068BFF98"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DACTINOMYCIN</w:t>
            </w:r>
          </w:p>
        </w:tc>
        <w:tc>
          <w:tcPr>
            <w:tcW w:w="276" w:type="pct"/>
            <w:tcBorders>
              <w:top w:val="nil"/>
              <w:left w:val="nil"/>
              <w:bottom w:val="nil"/>
              <w:right w:val="nil"/>
            </w:tcBorders>
            <w:shd w:val="clear" w:color="auto" w:fill="auto"/>
            <w:noWrap/>
            <w:vAlign w:val="bottom"/>
            <w:hideMark/>
          </w:tcPr>
          <w:p w14:paraId="43D912AE"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-9.65</w:t>
            </w:r>
          </w:p>
        </w:tc>
        <w:tc>
          <w:tcPr>
            <w:tcW w:w="640" w:type="pct"/>
            <w:tcBorders>
              <w:top w:val="nil"/>
              <w:left w:val="nil"/>
              <w:bottom w:val="nil"/>
              <w:right w:val="nil"/>
            </w:tcBorders>
            <w:shd w:val="clear" w:color="auto" w:fill="auto"/>
            <w:noWrap/>
            <w:vAlign w:val="bottom"/>
            <w:hideMark/>
          </w:tcPr>
          <w:p w14:paraId="79AE7A58"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HISTRELIN</w:t>
            </w:r>
          </w:p>
        </w:tc>
        <w:tc>
          <w:tcPr>
            <w:tcW w:w="276" w:type="pct"/>
            <w:tcBorders>
              <w:top w:val="nil"/>
              <w:left w:val="nil"/>
              <w:bottom w:val="nil"/>
              <w:right w:val="nil"/>
            </w:tcBorders>
            <w:shd w:val="clear" w:color="auto" w:fill="auto"/>
            <w:noWrap/>
            <w:vAlign w:val="bottom"/>
            <w:hideMark/>
          </w:tcPr>
          <w:p w14:paraId="359879B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-9.57</w:t>
            </w:r>
          </w:p>
        </w:tc>
        <w:tc>
          <w:tcPr>
            <w:tcW w:w="550" w:type="pct"/>
            <w:tcBorders>
              <w:top w:val="nil"/>
              <w:left w:val="nil"/>
              <w:bottom w:val="nil"/>
              <w:right w:val="nil"/>
            </w:tcBorders>
            <w:shd w:val="clear" w:color="auto" w:fill="auto"/>
            <w:noWrap/>
            <w:vAlign w:val="bottom"/>
            <w:hideMark/>
          </w:tcPr>
          <w:p w14:paraId="3581D26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GOSERELIN</w:t>
            </w:r>
          </w:p>
        </w:tc>
        <w:tc>
          <w:tcPr>
            <w:tcW w:w="275" w:type="pct"/>
            <w:tcBorders>
              <w:top w:val="nil"/>
              <w:left w:val="nil"/>
              <w:bottom w:val="nil"/>
              <w:right w:val="nil"/>
            </w:tcBorders>
            <w:shd w:val="clear" w:color="auto" w:fill="auto"/>
            <w:noWrap/>
            <w:vAlign w:val="bottom"/>
            <w:hideMark/>
          </w:tcPr>
          <w:p w14:paraId="50723F8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-9.48</w:t>
            </w:r>
          </w:p>
        </w:tc>
      </w:tr>
      <w:tr w:rsidR="00A709DB" w:rsidRPr="00E21F8C" w14:paraId="26749D9E" w14:textId="77777777" w:rsidTr="00A35A95">
        <w:trPr>
          <w:trHeight w:val="320"/>
        </w:trPr>
        <w:tc>
          <w:tcPr>
            <w:tcW w:w="551" w:type="pct"/>
            <w:tcBorders>
              <w:top w:val="nil"/>
              <w:left w:val="nil"/>
              <w:bottom w:val="nil"/>
              <w:right w:val="nil"/>
            </w:tcBorders>
            <w:shd w:val="clear" w:color="auto" w:fill="auto"/>
            <w:noWrap/>
            <w:vAlign w:val="bottom"/>
            <w:hideMark/>
          </w:tcPr>
          <w:p w14:paraId="534FD85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CABOZANTINIB</w:t>
            </w:r>
          </w:p>
        </w:tc>
        <w:tc>
          <w:tcPr>
            <w:tcW w:w="275" w:type="pct"/>
            <w:tcBorders>
              <w:top w:val="nil"/>
              <w:left w:val="nil"/>
              <w:bottom w:val="nil"/>
              <w:right w:val="nil"/>
            </w:tcBorders>
            <w:shd w:val="clear" w:color="auto" w:fill="auto"/>
            <w:noWrap/>
            <w:vAlign w:val="bottom"/>
            <w:hideMark/>
          </w:tcPr>
          <w:p w14:paraId="392AEE0D"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-9.13</w:t>
            </w:r>
          </w:p>
        </w:tc>
        <w:tc>
          <w:tcPr>
            <w:tcW w:w="509" w:type="pct"/>
            <w:tcBorders>
              <w:top w:val="nil"/>
              <w:left w:val="nil"/>
              <w:bottom w:val="nil"/>
              <w:right w:val="nil"/>
            </w:tcBorders>
            <w:shd w:val="clear" w:color="auto" w:fill="auto"/>
            <w:noWrap/>
            <w:vAlign w:val="bottom"/>
            <w:hideMark/>
          </w:tcPr>
          <w:p w14:paraId="3EFB32E7"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ABARELIX</w:t>
            </w:r>
          </w:p>
        </w:tc>
        <w:tc>
          <w:tcPr>
            <w:tcW w:w="277" w:type="pct"/>
            <w:tcBorders>
              <w:top w:val="nil"/>
              <w:left w:val="nil"/>
              <w:bottom w:val="nil"/>
              <w:right w:val="nil"/>
            </w:tcBorders>
            <w:shd w:val="clear" w:color="auto" w:fill="auto"/>
            <w:noWrap/>
            <w:vAlign w:val="bottom"/>
            <w:hideMark/>
          </w:tcPr>
          <w:p w14:paraId="45DC9B03"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-9.85</w:t>
            </w:r>
          </w:p>
        </w:tc>
        <w:tc>
          <w:tcPr>
            <w:tcW w:w="549" w:type="pct"/>
            <w:tcBorders>
              <w:top w:val="nil"/>
              <w:left w:val="nil"/>
              <w:bottom w:val="nil"/>
              <w:right w:val="nil"/>
            </w:tcBorders>
            <w:shd w:val="clear" w:color="auto" w:fill="auto"/>
            <w:noWrap/>
            <w:vAlign w:val="bottom"/>
            <w:hideMark/>
          </w:tcPr>
          <w:p w14:paraId="3B33ACC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HISTRELIN</w:t>
            </w:r>
          </w:p>
        </w:tc>
        <w:tc>
          <w:tcPr>
            <w:tcW w:w="271" w:type="pct"/>
            <w:tcBorders>
              <w:top w:val="nil"/>
              <w:left w:val="nil"/>
              <w:bottom w:val="nil"/>
              <w:right w:val="nil"/>
            </w:tcBorders>
            <w:shd w:val="clear" w:color="auto" w:fill="auto"/>
            <w:noWrap/>
            <w:vAlign w:val="bottom"/>
            <w:hideMark/>
          </w:tcPr>
          <w:p w14:paraId="48788E09"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-9.09</w:t>
            </w:r>
          </w:p>
        </w:tc>
        <w:tc>
          <w:tcPr>
            <w:tcW w:w="551" w:type="pct"/>
            <w:tcBorders>
              <w:top w:val="nil"/>
              <w:left w:val="nil"/>
              <w:bottom w:val="nil"/>
              <w:right w:val="nil"/>
            </w:tcBorders>
            <w:shd w:val="clear" w:color="auto" w:fill="auto"/>
            <w:noWrap/>
            <w:vAlign w:val="bottom"/>
            <w:hideMark/>
          </w:tcPr>
          <w:p w14:paraId="53EDC22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ELBASVIR</w:t>
            </w:r>
          </w:p>
        </w:tc>
        <w:tc>
          <w:tcPr>
            <w:tcW w:w="276" w:type="pct"/>
            <w:tcBorders>
              <w:top w:val="nil"/>
              <w:left w:val="nil"/>
              <w:bottom w:val="nil"/>
              <w:right w:val="nil"/>
            </w:tcBorders>
            <w:shd w:val="clear" w:color="auto" w:fill="auto"/>
            <w:noWrap/>
            <w:vAlign w:val="bottom"/>
            <w:hideMark/>
          </w:tcPr>
          <w:p w14:paraId="633DB4DF"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-9.61</w:t>
            </w:r>
          </w:p>
        </w:tc>
        <w:tc>
          <w:tcPr>
            <w:tcW w:w="640" w:type="pct"/>
            <w:tcBorders>
              <w:top w:val="nil"/>
              <w:left w:val="nil"/>
              <w:bottom w:val="nil"/>
              <w:right w:val="nil"/>
            </w:tcBorders>
            <w:shd w:val="clear" w:color="auto" w:fill="auto"/>
            <w:noWrap/>
            <w:vAlign w:val="bottom"/>
            <w:hideMark/>
          </w:tcPr>
          <w:p w14:paraId="5150A807"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NILOTINIB</w:t>
            </w:r>
          </w:p>
        </w:tc>
        <w:tc>
          <w:tcPr>
            <w:tcW w:w="276" w:type="pct"/>
            <w:tcBorders>
              <w:top w:val="nil"/>
              <w:left w:val="nil"/>
              <w:bottom w:val="nil"/>
              <w:right w:val="nil"/>
            </w:tcBorders>
            <w:shd w:val="clear" w:color="auto" w:fill="auto"/>
            <w:noWrap/>
            <w:vAlign w:val="bottom"/>
            <w:hideMark/>
          </w:tcPr>
          <w:p w14:paraId="1E4AE64B"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-9.53</w:t>
            </w:r>
          </w:p>
        </w:tc>
        <w:tc>
          <w:tcPr>
            <w:tcW w:w="550" w:type="pct"/>
            <w:tcBorders>
              <w:top w:val="nil"/>
              <w:left w:val="nil"/>
              <w:bottom w:val="nil"/>
              <w:right w:val="nil"/>
            </w:tcBorders>
            <w:shd w:val="clear" w:color="auto" w:fill="auto"/>
            <w:noWrap/>
            <w:vAlign w:val="bottom"/>
            <w:hideMark/>
          </w:tcPr>
          <w:p w14:paraId="3A71853E"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PALIPERIDONE-PALMITATE</w:t>
            </w:r>
          </w:p>
        </w:tc>
        <w:tc>
          <w:tcPr>
            <w:tcW w:w="275" w:type="pct"/>
            <w:tcBorders>
              <w:top w:val="nil"/>
              <w:left w:val="nil"/>
              <w:bottom w:val="nil"/>
              <w:right w:val="nil"/>
            </w:tcBorders>
            <w:shd w:val="clear" w:color="auto" w:fill="auto"/>
            <w:noWrap/>
            <w:vAlign w:val="bottom"/>
            <w:hideMark/>
          </w:tcPr>
          <w:p w14:paraId="301165A1"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-9.39</w:t>
            </w:r>
          </w:p>
        </w:tc>
      </w:tr>
      <w:tr w:rsidR="00A709DB" w:rsidRPr="00E21F8C" w14:paraId="45ADAAAB" w14:textId="77777777" w:rsidTr="00A35A95">
        <w:trPr>
          <w:trHeight w:val="320"/>
        </w:trPr>
        <w:tc>
          <w:tcPr>
            <w:tcW w:w="551" w:type="pct"/>
            <w:tcBorders>
              <w:top w:val="nil"/>
              <w:left w:val="nil"/>
              <w:bottom w:val="nil"/>
              <w:right w:val="nil"/>
            </w:tcBorders>
            <w:shd w:val="clear" w:color="auto" w:fill="auto"/>
            <w:noWrap/>
            <w:vAlign w:val="bottom"/>
            <w:hideMark/>
          </w:tcPr>
          <w:p w14:paraId="62CF7ED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VITAMIN-A-PALMITATE</w:t>
            </w:r>
          </w:p>
        </w:tc>
        <w:tc>
          <w:tcPr>
            <w:tcW w:w="275" w:type="pct"/>
            <w:tcBorders>
              <w:top w:val="nil"/>
              <w:left w:val="nil"/>
              <w:bottom w:val="nil"/>
              <w:right w:val="nil"/>
            </w:tcBorders>
            <w:shd w:val="clear" w:color="auto" w:fill="auto"/>
            <w:noWrap/>
            <w:vAlign w:val="bottom"/>
            <w:hideMark/>
          </w:tcPr>
          <w:p w14:paraId="4D4263D6"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-9.13</w:t>
            </w:r>
          </w:p>
        </w:tc>
        <w:tc>
          <w:tcPr>
            <w:tcW w:w="509" w:type="pct"/>
            <w:tcBorders>
              <w:top w:val="nil"/>
              <w:left w:val="nil"/>
              <w:bottom w:val="nil"/>
              <w:right w:val="nil"/>
            </w:tcBorders>
            <w:shd w:val="clear" w:color="auto" w:fill="auto"/>
            <w:noWrap/>
            <w:vAlign w:val="bottom"/>
            <w:hideMark/>
          </w:tcPr>
          <w:p w14:paraId="06FCDF23"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CALICHEAMICIN</w:t>
            </w:r>
          </w:p>
        </w:tc>
        <w:tc>
          <w:tcPr>
            <w:tcW w:w="277" w:type="pct"/>
            <w:tcBorders>
              <w:top w:val="nil"/>
              <w:left w:val="nil"/>
              <w:bottom w:val="nil"/>
              <w:right w:val="nil"/>
            </w:tcBorders>
            <w:shd w:val="clear" w:color="auto" w:fill="auto"/>
            <w:noWrap/>
            <w:vAlign w:val="bottom"/>
            <w:hideMark/>
          </w:tcPr>
          <w:p w14:paraId="2E0905C0"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-9.82</w:t>
            </w:r>
          </w:p>
        </w:tc>
        <w:tc>
          <w:tcPr>
            <w:tcW w:w="549" w:type="pct"/>
            <w:tcBorders>
              <w:top w:val="nil"/>
              <w:left w:val="nil"/>
              <w:bottom w:val="nil"/>
              <w:right w:val="nil"/>
            </w:tcBorders>
            <w:shd w:val="clear" w:color="auto" w:fill="auto"/>
            <w:noWrap/>
            <w:vAlign w:val="bottom"/>
            <w:hideMark/>
          </w:tcPr>
          <w:p w14:paraId="2B2E6DE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CALICHEAMICIN</w:t>
            </w:r>
          </w:p>
        </w:tc>
        <w:tc>
          <w:tcPr>
            <w:tcW w:w="271" w:type="pct"/>
            <w:tcBorders>
              <w:top w:val="nil"/>
              <w:left w:val="nil"/>
              <w:bottom w:val="nil"/>
              <w:right w:val="nil"/>
            </w:tcBorders>
            <w:shd w:val="clear" w:color="auto" w:fill="auto"/>
            <w:noWrap/>
            <w:vAlign w:val="bottom"/>
            <w:hideMark/>
          </w:tcPr>
          <w:p w14:paraId="2F3AA72F"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-9.07</w:t>
            </w:r>
          </w:p>
        </w:tc>
        <w:tc>
          <w:tcPr>
            <w:tcW w:w="551" w:type="pct"/>
            <w:tcBorders>
              <w:top w:val="nil"/>
              <w:left w:val="nil"/>
              <w:bottom w:val="nil"/>
              <w:right w:val="nil"/>
            </w:tcBorders>
            <w:shd w:val="clear" w:color="auto" w:fill="auto"/>
            <w:noWrap/>
            <w:vAlign w:val="bottom"/>
            <w:hideMark/>
          </w:tcPr>
          <w:p w14:paraId="782C8A5E"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LAPATINIB</w:t>
            </w:r>
          </w:p>
        </w:tc>
        <w:tc>
          <w:tcPr>
            <w:tcW w:w="276" w:type="pct"/>
            <w:tcBorders>
              <w:top w:val="nil"/>
              <w:left w:val="nil"/>
              <w:bottom w:val="nil"/>
              <w:right w:val="nil"/>
            </w:tcBorders>
            <w:shd w:val="clear" w:color="auto" w:fill="auto"/>
            <w:noWrap/>
            <w:vAlign w:val="bottom"/>
            <w:hideMark/>
          </w:tcPr>
          <w:p w14:paraId="5FC51F40"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-9.61</w:t>
            </w:r>
          </w:p>
        </w:tc>
        <w:tc>
          <w:tcPr>
            <w:tcW w:w="640" w:type="pct"/>
            <w:tcBorders>
              <w:top w:val="nil"/>
              <w:left w:val="nil"/>
              <w:bottom w:val="nil"/>
              <w:right w:val="nil"/>
            </w:tcBorders>
            <w:shd w:val="clear" w:color="auto" w:fill="auto"/>
            <w:noWrap/>
            <w:vAlign w:val="bottom"/>
            <w:hideMark/>
          </w:tcPr>
          <w:p w14:paraId="284CB1B1"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POSACONAZOLE</w:t>
            </w:r>
          </w:p>
        </w:tc>
        <w:tc>
          <w:tcPr>
            <w:tcW w:w="276" w:type="pct"/>
            <w:tcBorders>
              <w:top w:val="nil"/>
              <w:left w:val="nil"/>
              <w:bottom w:val="nil"/>
              <w:right w:val="nil"/>
            </w:tcBorders>
            <w:shd w:val="clear" w:color="auto" w:fill="auto"/>
            <w:noWrap/>
            <w:vAlign w:val="bottom"/>
            <w:hideMark/>
          </w:tcPr>
          <w:p w14:paraId="2149AC2B"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-9.51</w:t>
            </w:r>
          </w:p>
        </w:tc>
        <w:tc>
          <w:tcPr>
            <w:tcW w:w="550" w:type="pct"/>
            <w:tcBorders>
              <w:top w:val="nil"/>
              <w:left w:val="nil"/>
              <w:bottom w:val="nil"/>
              <w:right w:val="nil"/>
            </w:tcBorders>
            <w:shd w:val="clear" w:color="auto" w:fill="auto"/>
            <w:noWrap/>
            <w:vAlign w:val="bottom"/>
            <w:hideMark/>
          </w:tcPr>
          <w:p w14:paraId="225EB16F"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MIVACURIUM</w:t>
            </w:r>
          </w:p>
        </w:tc>
        <w:tc>
          <w:tcPr>
            <w:tcW w:w="275" w:type="pct"/>
            <w:tcBorders>
              <w:top w:val="nil"/>
              <w:left w:val="nil"/>
              <w:bottom w:val="nil"/>
              <w:right w:val="nil"/>
            </w:tcBorders>
            <w:shd w:val="clear" w:color="auto" w:fill="auto"/>
            <w:noWrap/>
            <w:vAlign w:val="bottom"/>
            <w:hideMark/>
          </w:tcPr>
          <w:p w14:paraId="25C9B190"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-9.39</w:t>
            </w:r>
          </w:p>
        </w:tc>
      </w:tr>
      <w:tr w:rsidR="00A709DB" w:rsidRPr="00E21F8C" w14:paraId="2F4A885A" w14:textId="77777777" w:rsidTr="00A35A95">
        <w:trPr>
          <w:trHeight w:val="320"/>
        </w:trPr>
        <w:tc>
          <w:tcPr>
            <w:tcW w:w="551" w:type="pct"/>
            <w:tcBorders>
              <w:top w:val="nil"/>
              <w:left w:val="nil"/>
              <w:bottom w:val="nil"/>
              <w:right w:val="nil"/>
            </w:tcBorders>
            <w:shd w:val="clear" w:color="auto" w:fill="auto"/>
            <w:noWrap/>
            <w:vAlign w:val="bottom"/>
            <w:hideMark/>
          </w:tcPr>
          <w:p w14:paraId="3279354B"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ABARELIX</w:t>
            </w:r>
          </w:p>
        </w:tc>
        <w:tc>
          <w:tcPr>
            <w:tcW w:w="275" w:type="pct"/>
            <w:tcBorders>
              <w:top w:val="nil"/>
              <w:left w:val="nil"/>
              <w:bottom w:val="nil"/>
              <w:right w:val="nil"/>
            </w:tcBorders>
            <w:shd w:val="clear" w:color="auto" w:fill="auto"/>
            <w:noWrap/>
            <w:vAlign w:val="bottom"/>
            <w:hideMark/>
          </w:tcPr>
          <w:p w14:paraId="6EFE498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-9.01</w:t>
            </w:r>
          </w:p>
        </w:tc>
        <w:tc>
          <w:tcPr>
            <w:tcW w:w="509" w:type="pct"/>
            <w:tcBorders>
              <w:top w:val="nil"/>
              <w:left w:val="nil"/>
              <w:bottom w:val="nil"/>
              <w:right w:val="nil"/>
            </w:tcBorders>
            <w:shd w:val="clear" w:color="auto" w:fill="auto"/>
            <w:noWrap/>
            <w:vAlign w:val="bottom"/>
            <w:hideMark/>
          </w:tcPr>
          <w:p w14:paraId="2C586EC1"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CETRORELIX</w:t>
            </w:r>
          </w:p>
        </w:tc>
        <w:tc>
          <w:tcPr>
            <w:tcW w:w="277" w:type="pct"/>
            <w:tcBorders>
              <w:top w:val="nil"/>
              <w:left w:val="nil"/>
              <w:bottom w:val="nil"/>
              <w:right w:val="nil"/>
            </w:tcBorders>
            <w:shd w:val="clear" w:color="auto" w:fill="auto"/>
            <w:noWrap/>
            <w:vAlign w:val="bottom"/>
            <w:hideMark/>
          </w:tcPr>
          <w:p w14:paraId="579DB55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-9.81</w:t>
            </w:r>
          </w:p>
        </w:tc>
        <w:tc>
          <w:tcPr>
            <w:tcW w:w="549" w:type="pct"/>
            <w:tcBorders>
              <w:top w:val="nil"/>
              <w:left w:val="nil"/>
              <w:bottom w:val="nil"/>
              <w:right w:val="nil"/>
            </w:tcBorders>
            <w:shd w:val="clear" w:color="auto" w:fill="auto"/>
            <w:noWrap/>
            <w:vAlign w:val="bottom"/>
            <w:hideMark/>
          </w:tcPr>
          <w:p w14:paraId="58435CB1"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BETA-CAROTENE</w:t>
            </w:r>
          </w:p>
        </w:tc>
        <w:tc>
          <w:tcPr>
            <w:tcW w:w="271" w:type="pct"/>
            <w:tcBorders>
              <w:top w:val="nil"/>
              <w:left w:val="nil"/>
              <w:bottom w:val="nil"/>
              <w:right w:val="nil"/>
            </w:tcBorders>
            <w:shd w:val="clear" w:color="auto" w:fill="auto"/>
            <w:noWrap/>
            <w:vAlign w:val="bottom"/>
            <w:hideMark/>
          </w:tcPr>
          <w:p w14:paraId="2B47DD13"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-9.06</w:t>
            </w:r>
          </w:p>
        </w:tc>
        <w:tc>
          <w:tcPr>
            <w:tcW w:w="551" w:type="pct"/>
            <w:tcBorders>
              <w:top w:val="nil"/>
              <w:left w:val="nil"/>
              <w:bottom w:val="nil"/>
              <w:right w:val="nil"/>
            </w:tcBorders>
            <w:shd w:val="clear" w:color="auto" w:fill="auto"/>
            <w:noWrap/>
            <w:vAlign w:val="bottom"/>
            <w:hideMark/>
          </w:tcPr>
          <w:p w14:paraId="7EF8F58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LEUPROLIDE</w:t>
            </w:r>
          </w:p>
        </w:tc>
        <w:tc>
          <w:tcPr>
            <w:tcW w:w="276" w:type="pct"/>
            <w:tcBorders>
              <w:top w:val="nil"/>
              <w:left w:val="nil"/>
              <w:bottom w:val="nil"/>
              <w:right w:val="nil"/>
            </w:tcBorders>
            <w:shd w:val="clear" w:color="auto" w:fill="auto"/>
            <w:noWrap/>
            <w:vAlign w:val="bottom"/>
            <w:hideMark/>
          </w:tcPr>
          <w:p w14:paraId="2FEFE46E"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-9.6</w:t>
            </w:r>
          </w:p>
        </w:tc>
        <w:tc>
          <w:tcPr>
            <w:tcW w:w="640" w:type="pct"/>
            <w:tcBorders>
              <w:top w:val="nil"/>
              <w:left w:val="nil"/>
              <w:bottom w:val="nil"/>
              <w:right w:val="nil"/>
            </w:tcBorders>
            <w:shd w:val="clear" w:color="auto" w:fill="auto"/>
            <w:noWrap/>
            <w:vAlign w:val="bottom"/>
            <w:hideMark/>
          </w:tcPr>
          <w:p w14:paraId="211B2635"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DACLATASVIR</w:t>
            </w:r>
          </w:p>
        </w:tc>
        <w:tc>
          <w:tcPr>
            <w:tcW w:w="276" w:type="pct"/>
            <w:tcBorders>
              <w:top w:val="nil"/>
              <w:left w:val="nil"/>
              <w:bottom w:val="nil"/>
              <w:right w:val="nil"/>
            </w:tcBorders>
            <w:shd w:val="clear" w:color="auto" w:fill="auto"/>
            <w:noWrap/>
            <w:vAlign w:val="bottom"/>
            <w:hideMark/>
          </w:tcPr>
          <w:p w14:paraId="2995755B"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-9.50</w:t>
            </w:r>
          </w:p>
        </w:tc>
        <w:tc>
          <w:tcPr>
            <w:tcW w:w="550" w:type="pct"/>
            <w:tcBorders>
              <w:top w:val="nil"/>
              <w:left w:val="nil"/>
              <w:bottom w:val="nil"/>
              <w:right w:val="nil"/>
            </w:tcBorders>
            <w:shd w:val="clear" w:color="auto" w:fill="auto"/>
            <w:noWrap/>
            <w:vAlign w:val="bottom"/>
            <w:hideMark/>
          </w:tcPr>
          <w:p w14:paraId="65C3DD1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PLICAMYCIN</w:t>
            </w:r>
          </w:p>
        </w:tc>
        <w:tc>
          <w:tcPr>
            <w:tcW w:w="275" w:type="pct"/>
            <w:tcBorders>
              <w:top w:val="nil"/>
              <w:left w:val="nil"/>
              <w:bottom w:val="nil"/>
              <w:right w:val="nil"/>
            </w:tcBorders>
            <w:shd w:val="clear" w:color="auto" w:fill="auto"/>
            <w:noWrap/>
            <w:vAlign w:val="bottom"/>
            <w:hideMark/>
          </w:tcPr>
          <w:p w14:paraId="26052AE0"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-9.38</w:t>
            </w:r>
          </w:p>
        </w:tc>
      </w:tr>
      <w:tr w:rsidR="00A709DB" w:rsidRPr="00E21F8C" w14:paraId="368E5168" w14:textId="77777777" w:rsidTr="00A35A95">
        <w:trPr>
          <w:trHeight w:val="320"/>
        </w:trPr>
        <w:tc>
          <w:tcPr>
            <w:tcW w:w="551" w:type="pct"/>
            <w:tcBorders>
              <w:top w:val="nil"/>
              <w:left w:val="nil"/>
              <w:bottom w:val="nil"/>
              <w:right w:val="nil"/>
            </w:tcBorders>
            <w:shd w:val="clear" w:color="auto" w:fill="auto"/>
            <w:noWrap/>
            <w:vAlign w:val="bottom"/>
            <w:hideMark/>
          </w:tcPr>
          <w:p w14:paraId="595DA848"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DELAVIRDINE</w:t>
            </w:r>
          </w:p>
        </w:tc>
        <w:tc>
          <w:tcPr>
            <w:tcW w:w="275" w:type="pct"/>
            <w:tcBorders>
              <w:top w:val="nil"/>
              <w:left w:val="nil"/>
              <w:bottom w:val="nil"/>
              <w:right w:val="nil"/>
            </w:tcBorders>
            <w:shd w:val="clear" w:color="auto" w:fill="auto"/>
            <w:noWrap/>
            <w:vAlign w:val="bottom"/>
            <w:hideMark/>
          </w:tcPr>
          <w:p w14:paraId="790DA5D9"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-8.98</w:t>
            </w:r>
          </w:p>
        </w:tc>
        <w:tc>
          <w:tcPr>
            <w:tcW w:w="509" w:type="pct"/>
            <w:tcBorders>
              <w:top w:val="nil"/>
              <w:left w:val="nil"/>
              <w:bottom w:val="nil"/>
              <w:right w:val="nil"/>
            </w:tcBorders>
            <w:shd w:val="clear" w:color="auto" w:fill="auto"/>
            <w:noWrap/>
            <w:vAlign w:val="bottom"/>
            <w:hideMark/>
          </w:tcPr>
          <w:p w14:paraId="1BA071E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VELPATASVIR</w:t>
            </w:r>
          </w:p>
        </w:tc>
        <w:tc>
          <w:tcPr>
            <w:tcW w:w="277" w:type="pct"/>
            <w:tcBorders>
              <w:top w:val="nil"/>
              <w:left w:val="nil"/>
              <w:bottom w:val="nil"/>
              <w:right w:val="nil"/>
            </w:tcBorders>
            <w:shd w:val="clear" w:color="auto" w:fill="auto"/>
            <w:noWrap/>
            <w:vAlign w:val="bottom"/>
            <w:hideMark/>
          </w:tcPr>
          <w:p w14:paraId="753EF00D"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-9.75</w:t>
            </w:r>
          </w:p>
        </w:tc>
        <w:tc>
          <w:tcPr>
            <w:tcW w:w="549" w:type="pct"/>
            <w:tcBorders>
              <w:top w:val="nil"/>
              <w:left w:val="nil"/>
              <w:bottom w:val="nil"/>
              <w:right w:val="nil"/>
            </w:tcBorders>
            <w:shd w:val="clear" w:color="auto" w:fill="auto"/>
            <w:noWrap/>
            <w:vAlign w:val="bottom"/>
            <w:hideMark/>
          </w:tcPr>
          <w:p w14:paraId="0A8C1EF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DOXACURIUM</w:t>
            </w:r>
          </w:p>
        </w:tc>
        <w:tc>
          <w:tcPr>
            <w:tcW w:w="271" w:type="pct"/>
            <w:tcBorders>
              <w:top w:val="nil"/>
              <w:left w:val="nil"/>
              <w:bottom w:val="nil"/>
              <w:right w:val="nil"/>
            </w:tcBorders>
            <w:shd w:val="clear" w:color="auto" w:fill="auto"/>
            <w:noWrap/>
            <w:vAlign w:val="bottom"/>
            <w:hideMark/>
          </w:tcPr>
          <w:p w14:paraId="3C8C56C6"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-9.04</w:t>
            </w:r>
          </w:p>
        </w:tc>
        <w:tc>
          <w:tcPr>
            <w:tcW w:w="551" w:type="pct"/>
            <w:tcBorders>
              <w:top w:val="nil"/>
              <w:left w:val="nil"/>
              <w:bottom w:val="nil"/>
              <w:right w:val="nil"/>
            </w:tcBorders>
            <w:shd w:val="clear" w:color="auto" w:fill="auto"/>
            <w:noWrap/>
            <w:vAlign w:val="bottom"/>
            <w:hideMark/>
          </w:tcPr>
          <w:p w14:paraId="6EE9C57D"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METOCURINE</w:t>
            </w:r>
          </w:p>
        </w:tc>
        <w:tc>
          <w:tcPr>
            <w:tcW w:w="276" w:type="pct"/>
            <w:tcBorders>
              <w:top w:val="nil"/>
              <w:left w:val="nil"/>
              <w:bottom w:val="nil"/>
              <w:right w:val="nil"/>
            </w:tcBorders>
            <w:shd w:val="clear" w:color="auto" w:fill="auto"/>
            <w:noWrap/>
            <w:vAlign w:val="bottom"/>
            <w:hideMark/>
          </w:tcPr>
          <w:p w14:paraId="194A4B4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-9.58</w:t>
            </w:r>
          </w:p>
        </w:tc>
        <w:tc>
          <w:tcPr>
            <w:tcW w:w="640" w:type="pct"/>
            <w:tcBorders>
              <w:top w:val="nil"/>
              <w:left w:val="nil"/>
              <w:bottom w:val="nil"/>
              <w:right w:val="nil"/>
            </w:tcBorders>
            <w:shd w:val="clear" w:color="auto" w:fill="auto"/>
            <w:noWrap/>
            <w:vAlign w:val="bottom"/>
            <w:hideMark/>
          </w:tcPr>
          <w:p w14:paraId="5236371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ZAFIRLUKAST</w:t>
            </w:r>
          </w:p>
        </w:tc>
        <w:tc>
          <w:tcPr>
            <w:tcW w:w="276" w:type="pct"/>
            <w:tcBorders>
              <w:top w:val="nil"/>
              <w:left w:val="nil"/>
              <w:bottom w:val="nil"/>
              <w:right w:val="nil"/>
            </w:tcBorders>
            <w:shd w:val="clear" w:color="auto" w:fill="auto"/>
            <w:noWrap/>
            <w:vAlign w:val="bottom"/>
            <w:hideMark/>
          </w:tcPr>
          <w:p w14:paraId="04ED0AF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-9.47</w:t>
            </w:r>
          </w:p>
        </w:tc>
        <w:tc>
          <w:tcPr>
            <w:tcW w:w="550" w:type="pct"/>
            <w:tcBorders>
              <w:top w:val="nil"/>
              <w:left w:val="nil"/>
              <w:bottom w:val="nil"/>
              <w:right w:val="nil"/>
            </w:tcBorders>
            <w:shd w:val="clear" w:color="auto" w:fill="auto"/>
            <w:noWrap/>
            <w:vAlign w:val="bottom"/>
            <w:hideMark/>
          </w:tcPr>
          <w:p w14:paraId="14CB28E9"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CETRORELIX</w:t>
            </w:r>
          </w:p>
        </w:tc>
        <w:tc>
          <w:tcPr>
            <w:tcW w:w="275" w:type="pct"/>
            <w:tcBorders>
              <w:top w:val="nil"/>
              <w:left w:val="nil"/>
              <w:bottom w:val="nil"/>
              <w:right w:val="nil"/>
            </w:tcBorders>
            <w:shd w:val="clear" w:color="auto" w:fill="auto"/>
            <w:noWrap/>
            <w:vAlign w:val="bottom"/>
            <w:hideMark/>
          </w:tcPr>
          <w:p w14:paraId="50ED316F"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-9.34</w:t>
            </w:r>
          </w:p>
        </w:tc>
      </w:tr>
      <w:tr w:rsidR="00A709DB" w:rsidRPr="00E21F8C" w14:paraId="4411E98B" w14:textId="77777777" w:rsidTr="00A35A95">
        <w:trPr>
          <w:trHeight w:val="320"/>
        </w:trPr>
        <w:tc>
          <w:tcPr>
            <w:tcW w:w="551" w:type="pct"/>
            <w:tcBorders>
              <w:top w:val="nil"/>
              <w:left w:val="nil"/>
              <w:bottom w:val="nil"/>
              <w:right w:val="nil"/>
            </w:tcBorders>
            <w:shd w:val="clear" w:color="auto" w:fill="auto"/>
            <w:noWrap/>
            <w:vAlign w:val="bottom"/>
            <w:hideMark/>
          </w:tcPr>
          <w:p w14:paraId="0CD5D3B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CANAGLIFLOZIN</w:t>
            </w:r>
          </w:p>
        </w:tc>
        <w:tc>
          <w:tcPr>
            <w:tcW w:w="275" w:type="pct"/>
            <w:tcBorders>
              <w:top w:val="nil"/>
              <w:left w:val="nil"/>
              <w:bottom w:val="nil"/>
              <w:right w:val="nil"/>
            </w:tcBorders>
            <w:shd w:val="clear" w:color="auto" w:fill="auto"/>
            <w:noWrap/>
            <w:vAlign w:val="bottom"/>
            <w:hideMark/>
          </w:tcPr>
          <w:p w14:paraId="022780D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-8.98</w:t>
            </w:r>
          </w:p>
        </w:tc>
        <w:tc>
          <w:tcPr>
            <w:tcW w:w="509" w:type="pct"/>
            <w:tcBorders>
              <w:top w:val="nil"/>
              <w:left w:val="nil"/>
              <w:bottom w:val="nil"/>
              <w:right w:val="nil"/>
            </w:tcBorders>
            <w:shd w:val="clear" w:color="auto" w:fill="auto"/>
            <w:noWrap/>
            <w:vAlign w:val="bottom"/>
            <w:hideMark/>
          </w:tcPr>
          <w:p w14:paraId="4085EFB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DUTASTERIDE</w:t>
            </w:r>
          </w:p>
        </w:tc>
        <w:tc>
          <w:tcPr>
            <w:tcW w:w="277" w:type="pct"/>
            <w:tcBorders>
              <w:top w:val="nil"/>
              <w:left w:val="nil"/>
              <w:bottom w:val="nil"/>
              <w:right w:val="nil"/>
            </w:tcBorders>
            <w:shd w:val="clear" w:color="auto" w:fill="auto"/>
            <w:noWrap/>
            <w:vAlign w:val="bottom"/>
            <w:hideMark/>
          </w:tcPr>
          <w:p w14:paraId="6D4A7A9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-9.73</w:t>
            </w:r>
          </w:p>
        </w:tc>
        <w:tc>
          <w:tcPr>
            <w:tcW w:w="549" w:type="pct"/>
            <w:tcBorders>
              <w:top w:val="nil"/>
              <w:left w:val="nil"/>
              <w:bottom w:val="nil"/>
              <w:right w:val="nil"/>
            </w:tcBorders>
            <w:shd w:val="clear" w:color="auto" w:fill="auto"/>
            <w:noWrap/>
            <w:vAlign w:val="bottom"/>
            <w:hideMark/>
          </w:tcPr>
          <w:p w14:paraId="5D4D5F99"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PALIPERIDONE-PALMITATE</w:t>
            </w:r>
          </w:p>
        </w:tc>
        <w:tc>
          <w:tcPr>
            <w:tcW w:w="271" w:type="pct"/>
            <w:tcBorders>
              <w:top w:val="nil"/>
              <w:left w:val="nil"/>
              <w:bottom w:val="nil"/>
              <w:right w:val="nil"/>
            </w:tcBorders>
            <w:shd w:val="clear" w:color="auto" w:fill="auto"/>
            <w:noWrap/>
            <w:vAlign w:val="bottom"/>
            <w:hideMark/>
          </w:tcPr>
          <w:p w14:paraId="7C5956B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-9.00</w:t>
            </w:r>
          </w:p>
        </w:tc>
        <w:tc>
          <w:tcPr>
            <w:tcW w:w="551" w:type="pct"/>
            <w:tcBorders>
              <w:top w:val="nil"/>
              <w:left w:val="nil"/>
              <w:bottom w:val="nil"/>
              <w:right w:val="nil"/>
            </w:tcBorders>
            <w:shd w:val="clear" w:color="auto" w:fill="auto"/>
            <w:noWrap/>
            <w:vAlign w:val="bottom"/>
            <w:hideMark/>
          </w:tcPr>
          <w:p w14:paraId="0A604DB3"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TRIPTORELIN</w:t>
            </w:r>
          </w:p>
        </w:tc>
        <w:tc>
          <w:tcPr>
            <w:tcW w:w="276" w:type="pct"/>
            <w:tcBorders>
              <w:top w:val="nil"/>
              <w:left w:val="nil"/>
              <w:bottom w:val="nil"/>
              <w:right w:val="nil"/>
            </w:tcBorders>
            <w:shd w:val="clear" w:color="auto" w:fill="auto"/>
            <w:noWrap/>
            <w:vAlign w:val="bottom"/>
            <w:hideMark/>
          </w:tcPr>
          <w:p w14:paraId="2B918DE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-9.58</w:t>
            </w:r>
          </w:p>
        </w:tc>
        <w:tc>
          <w:tcPr>
            <w:tcW w:w="640" w:type="pct"/>
            <w:tcBorders>
              <w:top w:val="nil"/>
              <w:left w:val="nil"/>
              <w:bottom w:val="nil"/>
              <w:right w:val="nil"/>
            </w:tcBorders>
            <w:shd w:val="clear" w:color="auto" w:fill="auto"/>
            <w:noWrap/>
            <w:vAlign w:val="bottom"/>
            <w:hideMark/>
          </w:tcPr>
          <w:p w14:paraId="09FD30B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SIMEPREVIR</w:t>
            </w:r>
          </w:p>
        </w:tc>
        <w:tc>
          <w:tcPr>
            <w:tcW w:w="276" w:type="pct"/>
            <w:tcBorders>
              <w:top w:val="nil"/>
              <w:left w:val="nil"/>
              <w:bottom w:val="nil"/>
              <w:right w:val="nil"/>
            </w:tcBorders>
            <w:shd w:val="clear" w:color="auto" w:fill="auto"/>
            <w:noWrap/>
            <w:vAlign w:val="bottom"/>
            <w:hideMark/>
          </w:tcPr>
          <w:p w14:paraId="5142512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-9.46</w:t>
            </w:r>
          </w:p>
        </w:tc>
        <w:tc>
          <w:tcPr>
            <w:tcW w:w="550" w:type="pct"/>
            <w:tcBorders>
              <w:top w:val="nil"/>
              <w:left w:val="nil"/>
              <w:bottom w:val="nil"/>
              <w:right w:val="nil"/>
            </w:tcBorders>
            <w:shd w:val="clear" w:color="auto" w:fill="auto"/>
            <w:noWrap/>
            <w:vAlign w:val="bottom"/>
            <w:hideMark/>
          </w:tcPr>
          <w:p w14:paraId="7830A80C"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COBICISTAT</w:t>
            </w:r>
          </w:p>
        </w:tc>
        <w:tc>
          <w:tcPr>
            <w:tcW w:w="275" w:type="pct"/>
            <w:tcBorders>
              <w:top w:val="nil"/>
              <w:left w:val="nil"/>
              <w:bottom w:val="nil"/>
              <w:right w:val="nil"/>
            </w:tcBorders>
            <w:shd w:val="clear" w:color="auto" w:fill="auto"/>
            <w:noWrap/>
            <w:vAlign w:val="bottom"/>
            <w:hideMark/>
          </w:tcPr>
          <w:p w14:paraId="7DABD4D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-9.31</w:t>
            </w:r>
          </w:p>
        </w:tc>
      </w:tr>
      <w:tr w:rsidR="00A709DB" w:rsidRPr="00E21F8C" w14:paraId="6A33C17B" w14:textId="77777777" w:rsidTr="00A35A95">
        <w:trPr>
          <w:trHeight w:val="320"/>
        </w:trPr>
        <w:tc>
          <w:tcPr>
            <w:tcW w:w="551" w:type="pct"/>
            <w:tcBorders>
              <w:top w:val="nil"/>
              <w:left w:val="nil"/>
              <w:bottom w:val="nil"/>
              <w:right w:val="nil"/>
            </w:tcBorders>
            <w:shd w:val="clear" w:color="auto" w:fill="auto"/>
            <w:noWrap/>
            <w:vAlign w:val="bottom"/>
            <w:hideMark/>
          </w:tcPr>
          <w:p w14:paraId="7E394971"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PASIREOTIDE</w:t>
            </w:r>
          </w:p>
        </w:tc>
        <w:tc>
          <w:tcPr>
            <w:tcW w:w="275" w:type="pct"/>
            <w:tcBorders>
              <w:top w:val="nil"/>
              <w:left w:val="nil"/>
              <w:bottom w:val="nil"/>
              <w:right w:val="nil"/>
            </w:tcBorders>
            <w:shd w:val="clear" w:color="auto" w:fill="auto"/>
            <w:noWrap/>
            <w:vAlign w:val="bottom"/>
            <w:hideMark/>
          </w:tcPr>
          <w:p w14:paraId="76C36CFB"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-8.97</w:t>
            </w:r>
          </w:p>
        </w:tc>
        <w:tc>
          <w:tcPr>
            <w:tcW w:w="509" w:type="pct"/>
            <w:tcBorders>
              <w:top w:val="nil"/>
              <w:left w:val="nil"/>
              <w:bottom w:val="nil"/>
              <w:right w:val="nil"/>
            </w:tcBorders>
            <w:shd w:val="clear" w:color="auto" w:fill="auto"/>
            <w:noWrap/>
            <w:vAlign w:val="bottom"/>
            <w:hideMark/>
          </w:tcPr>
          <w:p w14:paraId="4238DFFB"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FLUPHENAZINE-ENANTHATE</w:t>
            </w:r>
          </w:p>
        </w:tc>
        <w:tc>
          <w:tcPr>
            <w:tcW w:w="277" w:type="pct"/>
            <w:tcBorders>
              <w:top w:val="nil"/>
              <w:left w:val="nil"/>
              <w:bottom w:val="nil"/>
              <w:right w:val="nil"/>
            </w:tcBorders>
            <w:shd w:val="clear" w:color="auto" w:fill="auto"/>
            <w:noWrap/>
            <w:vAlign w:val="bottom"/>
            <w:hideMark/>
          </w:tcPr>
          <w:p w14:paraId="1AF5715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-9.72</w:t>
            </w:r>
          </w:p>
        </w:tc>
        <w:tc>
          <w:tcPr>
            <w:tcW w:w="549" w:type="pct"/>
            <w:tcBorders>
              <w:top w:val="nil"/>
              <w:left w:val="nil"/>
              <w:bottom w:val="nil"/>
              <w:right w:val="nil"/>
            </w:tcBorders>
            <w:shd w:val="clear" w:color="auto" w:fill="auto"/>
            <w:noWrap/>
            <w:vAlign w:val="bottom"/>
            <w:hideMark/>
          </w:tcPr>
          <w:p w14:paraId="550998DA"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ICATIBANT</w:t>
            </w:r>
          </w:p>
        </w:tc>
        <w:tc>
          <w:tcPr>
            <w:tcW w:w="271" w:type="pct"/>
            <w:tcBorders>
              <w:top w:val="nil"/>
              <w:left w:val="nil"/>
              <w:bottom w:val="nil"/>
              <w:right w:val="nil"/>
            </w:tcBorders>
            <w:shd w:val="clear" w:color="auto" w:fill="auto"/>
            <w:noWrap/>
            <w:vAlign w:val="bottom"/>
            <w:hideMark/>
          </w:tcPr>
          <w:p w14:paraId="6C39CE4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-8.97</w:t>
            </w:r>
          </w:p>
        </w:tc>
        <w:tc>
          <w:tcPr>
            <w:tcW w:w="551" w:type="pct"/>
            <w:tcBorders>
              <w:top w:val="nil"/>
              <w:left w:val="nil"/>
              <w:bottom w:val="nil"/>
              <w:right w:val="nil"/>
            </w:tcBorders>
            <w:shd w:val="clear" w:color="auto" w:fill="auto"/>
            <w:noWrap/>
            <w:vAlign w:val="bottom"/>
            <w:hideMark/>
          </w:tcPr>
          <w:p w14:paraId="00AAF633"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PIBRENTASVIR</w:t>
            </w:r>
          </w:p>
        </w:tc>
        <w:tc>
          <w:tcPr>
            <w:tcW w:w="276" w:type="pct"/>
            <w:tcBorders>
              <w:top w:val="nil"/>
              <w:left w:val="nil"/>
              <w:bottom w:val="nil"/>
              <w:right w:val="nil"/>
            </w:tcBorders>
            <w:shd w:val="clear" w:color="auto" w:fill="auto"/>
            <w:noWrap/>
            <w:vAlign w:val="bottom"/>
            <w:hideMark/>
          </w:tcPr>
          <w:p w14:paraId="39B3C0CB"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-9.56</w:t>
            </w:r>
          </w:p>
        </w:tc>
        <w:tc>
          <w:tcPr>
            <w:tcW w:w="640" w:type="pct"/>
            <w:tcBorders>
              <w:top w:val="nil"/>
              <w:left w:val="nil"/>
              <w:bottom w:val="nil"/>
              <w:right w:val="nil"/>
            </w:tcBorders>
            <w:shd w:val="clear" w:color="auto" w:fill="auto"/>
            <w:noWrap/>
            <w:vAlign w:val="bottom"/>
            <w:hideMark/>
          </w:tcPr>
          <w:p w14:paraId="3FF8036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PASIREOTIDE</w:t>
            </w:r>
          </w:p>
        </w:tc>
        <w:tc>
          <w:tcPr>
            <w:tcW w:w="276" w:type="pct"/>
            <w:tcBorders>
              <w:top w:val="nil"/>
              <w:left w:val="nil"/>
              <w:bottom w:val="nil"/>
              <w:right w:val="nil"/>
            </w:tcBorders>
            <w:shd w:val="clear" w:color="auto" w:fill="auto"/>
            <w:noWrap/>
            <w:vAlign w:val="bottom"/>
            <w:hideMark/>
          </w:tcPr>
          <w:p w14:paraId="28A7CC61"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-9.46</w:t>
            </w:r>
          </w:p>
        </w:tc>
        <w:tc>
          <w:tcPr>
            <w:tcW w:w="550" w:type="pct"/>
            <w:tcBorders>
              <w:top w:val="nil"/>
              <w:left w:val="nil"/>
              <w:bottom w:val="nil"/>
              <w:right w:val="nil"/>
            </w:tcBorders>
            <w:shd w:val="clear" w:color="auto" w:fill="auto"/>
            <w:noWrap/>
            <w:vAlign w:val="bottom"/>
            <w:hideMark/>
          </w:tcPr>
          <w:p w14:paraId="48587B08"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ABARELIX</w:t>
            </w:r>
          </w:p>
        </w:tc>
        <w:tc>
          <w:tcPr>
            <w:tcW w:w="275" w:type="pct"/>
            <w:tcBorders>
              <w:top w:val="nil"/>
              <w:left w:val="nil"/>
              <w:bottom w:val="nil"/>
              <w:right w:val="nil"/>
            </w:tcBorders>
            <w:shd w:val="clear" w:color="auto" w:fill="auto"/>
            <w:noWrap/>
            <w:vAlign w:val="bottom"/>
            <w:hideMark/>
          </w:tcPr>
          <w:p w14:paraId="0574BAED"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-9.30</w:t>
            </w:r>
          </w:p>
        </w:tc>
      </w:tr>
      <w:tr w:rsidR="00A709DB" w:rsidRPr="00E21F8C" w14:paraId="35E45880" w14:textId="77777777" w:rsidTr="00A35A95">
        <w:trPr>
          <w:trHeight w:val="320"/>
        </w:trPr>
        <w:tc>
          <w:tcPr>
            <w:tcW w:w="551" w:type="pct"/>
            <w:tcBorders>
              <w:top w:val="nil"/>
              <w:left w:val="nil"/>
              <w:bottom w:val="nil"/>
              <w:right w:val="nil"/>
            </w:tcBorders>
            <w:shd w:val="clear" w:color="auto" w:fill="auto"/>
            <w:noWrap/>
            <w:vAlign w:val="bottom"/>
            <w:hideMark/>
          </w:tcPr>
          <w:p w14:paraId="5E926C0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FLUPHENAZINE-DECANOATE</w:t>
            </w:r>
          </w:p>
        </w:tc>
        <w:tc>
          <w:tcPr>
            <w:tcW w:w="275" w:type="pct"/>
            <w:tcBorders>
              <w:top w:val="nil"/>
              <w:left w:val="nil"/>
              <w:bottom w:val="nil"/>
              <w:right w:val="nil"/>
            </w:tcBorders>
            <w:shd w:val="clear" w:color="auto" w:fill="auto"/>
            <w:noWrap/>
            <w:vAlign w:val="bottom"/>
            <w:hideMark/>
          </w:tcPr>
          <w:p w14:paraId="3247AC1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-8.96</w:t>
            </w:r>
          </w:p>
        </w:tc>
        <w:tc>
          <w:tcPr>
            <w:tcW w:w="509" w:type="pct"/>
            <w:tcBorders>
              <w:top w:val="nil"/>
              <w:left w:val="nil"/>
              <w:bottom w:val="nil"/>
              <w:right w:val="nil"/>
            </w:tcBorders>
            <w:shd w:val="clear" w:color="auto" w:fill="auto"/>
            <w:noWrap/>
            <w:vAlign w:val="bottom"/>
            <w:hideMark/>
          </w:tcPr>
          <w:p w14:paraId="02A22D9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ANGIOTENSIN-II</w:t>
            </w:r>
          </w:p>
        </w:tc>
        <w:tc>
          <w:tcPr>
            <w:tcW w:w="277" w:type="pct"/>
            <w:tcBorders>
              <w:top w:val="nil"/>
              <w:left w:val="nil"/>
              <w:bottom w:val="nil"/>
              <w:right w:val="nil"/>
            </w:tcBorders>
            <w:shd w:val="clear" w:color="auto" w:fill="auto"/>
            <w:noWrap/>
            <w:vAlign w:val="bottom"/>
            <w:hideMark/>
          </w:tcPr>
          <w:p w14:paraId="22BB28D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-9.69</w:t>
            </w:r>
          </w:p>
        </w:tc>
        <w:tc>
          <w:tcPr>
            <w:tcW w:w="549" w:type="pct"/>
            <w:tcBorders>
              <w:top w:val="nil"/>
              <w:left w:val="nil"/>
              <w:bottom w:val="nil"/>
              <w:right w:val="nil"/>
            </w:tcBorders>
            <w:shd w:val="clear" w:color="auto" w:fill="auto"/>
            <w:noWrap/>
            <w:vAlign w:val="bottom"/>
            <w:hideMark/>
          </w:tcPr>
          <w:p w14:paraId="011B4C3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CASPOFUNGIN</w:t>
            </w:r>
          </w:p>
        </w:tc>
        <w:tc>
          <w:tcPr>
            <w:tcW w:w="271" w:type="pct"/>
            <w:tcBorders>
              <w:top w:val="nil"/>
              <w:left w:val="nil"/>
              <w:bottom w:val="nil"/>
              <w:right w:val="nil"/>
            </w:tcBorders>
            <w:shd w:val="clear" w:color="auto" w:fill="auto"/>
            <w:noWrap/>
            <w:vAlign w:val="bottom"/>
            <w:hideMark/>
          </w:tcPr>
          <w:p w14:paraId="0F472DED"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-8.95</w:t>
            </w:r>
          </w:p>
        </w:tc>
        <w:tc>
          <w:tcPr>
            <w:tcW w:w="551" w:type="pct"/>
            <w:tcBorders>
              <w:top w:val="nil"/>
              <w:left w:val="nil"/>
              <w:bottom w:val="nil"/>
              <w:right w:val="nil"/>
            </w:tcBorders>
            <w:shd w:val="clear" w:color="auto" w:fill="auto"/>
            <w:noWrap/>
            <w:vAlign w:val="bottom"/>
            <w:hideMark/>
          </w:tcPr>
          <w:p w14:paraId="38B99811"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BOSUTINIB</w:t>
            </w:r>
          </w:p>
        </w:tc>
        <w:tc>
          <w:tcPr>
            <w:tcW w:w="276" w:type="pct"/>
            <w:tcBorders>
              <w:top w:val="nil"/>
              <w:left w:val="nil"/>
              <w:bottom w:val="nil"/>
              <w:right w:val="nil"/>
            </w:tcBorders>
            <w:shd w:val="clear" w:color="auto" w:fill="auto"/>
            <w:noWrap/>
            <w:vAlign w:val="bottom"/>
            <w:hideMark/>
          </w:tcPr>
          <w:p w14:paraId="430BA7A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-9.51</w:t>
            </w:r>
          </w:p>
        </w:tc>
        <w:tc>
          <w:tcPr>
            <w:tcW w:w="640" w:type="pct"/>
            <w:tcBorders>
              <w:top w:val="nil"/>
              <w:left w:val="nil"/>
              <w:bottom w:val="nil"/>
              <w:right w:val="nil"/>
            </w:tcBorders>
            <w:shd w:val="clear" w:color="auto" w:fill="auto"/>
            <w:noWrap/>
            <w:vAlign w:val="bottom"/>
            <w:hideMark/>
          </w:tcPr>
          <w:p w14:paraId="312B3078"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GLECAPREVIR</w:t>
            </w:r>
          </w:p>
        </w:tc>
        <w:tc>
          <w:tcPr>
            <w:tcW w:w="276" w:type="pct"/>
            <w:tcBorders>
              <w:top w:val="nil"/>
              <w:left w:val="nil"/>
              <w:bottom w:val="nil"/>
              <w:right w:val="nil"/>
            </w:tcBorders>
            <w:shd w:val="clear" w:color="auto" w:fill="auto"/>
            <w:noWrap/>
            <w:vAlign w:val="bottom"/>
            <w:hideMark/>
          </w:tcPr>
          <w:p w14:paraId="60EF4907"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-9.45</w:t>
            </w:r>
          </w:p>
        </w:tc>
        <w:tc>
          <w:tcPr>
            <w:tcW w:w="550" w:type="pct"/>
            <w:tcBorders>
              <w:top w:val="nil"/>
              <w:left w:val="nil"/>
              <w:bottom w:val="nil"/>
              <w:right w:val="nil"/>
            </w:tcBorders>
            <w:shd w:val="clear" w:color="auto" w:fill="auto"/>
            <w:noWrap/>
            <w:vAlign w:val="bottom"/>
            <w:hideMark/>
          </w:tcPr>
          <w:p w14:paraId="56D17ECA"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MONTELUKAST</w:t>
            </w:r>
          </w:p>
        </w:tc>
        <w:tc>
          <w:tcPr>
            <w:tcW w:w="275" w:type="pct"/>
            <w:tcBorders>
              <w:top w:val="nil"/>
              <w:left w:val="nil"/>
              <w:bottom w:val="nil"/>
              <w:right w:val="nil"/>
            </w:tcBorders>
            <w:shd w:val="clear" w:color="auto" w:fill="auto"/>
            <w:noWrap/>
            <w:vAlign w:val="bottom"/>
            <w:hideMark/>
          </w:tcPr>
          <w:p w14:paraId="3DF9DEC7"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-9.28</w:t>
            </w:r>
          </w:p>
        </w:tc>
      </w:tr>
      <w:tr w:rsidR="00A709DB" w:rsidRPr="00E21F8C" w14:paraId="680BF11B" w14:textId="77777777" w:rsidTr="00A35A95">
        <w:trPr>
          <w:trHeight w:val="320"/>
        </w:trPr>
        <w:tc>
          <w:tcPr>
            <w:tcW w:w="551" w:type="pct"/>
            <w:tcBorders>
              <w:top w:val="nil"/>
              <w:left w:val="nil"/>
              <w:bottom w:val="nil"/>
              <w:right w:val="nil"/>
            </w:tcBorders>
            <w:shd w:val="clear" w:color="auto" w:fill="auto"/>
            <w:noWrap/>
            <w:vAlign w:val="bottom"/>
            <w:hideMark/>
          </w:tcPr>
          <w:p w14:paraId="14240909"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lastRenderedPageBreak/>
              <w:t>IBRUTINIB</w:t>
            </w:r>
          </w:p>
        </w:tc>
        <w:tc>
          <w:tcPr>
            <w:tcW w:w="275" w:type="pct"/>
            <w:tcBorders>
              <w:top w:val="nil"/>
              <w:left w:val="nil"/>
              <w:bottom w:val="nil"/>
              <w:right w:val="nil"/>
            </w:tcBorders>
            <w:shd w:val="clear" w:color="auto" w:fill="auto"/>
            <w:noWrap/>
            <w:vAlign w:val="bottom"/>
            <w:hideMark/>
          </w:tcPr>
          <w:p w14:paraId="457B4C47"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-8.96</w:t>
            </w:r>
          </w:p>
        </w:tc>
        <w:tc>
          <w:tcPr>
            <w:tcW w:w="509" w:type="pct"/>
            <w:tcBorders>
              <w:top w:val="nil"/>
              <w:left w:val="nil"/>
              <w:bottom w:val="nil"/>
              <w:right w:val="nil"/>
            </w:tcBorders>
            <w:shd w:val="clear" w:color="auto" w:fill="auto"/>
            <w:noWrap/>
            <w:vAlign w:val="bottom"/>
            <w:hideMark/>
          </w:tcPr>
          <w:p w14:paraId="262A0780"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CONIVAPTAN</w:t>
            </w:r>
          </w:p>
        </w:tc>
        <w:tc>
          <w:tcPr>
            <w:tcW w:w="277" w:type="pct"/>
            <w:tcBorders>
              <w:top w:val="nil"/>
              <w:left w:val="nil"/>
              <w:bottom w:val="nil"/>
              <w:right w:val="nil"/>
            </w:tcBorders>
            <w:shd w:val="clear" w:color="auto" w:fill="auto"/>
            <w:noWrap/>
            <w:vAlign w:val="bottom"/>
            <w:hideMark/>
          </w:tcPr>
          <w:p w14:paraId="356E8CD2"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-9.66</w:t>
            </w:r>
          </w:p>
        </w:tc>
        <w:tc>
          <w:tcPr>
            <w:tcW w:w="549" w:type="pct"/>
            <w:tcBorders>
              <w:top w:val="nil"/>
              <w:left w:val="nil"/>
              <w:bottom w:val="nil"/>
              <w:right w:val="nil"/>
            </w:tcBorders>
            <w:shd w:val="clear" w:color="auto" w:fill="auto"/>
            <w:noWrap/>
            <w:vAlign w:val="bottom"/>
            <w:hideMark/>
          </w:tcPr>
          <w:p w14:paraId="6D1D2D87"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GRAZOPREVIR</w:t>
            </w:r>
          </w:p>
        </w:tc>
        <w:tc>
          <w:tcPr>
            <w:tcW w:w="271" w:type="pct"/>
            <w:tcBorders>
              <w:top w:val="nil"/>
              <w:left w:val="nil"/>
              <w:bottom w:val="nil"/>
              <w:right w:val="nil"/>
            </w:tcBorders>
            <w:shd w:val="clear" w:color="auto" w:fill="auto"/>
            <w:noWrap/>
            <w:vAlign w:val="bottom"/>
            <w:hideMark/>
          </w:tcPr>
          <w:p w14:paraId="13687AB3"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-8.93</w:t>
            </w:r>
          </w:p>
        </w:tc>
        <w:tc>
          <w:tcPr>
            <w:tcW w:w="551" w:type="pct"/>
            <w:tcBorders>
              <w:top w:val="nil"/>
              <w:left w:val="nil"/>
              <w:bottom w:val="nil"/>
              <w:right w:val="nil"/>
            </w:tcBorders>
            <w:shd w:val="clear" w:color="auto" w:fill="auto"/>
            <w:noWrap/>
            <w:vAlign w:val="bottom"/>
            <w:hideMark/>
          </w:tcPr>
          <w:p w14:paraId="2A37D2CF"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MIDOSTAURIN</w:t>
            </w:r>
          </w:p>
        </w:tc>
        <w:tc>
          <w:tcPr>
            <w:tcW w:w="276" w:type="pct"/>
            <w:tcBorders>
              <w:top w:val="nil"/>
              <w:left w:val="nil"/>
              <w:bottom w:val="nil"/>
              <w:right w:val="nil"/>
            </w:tcBorders>
            <w:shd w:val="clear" w:color="auto" w:fill="auto"/>
            <w:noWrap/>
            <w:vAlign w:val="bottom"/>
            <w:hideMark/>
          </w:tcPr>
          <w:p w14:paraId="3A9F285D"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-9.45</w:t>
            </w:r>
          </w:p>
        </w:tc>
        <w:tc>
          <w:tcPr>
            <w:tcW w:w="640" w:type="pct"/>
            <w:tcBorders>
              <w:top w:val="nil"/>
              <w:left w:val="nil"/>
              <w:bottom w:val="nil"/>
              <w:right w:val="nil"/>
            </w:tcBorders>
            <w:shd w:val="clear" w:color="auto" w:fill="auto"/>
            <w:noWrap/>
            <w:vAlign w:val="bottom"/>
            <w:hideMark/>
          </w:tcPr>
          <w:p w14:paraId="06DC5779"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IVERMECTIN</w:t>
            </w:r>
          </w:p>
        </w:tc>
        <w:tc>
          <w:tcPr>
            <w:tcW w:w="276" w:type="pct"/>
            <w:tcBorders>
              <w:top w:val="nil"/>
              <w:left w:val="nil"/>
              <w:bottom w:val="nil"/>
              <w:right w:val="nil"/>
            </w:tcBorders>
            <w:shd w:val="clear" w:color="auto" w:fill="auto"/>
            <w:noWrap/>
            <w:vAlign w:val="bottom"/>
            <w:hideMark/>
          </w:tcPr>
          <w:p w14:paraId="4E146EB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-9.44</w:t>
            </w:r>
          </w:p>
        </w:tc>
        <w:tc>
          <w:tcPr>
            <w:tcW w:w="550" w:type="pct"/>
            <w:tcBorders>
              <w:top w:val="nil"/>
              <w:left w:val="nil"/>
              <w:bottom w:val="nil"/>
              <w:right w:val="nil"/>
            </w:tcBorders>
            <w:shd w:val="clear" w:color="auto" w:fill="auto"/>
            <w:noWrap/>
            <w:vAlign w:val="bottom"/>
            <w:hideMark/>
          </w:tcPr>
          <w:p w14:paraId="00E806F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DOXACURIUM</w:t>
            </w:r>
          </w:p>
        </w:tc>
        <w:tc>
          <w:tcPr>
            <w:tcW w:w="275" w:type="pct"/>
            <w:tcBorders>
              <w:top w:val="nil"/>
              <w:left w:val="nil"/>
              <w:bottom w:val="nil"/>
              <w:right w:val="nil"/>
            </w:tcBorders>
            <w:shd w:val="clear" w:color="auto" w:fill="auto"/>
            <w:noWrap/>
            <w:vAlign w:val="bottom"/>
            <w:hideMark/>
          </w:tcPr>
          <w:p w14:paraId="6060438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-9.27</w:t>
            </w:r>
          </w:p>
        </w:tc>
      </w:tr>
      <w:tr w:rsidR="00A709DB" w:rsidRPr="00E21F8C" w14:paraId="279E3EC6" w14:textId="77777777" w:rsidTr="00A35A95">
        <w:trPr>
          <w:trHeight w:val="320"/>
        </w:trPr>
        <w:tc>
          <w:tcPr>
            <w:tcW w:w="551" w:type="pct"/>
            <w:tcBorders>
              <w:top w:val="nil"/>
              <w:left w:val="nil"/>
              <w:bottom w:val="nil"/>
              <w:right w:val="nil"/>
            </w:tcBorders>
            <w:shd w:val="clear" w:color="auto" w:fill="auto"/>
            <w:noWrap/>
            <w:vAlign w:val="bottom"/>
            <w:hideMark/>
          </w:tcPr>
          <w:p w14:paraId="2D2D744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VELPATASVIR</w:t>
            </w:r>
          </w:p>
        </w:tc>
        <w:tc>
          <w:tcPr>
            <w:tcW w:w="275" w:type="pct"/>
            <w:tcBorders>
              <w:top w:val="nil"/>
              <w:left w:val="nil"/>
              <w:bottom w:val="nil"/>
              <w:right w:val="nil"/>
            </w:tcBorders>
            <w:shd w:val="clear" w:color="auto" w:fill="auto"/>
            <w:noWrap/>
            <w:vAlign w:val="bottom"/>
            <w:hideMark/>
          </w:tcPr>
          <w:p w14:paraId="43D35922"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-8.93</w:t>
            </w:r>
          </w:p>
        </w:tc>
        <w:tc>
          <w:tcPr>
            <w:tcW w:w="509" w:type="pct"/>
            <w:tcBorders>
              <w:top w:val="nil"/>
              <w:left w:val="nil"/>
              <w:bottom w:val="nil"/>
              <w:right w:val="nil"/>
            </w:tcBorders>
            <w:shd w:val="clear" w:color="auto" w:fill="auto"/>
            <w:noWrap/>
            <w:vAlign w:val="bottom"/>
            <w:hideMark/>
          </w:tcPr>
          <w:p w14:paraId="1E0F38CF"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OMBITASVIR</w:t>
            </w:r>
          </w:p>
        </w:tc>
        <w:tc>
          <w:tcPr>
            <w:tcW w:w="277" w:type="pct"/>
            <w:tcBorders>
              <w:top w:val="nil"/>
              <w:left w:val="nil"/>
              <w:bottom w:val="nil"/>
              <w:right w:val="nil"/>
            </w:tcBorders>
            <w:shd w:val="clear" w:color="auto" w:fill="auto"/>
            <w:noWrap/>
            <w:vAlign w:val="bottom"/>
            <w:hideMark/>
          </w:tcPr>
          <w:p w14:paraId="49030D4E"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-9.64</w:t>
            </w:r>
          </w:p>
        </w:tc>
        <w:tc>
          <w:tcPr>
            <w:tcW w:w="549" w:type="pct"/>
            <w:tcBorders>
              <w:top w:val="nil"/>
              <w:left w:val="nil"/>
              <w:bottom w:val="nil"/>
              <w:right w:val="nil"/>
            </w:tcBorders>
            <w:shd w:val="clear" w:color="auto" w:fill="auto"/>
            <w:noWrap/>
            <w:vAlign w:val="bottom"/>
            <w:hideMark/>
          </w:tcPr>
          <w:p w14:paraId="15223458"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VOXILAPREVIR</w:t>
            </w:r>
          </w:p>
        </w:tc>
        <w:tc>
          <w:tcPr>
            <w:tcW w:w="271" w:type="pct"/>
            <w:tcBorders>
              <w:top w:val="nil"/>
              <w:left w:val="nil"/>
              <w:bottom w:val="nil"/>
              <w:right w:val="nil"/>
            </w:tcBorders>
            <w:shd w:val="clear" w:color="auto" w:fill="auto"/>
            <w:noWrap/>
            <w:vAlign w:val="bottom"/>
            <w:hideMark/>
          </w:tcPr>
          <w:p w14:paraId="5C3EC0A0"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-8.93</w:t>
            </w:r>
          </w:p>
        </w:tc>
        <w:tc>
          <w:tcPr>
            <w:tcW w:w="551" w:type="pct"/>
            <w:tcBorders>
              <w:top w:val="nil"/>
              <w:left w:val="nil"/>
              <w:bottom w:val="nil"/>
              <w:right w:val="nil"/>
            </w:tcBorders>
            <w:shd w:val="clear" w:color="auto" w:fill="auto"/>
            <w:noWrap/>
            <w:vAlign w:val="bottom"/>
            <w:hideMark/>
          </w:tcPr>
          <w:p w14:paraId="6E709DD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NILOTINIB</w:t>
            </w:r>
          </w:p>
        </w:tc>
        <w:tc>
          <w:tcPr>
            <w:tcW w:w="276" w:type="pct"/>
            <w:tcBorders>
              <w:top w:val="nil"/>
              <w:left w:val="nil"/>
              <w:bottom w:val="nil"/>
              <w:right w:val="nil"/>
            </w:tcBorders>
            <w:shd w:val="clear" w:color="auto" w:fill="auto"/>
            <w:noWrap/>
            <w:vAlign w:val="bottom"/>
            <w:hideMark/>
          </w:tcPr>
          <w:p w14:paraId="7164AB5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-9.45</w:t>
            </w:r>
          </w:p>
        </w:tc>
        <w:tc>
          <w:tcPr>
            <w:tcW w:w="640" w:type="pct"/>
            <w:tcBorders>
              <w:top w:val="nil"/>
              <w:left w:val="nil"/>
              <w:bottom w:val="nil"/>
              <w:right w:val="nil"/>
            </w:tcBorders>
            <w:shd w:val="clear" w:color="auto" w:fill="auto"/>
            <w:noWrap/>
            <w:vAlign w:val="bottom"/>
            <w:hideMark/>
          </w:tcPr>
          <w:p w14:paraId="3E0DAE86"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TRIPTORELIN</w:t>
            </w:r>
          </w:p>
        </w:tc>
        <w:tc>
          <w:tcPr>
            <w:tcW w:w="276" w:type="pct"/>
            <w:tcBorders>
              <w:top w:val="nil"/>
              <w:left w:val="nil"/>
              <w:bottom w:val="nil"/>
              <w:right w:val="nil"/>
            </w:tcBorders>
            <w:shd w:val="clear" w:color="auto" w:fill="auto"/>
            <w:noWrap/>
            <w:vAlign w:val="bottom"/>
            <w:hideMark/>
          </w:tcPr>
          <w:p w14:paraId="2DED3202"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-9.44</w:t>
            </w:r>
          </w:p>
        </w:tc>
        <w:tc>
          <w:tcPr>
            <w:tcW w:w="550" w:type="pct"/>
            <w:tcBorders>
              <w:top w:val="nil"/>
              <w:left w:val="nil"/>
              <w:bottom w:val="nil"/>
              <w:right w:val="nil"/>
            </w:tcBorders>
            <w:shd w:val="clear" w:color="auto" w:fill="auto"/>
            <w:noWrap/>
            <w:vAlign w:val="bottom"/>
            <w:hideMark/>
          </w:tcPr>
          <w:p w14:paraId="7FA43CB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LOMITAPIDE</w:t>
            </w:r>
          </w:p>
        </w:tc>
        <w:tc>
          <w:tcPr>
            <w:tcW w:w="275" w:type="pct"/>
            <w:tcBorders>
              <w:top w:val="nil"/>
              <w:left w:val="nil"/>
              <w:bottom w:val="nil"/>
              <w:right w:val="nil"/>
            </w:tcBorders>
            <w:shd w:val="clear" w:color="auto" w:fill="auto"/>
            <w:noWrap/>
            <w:vAlign w:val="bottom"/>
            <w:hideMark/>
          </w:tcPr>
          <w:p w14:paraId="5AB9DE9E"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-9.26</w:t>
            </w:r>
          </w:p>
        </w:tc>
      </w:tr>
      <w:tr w:rsidR="00A709DB" w:rsidRPr="00E21F8C" w14:paraId="2421FBB4" w14:textId="77777777" w:rsidTr="00A35A95">
        <w:trPr>
          <w:trHeight w:val="320"/>
        </w:trPr>
        <w:tc>
          <w:tcPr>
            <w:tcW w:w="551" w:type="pct"/>
            <w:tcBorders>
              <w:top w:val="nil"/>
              <w:left w:val="nil"/>
              <w:bottom w:val="nil"/>
              <w:right w:val="nil"/>
            </w:tcBorders>
            <w:shd w:val="clear" w:color="auto" w:fill="auto"/>
            <w:noWrap/>
            <w:vAlign w:val="bottom"/>
            <w:hideMark/>
          </w:tcPr>
          <w:p w14:paraId="7CDAF091"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TROGLITAZONE</w:t>
            </w:r>
          </w:p>
        </w:tc>
        <w:tc>
          <w:tcPr>
            <w:tcW w:w="275" w:type="pct"/>
            <w:tcBorders>
              <w:top w:val="nil"/>
              <w:left w:val="nil"/>
              <w:bottom w:val="nil"/>
              <w:right w:val="nil"/>
            </w:tcBorders>
            <w:shd w:val="clear" w:color="auto" w:fill="auto"/>
            <w:noWrap/>
            <w:vAlign w:val="bottom"/>
            <w:hideMark/>
          </w:tcPr>
          <w:p w14:paraId="764BE52E"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-8.93</w:t>
            </w:r>
          </w:p>
        </w:tc>
        <w:tc>
          <w:tcPr>
            <w:tcW w:w="509" w:type="pct"/>
            <w:tcBorders>
              <w:top w:val="nil"/>
              <w:left w:val="nil"/>
              <w:bottom w:val="nil"/>
              <w:right w:val="nil"/>
            </w:tcBorders>
            <w:shd w:val="clear" w:color="auto" w:fill="auto"/>
            <w:noWrap/>
            <w:vAlign w:val="bottom"/>
            <w:hideMark/>
          </w:tcPr>
          <w:p w14:paraId="58A41550"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POSACONAZOLE</w:t>
            </w:r>
          </w:p>
        </w:tc>
        <w:tc>
          <w:tcPr>
            <w:tcW w:w="277" w:type="pct"/>
            <w:tcBorders>
              <w:top w:val="nil"/>
              <w:left w:val="nil"/>
              <w:bottom w:val="nil"/>
              <w:right w:val="nil"/>
            </w:tcBorders>
            <w:shd w:val="clear" w:color="auto" w:fill="auto"/>
            <w:noWrap/>
            <w:vAlign w:val="bottom"/>
            <w:hideMark/>
          </w:tcPr>
          <w:p w14:paraId="29D284C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-9.62</w:t>
            </w:r>
          </w:p>
        </w:tc>
        <w:tc>
          <w:tcPr>
            <w:tcW w:w="549" w:type="pct"/>
            <w:tcBorders>
              <w:top w:val="nil"/>
              <w:left w:val="nil"/>
              <w:bottom w:val="nil"/>
              <w:right w:val="nil"/>
            </w:tcBorders>
            <w:shd w:val="clear" w:color="auto" w:fill="auto"/>
            <w:noWrap/>
            <w:vAlign w:val="bottom"/>
            <w:hideMark/>
          </w:tcPr>
          <w:p w14:paraId="0C3D1459"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LEUPROLIDE</w:t>
            </w:r>
          </w:p>
        </w:tc>
        <w:tc>
          <w:tcPr>
            <w:tcW w:w="271" w:type="pct"/>
            <w:tcBorders>
              <w:top w:val="nil"/>
              <w:left w:val="nil"/>
              <w:bottom w:val="nil"/>
              <w:right w:val="nil"/>
            </w:tcBorders>
            <w:shd w:val="clear" w:color="auto" w:fill="auto"/>
            <w:noWrap/>
            <w:vAlign w:val="bottom"/>
            <w:hideMark/>
          </w:tcPr>
          <w:p w14:paraId="1E426171"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-8.90</w:t>
            </w:r>
          </w:p>
        </w:tc>
        <w:tc>
          <w:tcPr>
            <w:tcW w:w="551" w:type="pct"/>
            <w:tcBorders>
              <w:top w:val="nil"/>
              <w:left w:val="nil"/>
              <w:bottom w:val="nil"/>
              <w:right w:val="nil"/>
            </w:tcBorders>
            <w:shd w:val="clear" w:color="auto" w:fill="auto"/>
            <w:noWrap/>
            <w:vAlign w:val="bottom"/>
            <w:hideMark/>
          </w:tcPr>
          <w:p w14:paraId="73A0EDF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TESTOSTERONE-CYPIONATE</w:t>
            </w:r>
          </w:p>
        </w:tc>
        <w:tc>
          <w:tcPr>
            <w:tcW w:w="276" w:type="pct"/>
            <w:tcBorders>
              <w:top w:val="nil"/>
              <w:left w:val="nil"/>
              <w:bottom w:val="nil"/>
              <w:right w:val="nil"/>
            </w:tcBorders>
            <w:shd w:val="clear" w:color="auto" w:fill="auto"/>
            <w:noWrap/>
            <w:vAlign w:val="bottom"/>
            <w:hideMark/>
          </w:tcPr>
          <w:p w14:paraId="7FD6D6C0"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-9.39</w:t>
            </w:r>
          </w:p>
        </w:tc>
        <w:tc>
          <w:tcPr>
            <w:tcW w:w="640" w:type="pct"/>
            <w:tcBorders>
              <w:top w:val="nil"/>
              <w:left w:val="nil"/>
              <w:bottom w:val="nil"/>
              <w:right w:val="nil"/>
            </w:tcBorders>
            <w:shd w:val="clear" w:color="auto" w:fill="auto"/>
            <w:noWrap/>
            <w:vAlign w:val="bottom"/>
            <w:hideMark/>
          </w:tcPr>
          <w:p w14:paraId="6FF98DD7"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PIBRENTASVIR</w:t>
            </w:r>
          </w:p>
        </w:tc>
        <w:tc>
          <w:tcPr>
            <w:tcW w:w="276" w:type="pct"/>
            <w:tcBorders>
              <w:top w:val="nil"/>
              <w:left w:val="nil"/>
              <w:bottom w:val="nil"/>
              <w:right w:val="nil"/>
            </w:tcBorders>
            <w:shd w:val="clear" w:color="auto" w:fill="auto"/>
            <w:noWrap/>
            <w:vAlign w:val="bottom"/>
            <w:hideMark/>
          </w:tcPr>
          <w:p w14:paraId="53C36851"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-9.43</w:t>
            </w:r>
          </w:p>
        </w:tc>
        <w:tc>
          <w:tcPr>
            <w:tcW w:w="550" w:type="pct"/>
            <w:tcBorders>
              <w:top w:val="nil"/>
              <w:left w:val="nil"/>
              <w:bottom w:val="nil"/>
              <w:right w:val="nil"/>
            </w:tcBorders>
            <w:shd w:val="clear" w:color="auto" w:fill="auto"/>
            <w:noWrap/>
            <w:vAlign w:val="bottom"/>
            <w:hideMark/>
          </w:tcPr>
          <w:p w14:paraId="0A85C4F8"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CERULETIDE</w:t>
            </w:r>
          </w:p>
        </w:tc>
        <w:tc>
          <w:tcPr>
            <w:tcW w:w="275" w:type="pct"/>
            <w:tcBorders>
              <w:top w:val="nil"/>
              <w:left w:val="nil"/>
              <w:bottom w:val="nil"/>
              <w:right w:val="nil"/>
            </w:tcBorders>
            <w:shd w:val="clear" w:color="auto" w:fill="auto"/>
            <w:noWrap/>
            <w:vAlign w:val="bottom"/>
            <w:hideMark/>
          </w:tcPr>
          <w:p w14:paraId="48E213E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-9.23</w:t>
            </w:r>
          </w:p>
        </w:tc>
      </w:tr>
      <w:tr w:rsidR="00A709DB" w:rsidRPr="00E21F8C" w14:paraId="211802AB" w14:textId="77777777" w:rsidTr="00A35A95">
        <w:trPr>
          <w:trHeight w:val="320"/>
        </w:trPr>
        <w:tc>
          <w:tcPr>
            <w:tcW w:w="551" w:type="pct"/>
            <w:tcBorders>
              <w:top w:val="nil"/>
              <w:left w:val="nil"/>
              <w:bottom w:val="nil"/>
              <w:right w:val="nil"/>
            </w:tcBorders>
            <w:shd w:val="clear" w:color="auto" w:fill="auto"/>
            <w:noWrap/>
            <w:vAlign w:val="bottom"/>
            <w:hideMark/>
          </w:tcPr>
          <w:p w14:paraId="46C1F51E"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ADAPALENE</w:t>
            </w:r>
          </w:p>
        </w:tc>
        <w:tc>
          <w:tcPr>
            <w:tcW w:w="275" w:type="pct"/>
            <w:tcBorders>
              <w:top w:val="nil"/>
              <w:left w:val="nil"/>
              <w:bottom w:val="nil"/>
              <w:right w:val="nil"/>
            </w:tcBorders>
            <w:shd w:val="clear" w:color="auto" w:fill="auto"/>
            <w:noWrap/>
            <w:vAlign w:val="bottom"/>
            <w:hideMark/>
          </w:tcPr>
          <w:p w14:paraId="19E559BD"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-8.91</w:t>
            </w:r>
          </w:p>
        </w:tc>
        <w:tc>
          <w:tcPr>
            <w:tcW w:w="509" w:type="pct"/>
            <w:tcBorders>
              <w:top w:val="nil"/>
              <w:left w:val="nil"/>
              <w:bottom w:val="nil"/>
              <w:right w:val="nil"/>
            </w:tcBorders>
            <w:shd w:val="clear" w:color="auto" w:fill="auto"/>
            <w:noWrap/>
            <w:vAlign w:val="bottom"/>
            <w:hideMark/>
          </w:tcPr>
          <w:p w14:paraId="0EB07956"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ERGOTAMINE</w:t>
            </w:r>
          </w:p>
        </w:tc>
        <w:tc>
          <w:tcPr>
            <w:tcW w:w="277" w:type="pct"/>
            <w:tcBorders>
              <w:top w:val="nil"/>
              <w:left w:val="nil"/>
              <w:bottom w:val="nil"/>
              <w:right w:val="nil"/>
            </w:tcBorders>
            <w:shd w:val="clear" w:color="auto" w:fill="auto"/>
            <w:noWrap/>
            <w:vAlign w:val="bottom"/>
            <w:hideMark/>
          </w:tcPr>
          <w:p w14:paraId="232B8B4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-9.58</w:t>
            </w:r>
          </w:p>
        </w:tc>
        <w:tc>
          <w:tcPr>
            <w:tcW w:w="549" w:type="pct"/>
            <w:tcBorders>
              <w:top w:val="nil"/>
              <w:left w:val="nil"/>
              <w:bottom w:val="nil"/>
              <w:right w:val="nil"/>
            </w:tcBorders>
            <w:shd w:val="clear" w:color="auto" w:fill="auto"/>
            <w:noWrap/>
            <w:vAlign w:val="bottom"/>
            <w:hideMark/>
          </w:tcPr>
          <w:p w14:paraId="588AA44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MIVACURIUM</w:t>
            </w:r>
          </w:p>
        </w:tc>
        <w:tc>
          <w:tcPr>
            <w:tcW w:w="271" w:type="pct"/>
            <w:tcBorders>
              <w:top w:val="nil"/>
              <w:left w:val="nil"/>
              <w:bottom w:val="nil"/>
              <w:right w:val="nil"/>
            </w:tcBorders>
            <w:shd w:val="clear" w:color="auto" w:fill="auto"/>
            <w:noWrap/>
            <w:vAlign w:val="bottom"/>
            <w:hideMark/>
          </w:tcPr>
          <w:p w14:paraId="59CD9CFF"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-8.89</w:t>
            </w:r>
          </w:p>
        </w:tc>
        <w:tc>
          <w:tcPr>
            <w:tcW w:w="551" w:type="pct"/>
            <w:tcBorders>
              <w:top w:val="nil"/>
              <w:left w:val="nil"/>
              <w:bottom w:val="nil"/>
              <w:right w:val="nil"/>
            </w:tcBorders>
            <w:shd w:val="clear" w:color="auto" w:fill="auto"/>
            <w:noWrap/>
            <w:vAlign w:val="bottom"/>
            <w:hideMark/>
          </w:tcPr>
          <w:p w14:paraId="400CD4F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VALRUBICIN</w:t>
            </w:r>
          </w:p>
        </w:tc>
        <w:tc>
          <w:tcPr>
            <w:tcW w:w="276" w:type="pct"/>
            <w:tcBorders>
              <w:top w:val="nil"/>
              <w:left w:val="nil"/>
              <w:bottom w:val="nil"/>
              <w:right w:val="nil"/>
            </w:tcBorders>
            <w:shd w:val="clear" w:color="auto" w:fill="auto"/>
            <w:noWrap/>
            <w:vAlign w:val="bottom"/>
            <w:hideMark/>
          </w:tcPr>
          <w:p w14:paraId="47535BB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-9.38</w:t>
            </w:r>
          </w:p>
        </w:tc>
        <w:tc>
          <w:tcPr>
            <w:tcW w:w="640" w:type="pct"/>
            <w:tcBorders>
              <w:top w:val="nil"/>
              <w:left w:val="nil"/>
              <w:bottom w:val="nil"/>
              <w:right w:val="nil"/>
            </w:tcBorders>
            <w:shd w:val="clear" w:color="auto" w:fill="auto"/>
            <w:noWrap/>
            <w:vAlign w:val="bottom"/>
            <w:hideMark/>
          </w:tcPr>
          <w:p w14:paraId="63F1DCE8"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VELPATASVIR</w:t>
            </w:r>
          </w:p>
        </w:tc>
        <w:tc>
          <w:tcPr>
            <w:tcW w:w="276" w:type="pct"/>
            <w:tcBorders>
              <w:top w:val="nil"/>
              <w:left w:val="nil"/>
              <w:bottom w:val="nil"/>
              <w:right w:val="nil"/>
            </w:tcBorders>
            <w:shd w:val="clear" w:color="auto" w:fill="auto"/>
            <w:noWrap/>
            <w:vAlign w:val="bottom"/>
            <w:hideMark/>
          </w:tcPr>
          <w:p w14:paraId="50B4AC49"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-9.55</w:t>
            </w:r>
          </w:p>
        </w:tc>
        <w:tc>
          <w:tcPr>
            <w:tcW w:w="550" w:type="pct"/>
            <w:tcBorders>
              <w:top w:val="nil"/>
              <w:left w:val="nil"/>
              <w:bottom w:val="nil"/>
              <w:right w:val="nil"/>
            </w:tcBorders>
            <w:shd w:val="clear" w:color="auto" w:fill="auto"/>
            <w:noWrap/>
            <w:vAlign w:val="bottom"/>
            <w:hideMark/>
          </w:tcPr>
          <w:p w14:paraId="3E425DF6"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BLEOMYCIN</w:t>
            </w:r>
          </w:p>
        </w:tc>
        <w:tc>
          <w:tcPr>
            <w:tcW w:w="275" w:type="pct"/>
            <w:tcBorders>
              <w:top w:val="nil"/>
              <w:left w:val="nil"/>
              <w:bottom w:val="nil"/>
              <w:right w:val="nil"/>
            </w:tcBorders>
            <w:shd w:val="clear" w:color="auto" w:fill="auto"/>
            <w:noWrap/>
            <w:vAlign w:val="bottom"/>
            <w:hideMark/>
          </w:tcPr>
          <w:p w14:paraId="131B805C"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-9.23</w:t>
            </w:r>
          </w:p>
        </w:tc>
      </w:tr>
      <w:tr w:rsidR="00A709DB" w:rsidRPr="00E21F8C" w14:paraId="427C48E1" w14:textId="77777777" w:rsidTr="00A35A95">
        <w:trPr>
          <w:trHeight w:val="320"/>
        </w:trPr>
        <w:tc>
          <w:tcPr>
            <w:tcW w:w="551" w:type="pct"/>
            <w:tcBorders>
              <w:top w:val="nil"/>
              <w:left w:val="nil"/>
              <w:bottom w:val="nil"/>
              <w:right w:val="nil"/>
            </w:tcBorders>
            <w:shd w:val="clear" w:color="auto" w:fill="auto"/>
            <w:noWrap/>
            <w:vAlign w:val="bottom"/>
            <w:hideMark/>
          </w:tcPr>
          <w:p w14:paraId="312B2B4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GRAZOPREVIR</w:t>
            </w:r>
          </w:p>
        </w:tc>
        <w:tc>
          <w:tcPr>
            <w:tcW w:w="275" w:type="pct"/>
            <w:tcBorders>
              <w:top w:val="nil"/>
              <w:left w:val="nil"/>
              <w:bottom w:val="nil"/>
              <w:right w:val="nil"/>
            </w:tcBorders>
            <w:shd w:val="clear" w:color="auto" w:fill="auto"/>
            <w:noWrap/>
            <w:vAlign w:val="bottom"/>
            <w:hideMark/>
          </w:tcPr>
          <w:p w14:paraId="6027C50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-8.90</w:t>
            </w:r>
          </w:p>
        </w:tc>
        <w:tc>
          <w:tcPr>
            <w:tcW w:w="509" w:type="pct"/>
            <w:tcBorders>
              <w:top w:val="nil"/>
              <w:left w:val="nil"/>
              <w:bottom w:val="nil"/>
              <w:right w:val="nil"/>
            </w:tcBorders>
            <w:shd w:val="clear" w:color="auto" w:fill="auto"/>
            <w:noWrap/>
            <w:vAlign w:val="bottom"/>
            <w:hideMark/>
          </w:tcPr>
          <w:p w14:paraId="70BEFBB4"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BLEOMYCIN</w:t>
            </w:r>
          </w:p>
        </w:tc>
        <w:tc>
          <w:tcPr>
            <w:tcW w:w="277" w:type="pct"/>
            <w:tcBorders>
              <w:top w:val="nil"/>
              <w:left w:val="nil"/>
              <w:bottom w:val="nil"/>
              <w:right w:val="nil"/>
            </w:tcBorders>
            <w:shd w:val="clear" w:color="auto" w:fill="auto"/>
            <w:noWrap/>
            <w:vAlign w:val="bottom"/>
            <w:hideMark/>
          </w:tcPr>
          <w:p w14:paraId="69CB17E2"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-9.55</w:t>
            </w:r>
          </w:p>
        </w:tc>
        <w:tc>
          <w:tcPr>
            <w:tcW w:w="549" w:type="pct"/>
            <w:tcBorders>
              <w:top w:val="nil"/>
              <w:left w:val="nil"/>
              <w:bottom w:val="nil"/>
              <w:right w:val="nil"/>
            </w:tcBorders>
            <w:shd w:val="clear" w:color="auto" w:fill="auto"/>
            <w:noWrap/>
            <w:vAlign w:val="bottom"/>
            <w:hideMark/>
          </w:tcPr>
          <w:p w14:paraId="2F601DBB"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VENETOCLAX</w:t>
            </w:r>
          </w:p>
        </w:tc>
        <w:tc>
          <w:tcPr>
            <w:tcW w:w="271" w:type="pct"/>
            <w:tcBorders>
              <w:top w:val="nil"/>
              <w:left w:val="nil"/>
              <w:bottom w:val="nil"/>
              <w:right w:val="nil"/>
            </w:tcBorders>
            <w:shd w:val="clear" w:color="auto" w:fill="auto"/>
            <w:noWrap/>
            <w:vAlign w:val="bottom"/>
            <w:hideMark/>
          </w:tcPr>
          <w:p w14:paraId="1561669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-8.89</w:t>
            </w:r>
          </w:p>
        </w:tc>
        <w:tc>
          <w:tcPr>
            <w:tcW w:w="551" w:type="pct"/>
            <w:tcBorders>
              <w:top w:val="nil"/>
              <w:left w:val="nil"/>
              <w:bottom w:val="nil"/>
              <w:right w:val="nil"/>
            </w:tcBorders>
            <w:shd w:val="clear" w:color="auto" w:fill="auto"/>
            <w:noWrap/>
            <w:vAlign w:val="bottom"/>
            <w:hideMark/>
          </w:tcPr>
          <w:p w14:paraId="54A9E95A"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TRAMETINIB</w:t>
            </w:r>
          </w:p>
        </w:tc>
        <w:tc>
          <w:tcPr>
            <w:tcW w:w="276" w:type="pct"/>
            <w:tcBorders>
              <w:top w:val="nil"/>
              <w:left w:val="nil"/>
              <w:bottom w:val="nil"/>
              <w:right w:val="nil"/>
            </w:tcBorders>
            <w:shd w:val="clear" w:color="auto" w:fill="auto"/>
            <w:noWrap/>
            <w:vAlign w:val="bottom"/>
            <w:hideMark/>
          </w:tcPr>
          <w:p w14:paraId="1569FF82"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-9.35</w:t>
            </w:r>
          </w:p>
        </w:tc>
        <w:tc>
          <w:tcPr>
            <w:tcW w:w="640" w:type="pct"/>
            <w:tcBorders>
              <w:top w:val="nil"/>
              <w:left w:val="nil"/>
              <w:bottom w:val="nil"/>
              <w:right w:val="nil"/>
            </w:tcBorders>
            <w:shd w:val="clear" w:color="auto" w:fill="auto"/>
            <w:noWrap/>
            <w:vAlign w:val="bottom"/>
            <w:hideMark/>
          </w:tcPr>
          <w:p w14:paraId="1E7BE197" w14:textId="77777777" w:rsidR="00A709DB" w:rsidRPr="00E21F8C" w:rsidRDefault="00A709DB" w:rsidP="00A35A95">
            <w:pPr>
              <w:pStyle w:val="MDPI42tablebody"/>
              <w:rPr>
                <w:rFonts w:ascii="Times New Roman" w:hAnsi="Times New Roman"/>
                <w:b/>
                <w:bCs/>
                <w:sz w:val="18"/>
                <w:szCs w:val="18"/>
              </w:rPr>
            </w:pPr>
            <w:r w:rsidRPr="00E21F8C">
              <w:rPr>
                <w:rFonts w:ascii="Times New Roman" w:hAnsi="Times New Roman"/>
                <w:b/>
                <w:bCs/>
                <w:sz w:val="18"/>
                <w:szCs w:val="18"/>
              </w:rPr>
              <w:t>LEDIPASVIR</w:t>
            </w:r>
          </w:p>
        </w:tc>
        <w:tc>
          <w:tcPr>
            <w:tcW w:w="276" w:type="pct"/>
            <w:tcBorders>
              <w:top w:val="nil"/>
              <w:left w:val="nil"/>
              <w:bottom w:val="nil"/>
              <w:right w:val="nil"/>
            </w:tcBorders>
            <w:shd w:val="clear" w:color="auto" w:fill="auto"/>
            <w:noWrap/>
            <w:vAlign w:val="bottom"/>
            <w:hideMark/>
          </w:tcPr>
          <w:p w14:paraId="118A1CA6"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-9.36</w:t>
            </w:r>
          </w:p>
        </w:tc>
        <w:tc>
          <w:tcPr>
            <w:tcW w:w="550" w:type="pct"/>
            <w:tcBorders>
              <w:top w:val="nil"/>
              <w:left w:val="nil"/>
              <w:bottom w:val="nil"/>
              <w:right w:val="nil"/>
            </w:tcBorders>
            <w:shd w:val="clear" w:color="auto" w:fill="auto"/>
            <w:noWrap/>
            <w:vAlign w:val="bottom"/>
            <w:hideMark/>
          </w:tcPr>
          <w:p w14:paraId="7A79C805"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ZAFIRLUKAST</w:t>
            </w:r>
          </w:p>
        </w:tc>
        <w:tc>
          <w:tcPr>
            <w:tcW w:w="275" w:type="pct"/>
            <w:tcBorders>
              <w:top w:val="nil"/>
              <w:left w:val="nil"/>
              <w:bottom w:val="nil"/>
              <w:right w:val="nil"/>
            </w:tcBorders>
            <w:shd w:val="clear" w:color="auto" w:fill="auto"/>
            <w:noWrap/>
            <w:vAlign w:val="bottom"/>
            <w:hideMark/>
          </w:tcPr>
          <w:p w14:paraId="2CFB5F1B" w14:textId="77777777" w:rsidR="00A709DB" w:rsidRPr="00E21F8C" w:rsidRDefault="00A709DB" w:rsidP="00A35A95">
            <w:pPr>
              <w:pStyle w:val="MDPI42tablebody"/>
              <w:rPr>
                <w:rFonts w:ascii="Times New Roman" w:hAnsi="Times New Roman"/>
                <w:sz w:val="18"/>
                <w:szCs w:val="18"/>
              </w:rPr>
            </w:pPr>
            <w:r w:rsidRPr="00E21F8C">
              <w:rPr>
                <w:rFonts w:ascii="Times New Roman" w:hAnsi="Times New Roman"/>
                <w:sz w:val="18"/>
                <w:szCs w:val="18"/>
              </w:rPr>
              <w:t>-9.22</w:t>
            </w:r>
          </w:p>
        </w:tc>
      </w:tr>
    </w:tbl>
    <w:p w14:paraId="3F6BF010" w14:textId="4F0405DD" w:rsidR="0006187C" w:rsidRDefault="0006187C" w:rsidP="00A91D23">
      <w:pPr>
        <w:jc w:val="both"/>
        <w:rPr>
          <w:rFonts w:ascii="Times New Roman" w:hAnsi="Times New Roman" w:cs="Times New Roman"/>
          <w:sz w:val="22"/>
          <w:szCs w:val="22"/>
          <w:lang w:val="en-US"/>
        </w:rPr>
      </w:pPr>
    </w:p>
    <w:p w14:paraId="0DAE6318" w14:textId="77777777" w:rsidR="00A35A95" w:rsidRDefault="00A35A95">
      <w:pPr>
        <w:rPr>
          <w:rFonts w:ascii="Times New Roman" w:hAnsi="Times New Roman" w:cs="Times New Roman"/>
          <w:sz w:val="22"/>
          <w:szCs w:val="22"/>
          <w:lang w:val="en-US"/>
        </w:rPr>
      </w:pPr>
    </w:p>
    <w:p w14:paraId="6861DF87" w14:textId="761C4750" w:rsidR="0006187C" w:rsidRDefault="0006187C">
      <w:pPr>
        <w:rPr>
          <w:rFonts w:ascii="Times New Roman" w:hAnsi="Times New Roman" w:cs="Times New Roman"/>
          <w:sz w:val="22"/>
          <w:szCs w:val="22"/>
          <w:lang w:val="en-US"/>
        </w:rPr>
      </w:pPr>
      <w:r>
        <w:rPr>
          <w:rFonts w:ascii="Times New Roman" w:hAnsi="Times New Roman" w:cs="Times New Roman"/>
          <w:sz w:val="22"/>
          <w:szCs w:val="22"/>
          <w:lang w:val="en-US"/>
        </w:rPr>
        <w:br w:type="page"/>
      </w:r>
    </w:p>
    <w:p w14:paraId="3D0FF932" w14:textId="3A8DE0C2" w:rsidR="00A35A95" w:rsidRPr="00051CC3" w:rsidRDefault="00A35A95" w:rsidP="00A35A95">
      <w:pPr>
        <w:pStyle w:val="MDPI41tablecaption"/>
        <w:ind w:left="0"/>
        <w:rPr>
          <w:rFonts w:ascii="Times New Roman" w:hAnsi="Times New Roman"/>
          <w:sz w:val="22"/>
        </w:rPr>
      </w:pPr>
      <w:r w:rsidRPr="00E21F8C">
        <w:rPr>
          <w:rFonts w:ascii="Times New Roman" w:hAnsi="Times New Roman"/>
          <w:b/>
          <w:bCs/>
          <w:sz w:val="22"/>
        </w:rPr>
        <w:lastRenderedPageBreak/>
        <w:t>Table</w:t>
      </w:r>
      <w:r>
        <w:rPr>
          <w:rFonts w:ascii="Times New Roman" w:hAnsi="Times New Roman"/>
          <w:b/>
          <w:bCs/>
          <w:sz w:val="22"/>
        </w:rPr>
        <w:t xml:space="preserve"> S3</w:t>
      </w:r>
      <w:r w:rsidRPr="00E21F8C">
        <w:rPr>
          <w:rFonts w:ascii="Times New Roman" w:hAnsi="Times New Roman"/>
          <w:b/>
          <w:bCs/>
          <w:sz w:val="22"/>
        </w:rPr>
        <w:t>.</w:t>
      </w:r>
      <w:r w:rsidRPr="00051CC3">
        <w:rPr>
          <w:rFonts w:ascii="Times New Roman" w:hAnsi="Times New Roman"/>
          <w:sz w:val="22"/>
        </w:rPr>
        <w:t xml:space="preserve"> </w:t>
      </w:r>
      <w:r>
        <w:rPr>
          <w:rFonts w:ascii="Times New Roman" w:hAnsi="Times New Roman"/>
          <w:sz w:val="22"/>
        </w:rPr>
        <w:t xml:space="preserve">Dataset of the selected SARS-CoV-2 therapeutic targets currently available at the </w:t>
      </w:r>
      <w:proofErr w:type="spellStart"/>
      <w:r>
        <w:rPr>
          <w:rFonts w:ascii="Times New Roman" w:hAnsi="Times New Roman"/>
          <w:sz w:val="22"/>
        </w:rPr>
        <w:t>DockThor</w:t>
      </w:r>
      <w:proofErr w:type="spellEnd"/>
      <w:r>
        <w:rPr>
          <w:rFonts w:ascii="Times New Roman" w:hAnsi="Times New Roman"/>
          <w:sz w:val="22"/>
        </w:rPr>
        <w:t>-VS web server</w:t>
      </w:r>
      <w:r w:rsidRPr="00051CC3">
        <w:rPr>
          <w:rFonts w:ascii="Times New Roman" w:hAnsi="Times New Roman"/>
          <w:sz w:val="22"/>
        </w:rPr>
        <w:t>.</w:t>
      </w:r>
    </w:p>
    <w:p w14:paraId="35E8BFB9" w14:textId="77777777" w:rsidR="00A35A95" w:rsidRDefault="00A35A95">
      <w:pPr>
        <w:rPr>
          <w:rFonts w:ascii="Times New Roman" w:hAnsi="Times New Roman" w:cs="Times New Roman"/>
          <w:sz w:val="22"/>
          <w:szCs w:val="22"/>
          <w:lang w:val="en-US"/>
        </w:rPr>
      </w:pPr>
    </w:p>
    <w:tbl>
      <w:tblPr>
        <w:tblW w:w="14743" w:type="dxa"/>
        <w:tblInd w:w="-709" w:type="dxa"/>
        <w:tblBorders>
          <w:top w:val="single" w:sz="4" w:space="0" w:color="auto"/>
          <w:bottom w:val="single" w:sz="4" w:space="0" w:color="auto"/>
        </w:tblBorders>
        <w:tblLayout w:type="fixed"/>
        <w:tblLook w:val="04A0" w:firstRow="1" w:lastRow="0" w:firstColumn="1" w:lastColumn="0" w:noHBand="0" w:noVBand="1"/>
      </w:tblPr>
      <w:tblGrid>
        <w:gridCol w:w="1276"/>
        <w:gridCol w:w="1276"/>
        <w:gridCol w:w="1418"/>
        <w:gridCol w:w="1269"/>
        <w:gridCol w:w="1139"/>
        <w:gridCol w:w="2553"/>
        <w:gridCol w:w="567"/>
        <w:gridCol w:w="1411"/>
        <w:gridCol w:w="1282"/>
        <w:gridCol w:w="1276"/>
        <w:gridCol w:w="1276"/>
      </w:tblGrid>
      <w:tr w:rsidR="001F0848" w:rsidRPr="00B821F0" w14:paraId="47F14E51" w14:textId="77777777" w:rsidTr="00A35A95">
        <w:trPr>
          <w:trHeight w:val="320"/>
        </w:trPr>
        <w:tc>
          <w:tcPr>
            <w:tcW w:w="1276" w:type="dxa"/>
            <w:tcBorders>
              <w:top w:val="single" w:sz="18" w:space="0" w:color="auto"/>
              <w:bottom w:val="single" w:sz="4" w:space="0" w:color="auto"/>
            </w:tcBorders>
            <w:shd w:val="clear" w:color="auto" w:fill="auto"/>
            <w:noWrap/>
            <w:vAlign w:val="center"/>
            <w:hideMark/>
          </w:tcPr>
          <w:p w14:paraId="2A7D2974" w14:textId="77777777" w:rsidR="00B821F0" w:rsidRPr="00B821F0" w:rsidRDefault="00B821F0" w:rsidP="00F7547D">
            <w:pPr>
              <w:jc w:val="center"/>
              <w:rPr>
                <w:rFonts w:ascii="Times New Roman" w:eastAsia="Times New Roman" w:hAnsi="Times New Roman" w:cs="Times New Roman"/>
                <w:b/>
                <w:bCs/>
                <w:color w:val="000000"/>
                <w:sz w:val="20"/>
                <w:szCs w:val="20"/>
              </w:rPr>
            </w:pPr>
            <w:r w:rsidRPr="00B821F0">
              <w:rPr>
                <w:rFonts w:ascii="Times New Roman" w:eastAsia="Times New Roman" w:hAnsi="Times New Roman" w:cs="Times New Roman"/>
                <w:b/>
                <w:bCs/>
                <w:color w:val="000000"/>
                <w:sz w:val="20"/>
                <w:szCs w:val="20"/>
              </w:rPr>
              <w:t>Target</w:t>
            </w:r>
          </w:p>
        </w:tc>
        <w:tc>
          <w:tcPr>
            <w:tcW w:w="1276" w:type="dxa"/>
            <w:tcBorders>
              <w:top w:val="single" w:sz="18" w:space="0" w:color="auto"/>
              <w:bottom w:val="single" w:sz="4" w:space="0" w:color="auto"/>
            </w:tcBorders>
            <w:shd w:val="clear" w:color="auto" w:fill="auto"/>
            <w:noWrap/>
            <w:vAlign w:val="center"/>
            <w:hideMark/>
          </w:tcPr>
          <w:p w14:paraId="1EAC02DC" w14:textId="77777777" w:rsidR="00B821F0" w:rsidRPr="00B821F0" w:rsidRDefault="00B821F0" w:rsidP="00F7547D">
            <w:pPr>
              <w:jc w:val="center"/>
              <w:rPr>
                <w:rFonts w:ascii="Times New Roman" w:eastAsia="Times New Roman" w:hAnsi="Times New Roman" w:cs="Times New Roman"/>
                <w:b/>
                <w:bCs/>
                <w:color w:val="000000"/>
                <w:sz w:val="20"/>
                <w:szCs w:val="20"/>
              </w:rPr>
            </w:pPr>
            <w:r w:rsidRPr="00B821F0">
              <w:rPr>
                <w:rFonts w:ascii="Times New Roman" w:eastAsia="Times New Roman" w:hAnsi="Times New Roman" w:cs="Times New Roman"/>
                <w:b/>
                <w:bCs/>
                <w:color w:val="000000"/>
                <w:sz w:val="20"/>
                <w:szCs w:val="20"/>
              </w:rPr>
              <w:t>PDB code</w:t>
            </w:r>
          </w:p>
        </w:tc>
        <w:tc>
          <w:tcPr>
            <w:tcW w:w="1418" w:type="dxa"/>
            <w:tcBorders>
              <w:top w:val="single" w:sz="18" w:space="0" w:color="auto"/>
              <w:bottom w:val="single" w:sz="4" w:space="0" w:color="auto"/>
            </w:tcBorders>
            <w:shd w:val="clear" w:color="auto" w:fill="auto"/>
            <w:noWrap/>
            <w:vAlign w:val="center"/>
            <w:hideMark/>
          </w:tcPr>
          <w:p w14:paraId="47F682D8" w14:textId="77777777" w:rsidR="00B821F0" w:rsidRPr="00B821F0" w:rsidRDefault="00B821F0" w:rsidP="00F7547D">
            <w:pPr>
              <w:jc w:val="center"/>
              <w:rPr>
                <w:rFonts w:ascii="Times New Roman" w:eastAsia="Times New Roman" w:hAnsi="Times New Roman" w:cs="Times New Roman"/>
                <w:b/>
                <w:bCs/>
                <w:color w:val="000000"/>
                <w:sz w:val="20"/>
                <w:szCs w:val="20"/>
              </w:rPr>
            </w:pPr>
            <w:r w:rsidRPr="00B821F0">
              <w:rPr>
                <w:rFonts w:ascii="Times New Roman" w:eastAsia="Times New Roman" w:hAnsi="Times New Roman" w:cs="Times New Roman"/>
                <w:b/>
                <w:bCs/>
                <w:color w:val="000000"/>
                <w:sz w:val="20"/>
                <w:szCs w:val="20"/>
              </w:rPr>
              <w:t>Method</w:t>
            </w:r>
          </w:p>
        </w:tc>
        <w:tc>
          <w:tcPr>
            <w:tcW w:w="1269" w:type="dxa"/>
            <w:tcBorders>
              <w:top w:val="single" w:sz="18" w:space="0" w:color="auto"/>
              <w:bottom w:val="single" w:sz="4" w:space="0" w:color="auto"/>
            </w:tcBorders>
            <w:shd w:val="clear" w:color="auto" w:fill="auto"/>
            <w:noWrap/>
            <w:vAlign w:val="center"/>
            <w:hideMark/>
          </w:tcPr>
          <w:p w14:paraId="570678E6" w14:textId="6FF435FC" w:rsidR="00B821F0" w:rsidRPr="00A35A95" w:rsidRDefault="00B821F0" w:rsidP="00F7547D">
            <w:pPr>
              <w:jc w:val="center"/>
              <w:rPr>
                <w:rFonts w:ascii="Times New Roman" w:eastAsia="Times New Roman" w:hAnsi="Times New Roman" w:cs="Times New Roman"/>
                <w:b/>
                <w:bCs/>
                <w:color w:val="000000"/>
                <w:sz w:val="20"/>
                <w:szCs w:val="20"/>
                <w:lang w:val="en-US"/>
              </w:rPr>
            </w:pPr>
            <w:r w:rsidRPr="00B821F0">
              <w:rPr>
                <w:rFonts w:ascii="Times New Roman" w:eastAsia="Times New Roman" w:hAnsi="Times New Roman" w:cs="Times New Roman"/>
                <w:b/>
                <w:bCs/>
                <w:color w:val="000000"/>
                <w:sz w:val="20"/>
                <w:szCs w:val="20"/>
              </w:rPr>
              <w:t>Resolution</w:t>
            </w:r>
            <w:r w:rsidR="00A35A95" w:rsidRPr="00A35A95">
              <w:rPr>
                <w:rFonts w:ascii="Times New Roman" w:eastAsia="Times New Roman" w:hAnsi="Times New Roman" w:cs="Times New Roman"/>
                <w:b/>
                <w:bCs/>
                <w:color w:val="000000"/>
                <w:sz w:val="20"/>
                <w:szCs w:val="20"/>
                <w:vertAlign w:val="superscript"/>
                <w:lang w:val="en-US"/>
              </w:rPr>
              <w:t>a</w:t>
            </w:r>
          </w:p>
        </w:tc>
        <w:tc>
          <w:tcPr>
            <w:tcW w:w="1139" w:type="dxa"/>
            <w:tcBorders>
              <w:top w:val="single" w:sz="18" w:space="0" w:color="auto"/>
              <w:bottom w:val="single" w:sz="4" w:space="0" w:color="auto"/>
            </w:tcBorders>
            <w:shd w:val="clear" w:color="auto" w:fill="auto"/>
            <w:noWrap/>
            <w:vAlign w:val="center"/>
            <w:hideMark/>
          </w:tcPr>
          <w:p w14:paraId="2E5906FE" w14:textId="77777777" w:rsidR="00B821F0" w:rsidRPr="00B821F0" w:rsidRDefault="00B821F0" w:rsidP="00F7547D">
            <w:pPr>
              <w:jc w:val="center"/>
              <w:rPr>
                <w:rFonts w:ascii="Times New Roman" w:eastAsia="Times New Roman" w:hAnsi="Times New Roman" w:cs="Times New Roman"/>
                <w:b/>
                <w:bCs/>
                <w:color w:val="000000"/>
                <w:sz w:val="20"/>
                <w:szCs w:val="20"/>
              </w:rPr>
            </w:pPr>
            <w:r w:rsidRPr="00B821F0">
              <w:rPr>
                <w:rFonts w:ascii="Times New Roman" w:eastAsia="Times New Roman" w:hAnsi="Times New Roman" w:cs="Times New Roman"/>
                <w:b/>
                <w:bCs/>
                <w:color w:val="000000"/>
                <w:sz w:val="20"/>
                <w:szCs w:val="20"/>
              </w:rPr>
              <w:t>Ligand</w:t>
            </w:r>
          </w:p>
        </w:tc>
        <w:tc>
          <w:tcPr>
            <w:tcW w:w="2553" w:type="dxa"/>
            <w:tcBorders>
              <w:top w:val="single" w:sz="18" w:space="0" w:color="auto"/>
              <w:bottom w:val="single" w:sz="4" w:space="0" w:color="auto"/>
            </w:tcBorders>
            <w:shd w:val="clear" w:color="auto" w:fill="auto"/>
            <w:noWrap/>
            <w:vAlign w:val="center"/>
            <w:hideMark/>
          </w:tcPr>
          <w:p w14:paraId="286E0648" w14:textId="77777777" w:rsidR="00B821F0" w:rsidRPr="00B821F0" w:rsidRDefault="00B821F0" w:rsidP="00F7547D">
            <w:pPr>
              <w:jc w:val="center"/>
              <w:rPr>
                <w:rFonts w:ascii="Times New Roman" w:eastAsia="Times New Roman" w:hAnsi="Times New Roman" w:cs="Times New Roman"/>
                <w:b/>
                <w:bCs/>
                <w:color w:val="000000"/>
                <w:sz w:val="20"/>
                <w:szCs w:val="20"/>
              </w:rPr>
            </w:pPr>
            <w:r w:rsidRPr="00B821F0">
              <w:rPr>
                <w:rFonts w:ascii="Times New Roman" w:eastAsia="Times New Roman" w:hAnsi="Times New Roman" w:cs="Times New Roman"/>
                <w:b/>
                <w:bCs/>
                <w:color w:val="000000"/>
                <w:sz w:val="20"/>
                <w:szCs w:val="20"/>
              </w:rPr>
              <w:t>Reference</w:t>
            </w:r>
          </w:p>
        </w:tc>
        <w:tc>
          <w:tcPr>
            <w:tcW w:w="567" w:type="dxa"/>
            <w:tcBorders>
              <w:top w:val="single" w:sz="18" w:space="0" w:color="auto"/>
              <w:bottom w:val="single" w:sz="4" w:space="0" w:color="auto"/>
            </w:tcBorders>
            <w:shd w:val="clear" w:color="auto" w:fill="auto"/>
            <w:noWrap/>
            <w:vAlign w:val="center"/>
            <w:hideMark/>
          </w:tcPr>
          <w:p w14:paraId="1FF3C0FD" w14:textId="77777777" w:rsidR="00B821F0" w:rsidRPr="00B821F0" w:rsidRDefault="00B821F0" w:rsidP="00F7547D">
            <w:pPr>
              <w:jc w:val="center"/>
              <w:rPr>
                <w:rFonts w:ascii="Times New Roman" w:eastAsia="Times New Roman" w:hAnsi="Times New Roman" w:cs="Times New Roman"/>
                <w:b/>
                <w:bCs/>
                <w:color w:val="000000"/>
                <w:sz w:val="20"/>
                <w:szCs w:val="20"/>
              </w:rPr>
            </w:pPr>
            <w:r w:rsidRPr="00B821F0">
              <w:rPr>
                <w:rFonts w:ascii="Times New Roman" w:eastAsia="Times New Roman" w:hAnsi="Times New Roman" w:cs="Times New Roman"/>
                <w:b/>
                <w:bCs/>
                <w:color w:val="000000"/>
                <w:sz w:val="20"/>
                <w:szCs w:val="20"/>
              </w:rPr>
              <w:t>pH</w:t>
            </w:r>
          </w:p>
        </w:tc>
        <w:tc>
          <w:tcPr>
            <w:tcW w:w="1411" w:type="dxa"/>
            <w:tcBorders>
              <w:top w:val="single" w:sz="18" w:space="0" w:color="auto"/>
              <w:bottom w:val="single" w:sz="4" w:space="0" w:color="auto"/>
            </w:tcBorders>
            <w:shd w:val="clear" w:color="auto" w:fill="auto"/>
            <w:noWrap/>
            <w:vAlign w:val="center"/>
            <w:hideMark/>
          </w:tcPr>
          <w:p w14:paraId="653F72AA" w14:textId="2DC823F8" w:rsidR="00B821F0" w:rsidRPr="00A35A95" w:rsidRDefault="00B821F0" w:rsidP="00F7547D">
            <w:pPr>
              <w:jc w:val="center"/>
              <w:rPr>
                <w:rFonts w:ascii="Times New Roman" w:eastAsia="Times New Roman" w:hAnsi="Times New Roman" w:cs="Times New Roman"/>
                <w:b/>
                <w:bCs/>
                <w:color w:val="000000"/>
                <w:sz w:val="20"/>
                <w:szCs w:val="20"/>
                <w:lang w:val="en-US"/>
              </w:rPr>
            </w:pPr>
            <w:r w:rsidRPr="00B821F0">
              <w:rPr>
                <w:rFonts w:ascii="Times New Roman" w:eastAsia="Times New Roman" w:hAnsi="Times New Roman" w:cs="Times New Roman"/>
                <w:b/>
                <w:bCs/>
                <w:color w:val="000000"/>
                <w:sz w:val="20"/>
                <w:szCs w:val="20"/>
              </w:rPr>
              <w:t>Redocking</w:t>
            </w:r>
            <w:proofErr w:type="spellStart"/>
            <w:r w:rsidR="00A35A95" w:rsidRPr="00A35A95">
              <w:rPr>
                <w:rFonts w:ascii="Times New Roman" w:eastAsia="Times New Roman" w:hAnsi="Times New Roman" w:cs="Times New Roman"/>
                <w:b/>
                <w:bCs/>
                <w:color w:val="000000"/>
                <w:sz w:val="20"/>
                <w:szCs w:val="20"/>
                <w:vertAlign w:val="superscript"/>
                <w:lang w:val="en-US"/>
              </w:rPr>
              <w:t>a</w:t>
            </w:r>
            <w:r w:rsidR="00A35A95">
              <w:rPr>
                <w:rFonts w:ascii="Times New Roman" w:eastAsia="Times New Roman" w:hAnsi="Times New Roman" w:cs="Times New Roman"/>
                <w:b/>
                <w:bCs/>
                <w:color w:val="000000"/>
                <w:sz w:val="20"/>
                <w:szCs w:val="20"/>
                <w:vertAlign w:val="superscript"/>
                <w:lang w:val="en-US"/>
              </w:rPr>
              <w:t>,b</w:t>
            </w:r>
            <w:proofErr w:type="spellEnd"/>
          </w:p>
        </w:tc>
        <w:tc>
          <w:tcPr>
            <w:tcW w:w="1282" w:type="dxa"/>
            <w:tcBorders>
              <w:top w:val="single" w:sz="18" w:space="0" w:color="auto"/>
              <w:bottom w:val="single" w:sz="4" w:space="0" w:color="auto"/>
            </w:tcBorders>
            <w:shd w:val="clear" w:color="auto" w:fill="auto"/>
            <w:noWrap/>
            <w:vAlign w:val="center"/>
            <w:hideMark/>
          </w:tcPr>
          <w:p w14:paraId="4E1ECBE8" w14:textId="77777777" w:rsidR="00B821F0" w:rsidRPr="00B821F0" w:rsidRDefault="00B821F0" w:rsidP="00F7547D">
            <w:pPr>
              <w:jc w:val="center"/>
              <w:rPr>
                <w:rFonts w:ascii="Times New Roman" w:eastAsia="Times New Roman" w:hAnsi="Times New Roman" w:cs="Times New Roman"/>
                <w:b/>
                <w:bCs/>
                <w:color w:val="000000"/>
                <w:sz w:val="20"/>
                <w:szCs w:val="20"/>
              </w:rPr>
            </w:pPr>
            <w:r w:rsidRPr="00B821F0">
              <w:rPr>
                <w:rFonts w:ascii="Times New Roman" w:eastAsia="Times New Roman" w:hAnsi="Times New Roman" w:cs="Times New Roman"/>
                <w:b/>
                <w:bCs/>
                <w:color w:val="000000"/>
                <w:sz w:val="20"/>
                <w:szCs w:val="20"/>
              </w:rPr>
              <w:t>Grid Center X</w:t>
            </w:r>
          </w:p>
        </w:tc>
        <w:tc>
          <w:tcPr>
            <w:tcW w:w="1276" w:type="dxa"/>
            <w:tcBorders>
              <w:top w:val="single" w:sz="18" w:space="0" w:color="auto"/>
              <w:bottom w:val="single" w:sz="4" w:space="0" w:color="auto"/>
            </w:tcBorders>
            <w:shd w:val="clear" w:color="auto" w:fill="auto"/>
            <w:noWrap/>
            <w:vAlign w:val="center"/>
            <w:hideMark/>
          </w:tcPr>
          <w:p w14:paraId="0E816F8E" w14:textId="77777777" w:rsidR="00B821F0" w:rsidRPr="00B821F0" w:rsidRDefault="00B821F0" w:rsidP="00F7547D">
            <w:pPr>
              <w:jc w:val="center"/>
              <w:rPr>
                <w:rFonts w:ascii="Times New Roman" w:eastAsia="Times New Roman" w:hAnsi="Times New Roman" w:cs="Times New Roman"/>
                <w:b/>
                <w:bCs/>
                <w:color w:val="000000"/>
                <w:sz w:val="20"/>
                <w:szCs w:val="20"/>
              </w:rPr>
            </w:pPr>
            <w:r w:rsidRPr="00B821F0">
              <w:rPr>
                <w:rFonts w:ascii="Times New Roman" w:eastAsia="Times New Roman" w:hAnsi="Times New Roman" w:cs="Times New Roman"/>
                <w:b/>
                <w:bCs/>
                <w:color w:val="000000"/>
                <w:sz w:val="20"/>
                <w:szCs w:val="20"/>
              </w:rPr>
              <w:t>Grid Center Y</w:t>
            </w:r>
          </w:p>
        </w:tc>
        <w:tc>
          <w:tcPr>
            <w:tcW w:w="1276" w:type="dxa"/>
            <w:tcBorders>
              <w:top w:val="single" w:sz="18" w:space="0" w:color="auto"/>
              <w:bottom w:val="single" w:sz="4" w:space="0" w:color="auto"/>
            </w:tcBorders>
            <w:shd w:val="clear" w:color="auto" w:fill="auto"/>
            <w:noWrap/>
            <w:vAlign w:val="center"/>
            <w:hideMark/>
          </w:tcPr>
          <w:p w14:paraId="16A1601F" w14:textId="77777777" w:rsidR="00B821F0" w:rsidRPr="00B821F0" w:rsidRDefault="00B821F0" w:rsidP="00F7547D">
            <w:pPr>
              <w:jc w:val="center"/>
              <w:rPr>
                <w:rFonts w:ascii="Times New Roman" w:eastAsia="Times New Roman" w:hAnsi="Times New Roman" w:cs="Times New Roman"/>
                <w:b/>
                <w:bCs/>
                <w:color w:val="000000"/>
                <w:sz w:val="20"/>
                <w:szCs w:val="20"/>
              </w:rPr>
            </w:pPr>
            <w:r w:rsidRPr="00B821F0">
              <w:rPr>
                <w:rFonts w:ascii="Times New Roman" w:eastAsia="Times New Roman" w:hAnsi="Times New Roman" w:cs="Times New Roman"/>
                <w:b/>
                <w:bCs/>
                <w:color w:val="000000"/>
                <w:sz w:val="20"/>
                <w:szCs w:val="20"/>
              </w:rPr>
              <w:t>Grid Center Z</w:t>
            </w:r>
          </w:p>
        </w:tc>
      </w:tr>
      <w:tr w:rsidR="001F0848" w:rsidRPr="00B821F0" w14:paraId="375D7B3B" w14:textId="77777777" w:rsidTr="00A35A95">
        <w:trPr>
          <w:trHeight w:val="320"/>
        </w:trPr>
        <w:tc>
          <w:tcPr>
            <w:tcW w:w="1276" w:type="dxa"/>
            <w:vMerge w:val="restart"/>
            <w:tcBorders>
              <w:top w:val="single" w:sz="4" w:space="0" w:color="auto"/>
              <w:bottom w:val="nil"/>
            </w:tcBorders>
            <w:shd w:val="clear" w:color="auto" w:fill="auto"/>
            <w:noWrap/>
            <w:vAlign w:val="center"/>
            <w:hideMark/>
          </w:tcPr>
          <w:p w14:paraId="0F565717" w14:textId="77777777" w:rsidR="00B821F0" w:rsidRPr="00B821F0" w:rsidRDefault="00B821F0" w:rsidP="00F7547D">
            <w:pPr>
              <w:jc w:val="center"/>
              <w:rPr>
                <w:rFonts w:ascii="Times New Roman" w:eastAsia="Times New Roman" w:hAnsi="Times New Roman" w:cs="Times New Roman"/>
                <w:b/>
                <w:bCs/>
                <w:color w:val="000000"/>
                <w:sz w:val="20"/>
                <w:szCs w:val="20"/>
              </w:rPr>
            </w:pPr>
            <w:r w:rsidRPr="00B821F0">
              <w:rPr>
                <w:rFonts w:ascii="Times New Roman" w:eastAsia="Times New Roman" w:hAnsi="Times New Roman" w:cs="Times New Roman"/>
                <w:b/>
                <w:bCs/>
                <w:color w:val="000000"/>
                <w:sz w:val="20"/>
                <w:szCs w:val="20"/>
              </w:rPr>
              <w:t>Nsp3 (PLpro)</w:t>
            </w:r>
          </w:p>
        </w:tc>
        <w:tc>
          <w:tcPr>
            <w:tcW w:w="1276" w:type="dxa"/>
            <w:tcBorders>
              <w:top w:val="single" w:sz="4" w:space="0" w:color="auto"/>
              <w:bottom w:val="nil"/>
            </w:tcBorders>
            <w:shd w:val="clear" w:color="auto" w:fill="auto"/>
            <w:noWrap/>
            <w:vAlign w:val="center"/>
            <w:hideMark/>
          </w:tcPr>
          <w:p w14:paraId="7E57C2C7"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6W9C</w:t>
            </w:r>
          </w:p>
        </w:tc>
        <w:tc>
          <w:tcPr>
            <w:tcW w:w="1418" w:type="dxa"/>
            <w:tcBorders>
              <w:top w:val="single" w:sz="4" w:space="0" w:color="auto"/>
              <w:bottom w:val="nil"/>
            </w:tcBorders>
            <w:shd w:val="clear" w:color="auto" w:fill="auto"/>
            <w:noWrap/>
            <w:vAlign w:val="center"/>
            <w:hideMark/>
          </w:tcPr>
          <w:p w14:paraId="07D839B1"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X-ray</w:t>
            </w:r>
          </w:p>
        </w:tc>
        <w:tc>
          <w:tcPr>
            <w:tcW w:w="1269" w:type="dxa"/>
            <w:tcBorders>
              <w:top w:val="single" w:sz="4" w:space="0" w:color="auto"/>
              <w:bottom w:val="nil"/>
            </w:tcBorders>
            <w:shd w:val="clear" w:color="auto" w:fill="auto"/>
            <w:noWrap/>
            <w:vAlign w:val="center"/>
            <w:hideMark/>
          </w:tcPr>
          <w:p w14:paraId="0D29F646"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2.70</w:t>
            </w:r>
          </w:p>
        </w:tc>
        <w:tc>
          <w:tcPr>
            <w:tcW w:w="1139" w:type="dxa"/>
            <w:tcBorders>
              <w:top w:val="single" w:sz="4" w:space="0" w:color="auto"/>
              <w:bottom w:val="nil"/>
            </w:tcBorders>
            <w:shd w:val="clear" w:color="auto" w:fill="auto"/>
            <w:noWrap/>
            <w:vAlign w:val="center"/>
            <w:hideMark/>
          </w:tcPr>
          <w:p w14:paraId="1DD98D09"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no</w:t>
            </w:r>
          </w:p>
        </w:tc>
        <w:tc>
          <w:tcPr>
            <w:tcW w:w="2553" w:type="dxa"/>
            <w:tcBorders>
              <w:top w:val="single" w:sz="4" w:space="0" w:color="auto"/>
              <w:bottom w:val="nil"/>
            </w:tcBorders>
            <w:shd w:val="clear" w:color="auto" w:fill="auto"/>
            <w:noWrap/>
            <w:vAlign w:val="center"/>
            <w:hideMark/>
          </w:tcPr>
          <w:p w14:paraId="3E044F30"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To be published</w:t>
            </w:r>
          </w:p>
        </w:tc>
        <w:tc>
          <w:tcPr>
            <w:tcW w:w="567" w:type="dxa"/>
            <w:tcBorders>
              <w:top w:val="single" w:sz="4" w:space="0" w:color="auto"/>
              <w:bottom w:val="nil"/>
            </w:tcBorders>
            <w:shd w:val="clear" w:color="auto" w:fill="auto"/>
            <w:noWrap/>
            <w:vAlign w:val="center"/>
            <w:hideMark/>
          </w:tcPr>
          <w:p w14:paraId="465EB1C3"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1411" w:type="dxa"/>
            <w:tcBorders>
              <w:top w:val="single" w:sz="4" w:space="0" w:color="auto"/>
              <w:bottom w:val="nil"/>
            </w:tcBorders>
            <w:shd w:val="clear" w:color="auto" w:fill="auto"/>
            <w:noWrap/>
            <w:vAlign w:val="center"/>
            <w:hideMark/>
          </w:tcPr>
          <w:p w14:paraId="39D67110"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1282" w:type="dxa"/>
            <w:vMerge w:val="restart"/>
            <w:tcBorders>
              <w:top w:val="single" w:sz="4" w:space="0" w:color="auto"/>
              <w:bottom w:val="nil"/>
            </w:tcBorders>
            <w:shd w:val="clear" w:color="auto" w:fill="auto"/>
            <w:noWrap/>
            <w:vAlign w:val="center"/>
            <w:hideMark/>
          </w:tcPr>
          <w:p w14:paraId="72BC49E0" w14:textId="155C9A70" w:rsidR="00B821F0" w:rsidRPr="00076404" w:rsidRDefault="00B821F0" w:rsidP="00F7547D">
            <w:pPr>
              <w:jc w:val="center"/>
              <w:rPr>
                <w:rFonts w:ascii="Times New Roman" w:eastAsia="Times New Roman" w:hAnsi="Times New Roman" w:cs="Times New Roman"/>
                <w:color w:val="000000"/>
                <w:sz w:val="20"/>
                <w:szCs w:val="20"/>
                <w:lang w:val="en-US"/>
              </w:rPr>
            </w:pPr>
            <w:r w:rsidRPr="00B821F0">
              <w:rPr>
                <w:rFonts w:ascii="Times New Roman" w:eastAsia="Times New Roman" w:hAnsi="Times New Roman" w:cs="Times New Roman"/>
                <w:color w:val="000000"/>
                <w:sz w:val="20"/>
                <w:szCs w:val="20"/>
              </w:rPr>
              <w:t>-</w:t>
            </w:r>
            <w:r w:rsidR="00076404">
              <w:rPr>
                <w:rFonts w:ascii="Times New Roman" w:eastAsia="Times New Roman" w:hAnsi="Times New Roman" w:cs="Times New Roman"/>
                <w:color w:val="000000"/>
                <w:sz w:val="20"/>
                <w:szCs w:val="20"/>
                <w:lang w:val="en-US"/>
              </w:rPr>
              <w:t>31.10</w:t>
            </w:r>
          </w:p>
        </w:tc>
        <w:tc>
          <w:tcPr>
            <w:tcW w:w="1276" w:type="dxa"/>
            <w:vMerge w:val="restart"/>
            <w:tcBorders>
              <w:top w:val="single" w:sz="4" w:space="0" w:color="auto"/>
              <w:bottom w:val="nil"/>
            </w:tcBorders>
            <w:shd w:val="clear" w:color="auto" w:fill="auto"/>
            <w:noWrap/>
            <w:vAlign w:val="center"/>
            <w:hideMark/>
          </w:tcPr>
          <w:p w14:paraId="3C6B1920" w14:textId="6D0138C1" w:rsidR="00B821F0" w:rsidRPr="00076404" w:rsidRDefault="00076404" w:rsidP="00F7547D">
            <w:pPr>
              <w:jc w:val="center"/>
              <w:rPr>
                <w:rFonts w:ascii="Times New Roman" w:eastAsia="Times New Roman" w:hAnsi="Times New Roman" w:cs="Times New Roman"/>
                <w:color w:val="000000"/>
                <w:sz w:val="20"/>
                <w:szCs w:val="20"/>
                <w:lang w:val="en-US"/>
              </w:rPr>
            </w:pPr>
            <w:r>
              <w:rPr>
                <w:rFonts w:ascii="Times New Roman" w:eastAsia="Times New Roman" w:hAnsi="Times New Roman" w:cs="Times New Roman"/>
                <w:color w:val="000000"/>
                <w:sz w:val="20"/>
                <w:szCs w:val="20"/>
                <w:lang w:val="en-US"/>
              </w:rPr>
              <w:t>21.80</w:t>
            </w:r>
          </w:p>
        </w:tc>
        <w:tc>
          <w:tcPr>
            <w:tcW w:w="1276" w:type="dxa"/>
            <w:vMerge w:val="restart"/>
            <w:tcBorders>
              <w:top w:val="single" w:sz="4" w:space="0" w:color="auto"/>
              <w:bottom w:val="nil"/>
            </w:tcBorders>
            <w:shd w:val="clear" w:color="auto" w:fill="auto"/>
            <w:noWrap/>
            <w:vAlign w:val="center"/>
            <w:hideMark/>
          </w:tcPr>
          <w:p w14:paraId="73AFB91D" w14:textId="0E007589" w:rsidR="00B821F0" w:rsidRPr="00076404" w:rsidRDefault="00076404" w:rsidP="00F7547D">
            <w:pPr>
              <w:jc w:val="center"/>
              <w:rPr>
                <w:rFonts w:ascii="Times New Roman" w:eastAsia="Times New Roman" w:hAnsi="Times New Roman" w:cs="Times New Roman"/>
                <w:color w:val="000000"/>
                <w:sz w:val="20"/>
                <w:szCs w:val="20"/>
                <w:lang w:val="en-US"/>
              </w:rPr>
            </w:pPr>
            <w:r>
              <w:rPr>
                <w:rFonts w:ascii="Times New Roman" w:eastAsia="Times New Roman" w:hAnsi="Times New Roman" w:cs="Times New Roman"/>
                <w:color w:val="000000"/>
                <w:sz w:val="20"/>
                <w:szCs w:val="20"/>
                <w:lang w:val="en-US"/>
              </w:rPr>
              <w:t>33.50</w:t>
            </w:r>
          </w:p>
        </w:tc>
      </w:tr>
      <w:tr w:rsidR="001F0848" w:rsidRPr="00B821F0" w14:paraId="0E4E3E47" w14:textId="77777777" w:rsidTr="00A35A95">
        <w:trPr>
          <w:trHeight w:val="320"/>
        </w:trPr>
        <w:tc>
          <w:tcPr>
            <w:tcW w:w="1276" w:type="dxa"/>
            <w:vMerge/>
            <w:tcBorders>
              <w:top w:val="nil"/>
              <w:bottom w:val="single" w:sz="4" w:space="0" w:color="auto"/>
            </w:tcBorders>
            <w:vAlign w:val="center"/>
            <w:hideMark/>
          </w:tcPr>
          <w:p w14:paraId="184D5D47" w14:textId="77777777" w:rsidR="00B821F0" w:rsidRPr="00B821F0" w:rsidRDefault="00B821F0" w:rsidP="00F7547D">
            <w:pPr>
              <w:jc w:val="center"/>
              <w:rPr>
                <w:rFonts w:ascii="Times New Roman" w:eastAsia="Times New Roman" w:hAnsi="Times New Roman" w:cs="Times New Roman"/>
                <w:b/>
                <w:bCs/>
                <w:color w:val="000000"/>
                <w:sz w:val="20"/>
                <w:szCs w:val="20"/>
              </w:rPr>
            </w:pPr>
          </w:p>
        </w:tc>
        <w:tc>
          <w:tcPr>
            <w:tcW w:w="1276" w:type="dxa"/>
            <w:tcBorders>
              <w:top w:val="nil"/>
              <w:bottom w:val="single" w:sz="4" w:space="0" w:color="auto"/>
            </w:tcBorders>
            <w:shd w:val="clear" w:color="auto" w:fill="auto"/>
            <w:noWrap/>
            <w:vAlign w:val="center"/>
            <w:hideMark/>
          </w:tcPr>
          <w:p w14:paraId="6B003446"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6WX4</w:t>
            </w:r>
          </w:p>
        </w:tc>
        <w:tc>
          <w:tcPr>
            <w:tcW w:w="1418" w:type="dxa"/>
            <w:tcBorders>
              <w:top w:val="nil"/>
              <w:bottom w:val="single" w:sz="4" w:space="0" w:color="auto"/>
            </w:tcBorders>
            <w:shd w:val="clear" w:color="auto" w:fill="auto"/>
            <w:noWrap/>
            <w:vAlign w:val="center"/>
            <w:hideMark/>
          </w:tcPr>
          <w:p w14:paraId="01E24636"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X-ray</w:t>
            </w:r>
          </w:p>
        </w:tc>
        <w:tc>
          <w:tcPr>
            <w:tcW w:w="1269" w:type="dxa"/>
            <w:tcBorders>
              <w:top w:val="nil"/>
              <w:bottom w:val="single" w:sz="4" w:space="0" w:color="auto"/>
            </w:tcBorders>
            <w:shd w:val="clear" w:color="auto" w:fill="auto"/>
            <w:noWrap/>
            <w:vAlign w:val="center"/>
            <w:hideMark/>
          </w:tcPr>
          <w:p w14:paraId="60AC44EE"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1.66</w:t>
            </w:r>
          </w:p>
        </w:tc>
        <w:tc>
          <w:tcPr>
            <w:tcW w:w="1139" w:type="dxa"/>
            <w:tcBorders>
              <w:top w:val="nil"/>
              <w:bottom w:val="single" w:sz="4" w:space="0" w:color="auto"/>
            </w:tcBorders>
            <w:shd w:val="clear" w:color="auto" w:fill="auto"/>
            <w:noWrap/>
            <w:vAlign w:val="center"/>
            <w:hideMark/>
          </w:tcPr>
          <w:p w14:paraId="4BDD4AF6"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VIR251</w:t>
            </w:r>
          </w:p>
        </w:tc>
        <w:tc>
          <w:tcPr>
            <w:tcW w:w="2553" w:type="dxa"/>
            <w:tcBorders>
              <w:top w:val="nil"/>
              <w:bottom w:val="single" w:sz="4" w:space="0" w:color="auto"/>
            </w:tcBorders>
            <w:shd w:val="clear" w:color="auto" w:fill="auto"/>
            <w:noWrap/>
            <w:vAlign w:val="center"/>
            <w:hideMark/>
          </w:tcPr>
          <w:p w14:paraId="03918A73"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10.1101/2020.04.29.068890</w:t>
            </w:r>
          </w:p>
        </w:tc>
        <w:tc>
          <w:tcPr>
            <w:tcW w:w="567" w:type="dxa"/>
            <w:tcBorders>
              <w:top w:val="nil"/>
              <w:bottom w:val="single" w:sz="4" w:space="0" w:color="auto"/>
            </w:tcBorders>
            <w:shd w:val="clear" w:color="auto" w:fill="auto"/>
            <w:noWrap/>
            <w:vAlign w:val="center"/>
            <w:hideMark/>
          </w:tcPr>
          <w:p w14:paraId="01791168"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1411" w:type="dxa"/>
            <w:tcBorders>
              <w:top w:val="nil"/>
              <w:bottom w:val="single" w:sz="4" w:space="0" w:color="auto"/>
            </w:tcBorders>
            <w:shd w:val="clear" w:color="auto" w:fill="auto"/>
            <w:noWrap/>
            <w:vAlign w:val="center"/>
            <w:hideMark/>
          </w:tcPr>
          <w:p w14:paraId="1C9D7C07"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1282" w:type="dxa"/>
            <w:vMerge/>
            <w:tcBorders>
              <w:top w:val="nil"/>
              <w:bottom w:val="single" w:sz="4" w:space="0" w:color="auto"/>
            </w:tcBorders>
            <w:vAlign w:val="center"/>
            <w:hideMark/>
          </w:tcPr>
          <w:p w14:paraId="60ABE9B1"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76" w:type="dxa"/>
            <w:vMerge/>
            <w:tcBorders>
              <w:top w:val="nil"/>
              <w:bottom w:val="single" w:sz="4" w:space="0" w:color="auto"/>
            </w:tcBorders>
            <w:vAlign w:val="center"/>
            <w:hideMark/>
          </w:tcPr>
          <w:p w14:paraId="3E3105C7"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76" w:type="dxa"/>
            <w:vMerge/>
            <w:tcBorders>
              <w:top w:val="nil"/>
              <w:bottom w:val="single" w:sz="4" w:space="0" w:color="auto"/>
            </w:tcBorders>
            <w:vAlign w:val="center"/>
            <w:hideMark/>
          </w:tcPr>
          <w:p w14:paraId="79B7769C" w14:textId="77777777" w:rsidR="00B821F0" w:rsidRPr="00B821F0" w:rsidRDefault="00B821F0" w:rsidP="00F7547D">
            <w:pPr>
              <w:jc w:val="center"/>
              <w:rPr>
                <w:rFonts w:ascii="Times New Roman" w:eastAsia="Times New Roman" w:hAnsi="Times New Roman" w:cs="Times New Roman"/>
                <w:color w:val="000000"/>
                <w:sz w:val="20"/>
                <w:szCs w:val="20"/>
              </w:rPr>
            </w:pPr>
          </w:p>
        </w:tc>
      </w:tr>
      <w:tr w:rsidR="001F0848" w:rsidRPr="00B821F0" w14:paraId="4F902F99" w14:textId="77777777" w:rsidTr="00A35A95">
        <w:trPr>
          <w:trHeight w:val="320"/>
        </w:trPr>
        <w:tc>
          <w:tcPr>
            <w:tcW w:w="1276" w:type="dxa"/>
            <w:vMerge w:val="restart"/>
            <w:tcBorders>
              <w:top w:val="single" w:sz="4" w:space="0" w:color="auto"/>
              <w:bottom w:val="nil"/>
            </w:tcBorders>
            <w:shd w:val="clear" w:color="auto" w:fill="auto"/>
            <w:noWrap/>
            <w:vAlign w:val="center"/>
            <w:hideMark/>
          </w:tcPr>
          <w:p w14:paraId="6AB7EA27" w14:textId="77777777" w:rsidR="00B821F0" w:rsidRPr="00B821F0" w:rsidRDefault="00B821F0" w:rsidP="00F7547D">
            <w:pPr>
              <w:jc w:val="center"/>
              <w:rPr>
                <w:rFonts w:ascii="Times New Roman" w:eastAsia="Times New Roman" w:hAnsi="Times New Roman" w:cs="Times New Roman"/>
                <w:b/>
                <w:bCs/>
                <w:color w:val="000000"/>
                <w:sz w:val="20"/>
                <w:szCs w:val="20"/>
              </w:rPr>
            </w:pPr>
            <w:r w:rsidRPr="00B821F0">
              <w:rPr>
                <w:rFonts w:ascii="Times New Roman" w:eastAsia="Times New Roman" w:hAnsi="Times New Roman" w:cs="Times New Roman"/>
                <w:b/>
                <w:bCs/>
                <w:color w:val="000000"/>
                <w:sz w:val="20"/>
                <w:szCs w:val="20"/>
              </w:rPr>
              <w:t>Nsp5 (Mpro)</w:t>
            </w:r>
          </w:p>
        </w:tc>
        <w:tc>
          <w:tcPr>
            <w:tcW w:w="1276" w:type="dxa"/>
            <w:tcBorders>
              <w:top w:val="single" w:sz="4" w:space="0" w:color="auto"/>
              <w:bottom w:val="nil"/>
            </w:tcBorders>
            <w:shd w:val="clear" w:color="auto" w:fill="auto"/>
            <w:noWrap/>
            <w:vAlign w:val="center"/>
            <w:hideMark/>
          </w:tcPr>
          <w:p w14:paraId="2C9EDB7F"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6LU7</w:t>
            </w:r>
          </w:p>
        </w:tc>
        <w:tc>
          <w:tcPr>
            <w:tcW w:w="1418" w:type="dxa"/>
            <w:tcBorders>
              <w:top w:val="single" w:sz="4" w:space="0" w:color="auto"/>
              <w:bottom w:val="nil"/>
            </w:tcBorders>
            <w:shd w:val="clear" w:color="auto" w:fill="auto"/>
            <w:noWrap/>
            <w:vAlign w:val="center"/>
            <w:hideMark/>
          </w:tcPr>
          <w:p w14:paraId="65575E3E"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X-ray</w:t>
            </w:r>
          </w:p>
        </w:tc>
        <w:tc>
          <w:tcPr>
            <w:tcW w:w="1269" w:type="dxa"/>
            <w:tcBorders>
              <w:top w:val="single" w:sz="4" w:space="0" w:color="auto"/>
              <w:bottom w:val="nil"/>
            </w:tcBorders>
            <w:shd w:val="clear" w:color="auto" w:fill="auto"/>
            <w:noWrap/>
            <w:vAlign w:val="center"/>
            <w:hideMark/>
          </w:tcPr>
          <w:p w14:paraId="63C758D2"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2.16</w:t>
            </w:r>
          </w:p>
        </w:tc>
        <w:tc>
          <w:tcPr>
            <w:tcW w:w="1139" w:type="dxa"/>
            <w:tcBorders>
              <w:top w:val="single" w:sz="4" w:space="0" w:color="auto"/>
              <w:bottom w:val="nil"/>
            </w:tcBorders>
            <w:shd w:val="clear" w:color="auto" w:fill="auto"/>
            <w:noWrap/>
            <w:vAlign w:val="center"/>
            <w:hideMark/>
          </w:tcPr>
          <w:p w14:paraId="71A76A7F"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N3</w:t>
            </w:r>
          </w:p>
        </w:tc>
        <w:tc>
          <w:tcPr>
            <w:tcW w:w="2553" w:type="dxa"/>
            <w:tcBorders>
              <w:top w:val="single" w:sz="4" w:space="0" w:color="auto"/>
              <w:bottom w:val="nil"/>
            </w:tcBorders>
            <w:shd w:val="clear" w:color="auto" w:fill="auto"/>
            <w:noWrap/>
            <w:vAlign w:val="center"/>
            <w:hideMark/>
          </w:tcPr>
          <w:p w14:paraId="3EAD6DCB"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10.1038/s41586-020-2223-y</w:t>
            </w:r>
          </w:p>
        </w:tc>
        <w:tc>
          <w:tcPr>
            <w:tcW w:w="567" w:type="dxa"/>
            <w:tcBorders>
              <w:top w:val="single" w:sz="4" w:space="0" w:color="auto"/>
              <w:bottom w:val="nil"/>
            </w:tcBorders>
            <w:shd w:val="clear" w:color="auto" w:fill="auto"/>
            <w:noWrap/>
            <w:vAlign w:val="center"/>
            <w:hideMark/>
          </w:tcPr>
          <w:p w14:paraId="1E59CEB4"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6</w:t>
            </w:r>
          </w:p>
        </w:tc>
        <w:tc>
          <w:tcPr>
            <w:tcW w:w="1411" w:type="dxa"/>
            <w:tcBorders>
              <w:top w:val="single" w:sz="4" w:space="0" w:color="auto"/>
              <w:bottom w:val="nil"/>
            </w:tcBorders>
            <w:shd w:val="clear" w:color="auto" w:fill="auto"/>
            <w:noWrap/>
            <w:vAlign w:val="center"/>
            <w:hideMark/>
          </w:tcPr>
          <w:p w14:paraId="765B8D94"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1282" w:type="dxa"/>
            <w:vMerge w:val="restart"/>
            <w:tcBorders>
              <w:top w:val="single" w:sz="4" w:space="0" w:color="auto"/>
              <w:bottom w:val="nil"/>
            </w:tcBorders>
            <w:shd w:val="clear" w:color="auto" w:fill="auto"/>
            <w:noWrap/>
            <w:vAlign w:val="center"/>
            <w:hideMark/>
          </w:tcPr>
          <w:p w14:paraId="31535DD4" w14:textId="42A9D2CD" w:rsidR="00B821F0" w:rsidRPr="00B821F0" w:rsidRDefault="00B821F0" w:rsidP="00F7547D">
            <w:pPr>
              <w:jc w:val="center"/>
              <w:rPr>
                <w:rFonts w:ascii="Times New Roman" w:eastAsia="Times New Roman" w:hAnsi="Times New Roman" w:cs="Times New Roman"/>
                <w:color w:val="000000"/>
                <w:sz w:val="20"/>
                <w:szCs w:val="20"/>
                <w:lang w:val="en-US"/>
              </w:rPr>
            </w:pPr>
            <w:r w:rsidRPr="00B821F0">
              <w:rPr>
                <w:rFonts w:ascii="Times New Roman" w:eastAsia="Times New Roman" w:hAnsi="Times New Roman" w:cs="Times New Roman"/>
                <w:color w:val="000000"/>
                <w:sz w:val="20"/>
                <w:szCs w:val="20"/>
              </w:rPr>
              <w:t>-9.73</w:t>
            </w:r>
          </w:p>
        </w:tc>
        <w:tc>
          <w:tcPr>
            <w:tcW w:w="1276" w:type="dxa"/>
            <w:vMerge w:val="restart"/>
            <w:tcBorders>
              <w:top w:val="single" w:sz="4" w:space="0" w:color="auto"/>
              <w:bottom w:val="nil"/>
            </w:tcBorders>
            <w:shd w:val="clear" w:color="auto" w:fill="auto"/>
            <w:noWrap/>
            <w:vAlign w:val="center"/>
            <w:hideMark/>
          </w:tcPr>
          <w:p w14:paraId="6643599E" w14:textId="0808C7A3" w:rsidR="00B821F0" w:rsidRPr="00B821F0" w:rsidRDefault="00B821F0" w:rsidP="00F7547D">
            <w:pPr>
              <w:jc w:val="center"/>
              <w:rPr>
                <w:rFonts w:ascii="Times New Roman" w:eastAsia="Times New Roman" w:hAnsi="Times New Roman" w:cs="Times New Roman"/>
                <w:color w:val="000000"/>
                <w:sz w:val="20"/>
                <w:szCs w:val="20"/>
                <w:lang w:val="en-US"/>
              </w:rPr>
            </w:pPr>
            <w:r w:rsidRPr="00B821F0">
              <w:rPr>
                <w:rFonts w:ascii="Times New Roman" w:eastAsia="Times New Roman" w:hAnsi="Times New Roman" w:cs="Times New Roman"/>
                <w:color w:val="000000"/>
                <w:sz w:val="20"/>
                <w:szCs w:val="20"/>
              </w:rPr>
              <w:t>11.4</w:t>
            </w:r>
            <w:r w:rsidR="00706ADF">
              <w:rPr>
                <w:rFonts w:ascii="Times New Roman" w:eastAsia="Times New Roman" w:hAnsi="Times New Roman" w:cs="Times New Roman"/>
                <w:color w:val="000000"/>
                <w:sz w:val="20"/>
                <w:szCs w:val="20"/>
                <w:lang w:val="en-US"/>
              </w:rPr>
              <w:t>0</w:t>
            </w:r>
          </w:p>
        </w:tc>
        <w:tc>
          <w:tcPr>
            <w:tcW w:w="1276" w:type="dxa"/>
            <w:vMerge w:val="restart"/>
            <w:tcBorders>
              <w:top w:val="single" w:sz="4" w:space="0" w:color="auto"/>
              <w:bottom w:val="nil"/>
            </w:tcBorders>
            <w:shd w:val="clear" w:color="auto" w:fill="auto"/>
            <w:noWrap/>
            <w:vAlign w:val="center"/>
            <w:hideMark/>
          </w:tcPr>
          <w:p w14:paraId="40D1E6CD" w14:textId="53DF5E6D" w:rsidR="00B821F0" w:rsidRPr="00B821F0" w:rsidRDefault="00B821F0" w:rsidP="00F7547D">
            <w:pPr>
              <w:jc w:val="center"/>
              <w:rPr>
                <w:rFonts w:ascii="Times New Roman" w:eastAsia="Times New Roman" w:hAnsi="Times New Roman" w:cs="Times New Roman"/>
                <w:color w:val="000000"/>
                <w:sz w:val="20"/>
                <w:szCs w:val="20"/>
                <w:lang w:val="en-US"/>
              </w:rPr>
            </w:pPr>
            <w:r w:rsidRPr="00B821F0">
              <w:rPr>
                <w:rFonts w:ascii="Times New Roman" w:eastAsia="Times New Roman" w:hAnsi="Times New Roman" w:cs="Times New Roman"/>
                <w:color w:val="000000"/>
                <w:sz w:val="20"/>
                <w:szCs w:val="20"/>
              </w:rPr>
              <w:t>68.92</w:t>
            </w:r>
          </w:p>
        </w:tc>
      </w:tr>
      <w:tr w:rsidR="001F0848" w:rsidRPr="00B821F0" w14:paraId="79B2C512" w14:textId="77777777" w:rsidTr="00A35A95">
        <w:trPr>
          <w:trHeight w:val="320"/>
        </w:trPr>
        <w:tc>
          <w:tcPr>
            <w:tcW w:w="1276" w:type="dxa"/>
            <w:vMerge/>
            <w:tcBorders>
              <w:top w:val="nil"/>
              <w:bottom w:val="single" w:sz="4" w:space="0" w:color="auto"/>
            </w:tcBorders>
            <w:vAlign w:val="center"/>
            <w:hideMark/>
          </w:tcPr>
          <w:p w14:paraId="697ED45A" w14:textId="77777777" w:rsidR="00B821F0" w:rsidRPr="00B821F0" w:rsidRDefault="00B821F0" w:rsidP="00F7547D">
            <w:pPr>
              <w:jc w:val="center"/>
              <w:rPr>
                <w:rFonts w:ascii="Times New Roman" w:eastAsia="Times New Roman" w:hAnsi="Times New Roman" w:cs="Times New Roman"/>
                <w:b/>
                <w:bCs/>
                <w:color w:val="000000"/>
                <w:sz w:val="20"/>
                <w:szCs w:val="20"/>
              </w:rPr>
            </w:pPr>
          </w:p>
        </w:tc>
        <w:tc>
          <w:tcPr>
            <w:tcW w:w="1276" w:type="dxa"/>
            <w:tcBorders>
              <w:top w:val="nil"/>
              <w:bottom w:val="single" w:sz="4" w:space="0" w:color="auto"/>
            </w:tcBorders>
            <w:shd w:val="clear" w:color="auto" w:fill="auto"/>
            <w:noWrap/>
            <w:vAlign w:val="center"/>
            <w:hideMark/>
          </w:tcPr>
          <w:p w14:paraId="41A55D62"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6W63</w:t>
            </w:r>
          </w:p>
        </w:tc>
        <w:tc>
          <w:tcPr>
            <w:tcW w:w="1418" w:type="dxa"/>
            <w:tcBorders>
              <w:top w:val="nil"/>
              <w:bottom w:val="single" w:sz="4" w:space="0" w:color="auto"/>
            </w:tcBorders>
            <w:shd w:val="clear" w:color="auto" w:fill="auto"/>
            <w:noWrap/>
            <w:vAlign w:val="center"/>
            <w:hideMark/>
          </w:tcPr>
          <w:p w14:paraId="7FFC4686"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X-ray</w:t>
            </w:r>
          </w:p>
        </w:tc>
        <w:tc>
          <w:tcPr>
            <w:tcW w:w="1269" w:type="dxa"/>
            <w:tcBorders>
              <w:top w:val="nil"/>
              <w:bottom w:val="single" w:sz="4" w:space="0" w:color="auto"/>
            </w:tcBorders>
            <w:shd w:val="clear" w:color="auto" w:fill="auto"/>
            <w:noWrap/>
            <w:vAlign w:val="center"/>
            <w:hideMark/>
          </w:tcPr>
          <w:p w14:paraId="0C2A7F4A"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2.10</w:t>
            </w:r>
          </w:p>
        </w:tc>
        <w:tc>
          <w:tcPr>
            <w:tcW w:w="1139" w:type="dxa"/>
            <w:tcBorders>
              <w:top w:val="nil"/>
              <w:bottom w:val="single" w:sz="4" w:space="0" w:color="auto"/>
            </w:tcBorders>
            <w:shd w:val="clear" w:color="auto" w:fill="auto"/>
            <w:noWrap/>
            <w:vAlign w:val="center"/>
            <w:hideMark/>
          </w:tcPr>
          <w:p w14:paraId="5561F00E"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X77</w:t>
            </w:r>
          </w:p>
        </w:tc>
        <w:tc>
          <w:tcPr>
            <w:tcW w:w="2553" w:type="dxa"/>
            <w:tcBorders>
              <w:top w:val="nil"/>
              <w:bottom w:val="single" w:sz="4" w:space="0" w:color="auto"/>
            </w:tcBorders>
            <w:shd w:val="clear" w:color="auto" w:fill="auto"/>
            <w:noWrap/>
            <w:vAlign w:val="center"/>
            <w:hideMark/>
          </w:tcPr>
          <w:p w14:paraId="29432F71"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To be published</w:t>
            </w:r>
          </w:p>
        </w:tc>
        <w:tc>
          <w:tcPr>
            <w:tcW w:w="567" w:type="dxa"/>
            <w:tcBorders>
              <w:top w:val="nil"/>
              <w:bottom w:val="single" w:sz="4" w:space="0" w:color="auto"/>
            </w:tcBorders>
            <w:shd w:val="clear" w:color="auto" w:fill="auto"/>
            <w:noWrap/>
            <w:vAlign w:val="center"/>
            <w:hideMark/>
          </w:tcPr>
          <w:p w14:paraId="117FBA2D"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1411" w:type="dxa"/>
            <w:tcBorders>
              <w:top w:val="nil"/>
              <w:bottom w:val="single" w:sz="4" w:space="0" w:color="auto"/>
            </w:tcBorders>
            <w:shd w:val="clear" w:color="auto" w:fill="auto"/>
            <w:noWrap/>
            <w:vAlign w:val="center"/>
            <w:hideMark/>
          </w:tcPr>
          <w:p w14:paraId="6C1605B2" w14:textId="3EBC3EDE" w:rsidR="00B821F0" w:rsidRPr="00B821F0" w:rsidRDefault="008C576F" w:rsidP="00F7547D">
            <w:pPr>
              <w:jc w:val="center"/>
              <w:rPr>
                <w:rFonts w:ascii="Times New Roman" w:eastAsia="Times New Roman" w:hAnsi="Times New Roman" w:cs="Times New Roman"/>
                <w:color w:val="000000"/>
                <w:sz w:val="20"/>
                <w:szCs w:val="20"/>
                <w:lang w:val="en-US"/>
              </w:rPr>
            </w:pPr>
            <w:r>
              <w:rPr>
                <w:rFonts w:ascii="Times New Roman" w:eastAsia="Times New Roman" w:hAnsi="Times New Roman" w:cs="Times New Roman"/>
                <w:color w:val="000000"/>
                <w:sz w:val="20"/>
                <w:szCs w:val="20"/>
                <w:lang w:val="en-US"/>
              </w:rPr>
              <w:t>1.338</w:t>
            </w:r>
          </w:p>
        </w:tc>
        <w:tc>
          <w:tcPr>
            <w:tcW w:w="1282" w:type="dxa"/>
            <w:vMerge/>
            <w:tcBorders>
              <w:top w:val="nil"/>
              <w:bottom w:val="single" w:sz="4" w:space="0" w:color="auto"/>
            </w:tcBorders>
            <w:vAlign w:val="center"/>
            <w:hideMark/>
          </w:tcPr>
          <w:p w14:paraId="23E56418"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76" w:type="dxa"/>
            <w:vMerge/>
            <w:tcBorders>
              <w:top w:val="nil"/>
              <w:bottom w:val="single" w:sz="4" w:space="0" w:color="auto"/>
            </w:tcBorders>
            <w:vAlign w:val="center"/>
            <w:hideMark/>
          </w:tcPr>
          <w:p w14:paraId="323DABE2"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76" w:type="dxa"/>
            <w:vMerge/>
            <w:tcBorders>
              <w:top w:val="nil"/>
              <w:bottom w:val="single" w:sz="4" w:space="0" w:color="auto"/>
            </w:tcBorders>
            <w:vAlign w:val="center"/>
            <w:hideMark/>
          </w:tcPr>
          <w:p w14:paraId="02F7DBAA" w14:textId="77777777" w:rsidR="00B821F0" w:rsidRPr="00B821F0" w:rsidRDefault="00B821F0" w:rsidP="00F7547D">
            <w:pPr>
              <w:jc w:val="center"/>
              <w:rPr>
                <w:rFonts w:ascii="Times New Roman" w:eastAsia="Times New Roman" w:hAnsi="Times New Roman" w:cs="Times New Roman"/>
                <w:color w:val="000000"/>
                <w:sz w:val="20"/>
                <w:szCs w:val="20"/>
              </w:rPr>
            </w:pPr>
          </w:p>
        </w:tc>
      </w:tr>
      <w:tr w:rsidR="001F0848" w:rsidRPr="00B821F0" w14:paraId="416762D5" w14:textId="77777777" w:rsidTr="00A35A95">
        <w:trPr>
          <w:trHeight w:val="320"/>
        </w:trPr>
        <w:tc>
          <w:tcPr>
            <w:tcW w:w="1276" w:type="dxa"/>
            <w:tcBorders>
              <w:top w:val="single" w:sz="4" w:space="0" w:color="auto"/>
              <w:bottom w:val="single" w:sz="4" w:space="0" w:color="auto"/>
            </w:tcBorders>
            <w:shd w:val="clear" w:color="auto" w:fill="auto"/>
            <w:noWrap/>
            <w:vAlign w:val="center"/>
            <w:hideMark/>
          </w:tcPr>
          <w:p w14:paraId="5A3F4C36" w14:textId="77777777" w:rsidR="00B821F0" w:rsidRPr="00B821F0" w:rsidRDefault="00B821F0" w:rsidP="00F7547D">
            <w:pPr>
              <w:jc w:val="center"/>
              <w:rPr>
                <w:rFonts w:ascii="Times New Roman" w:eastAsia="Times New Roman" w:hAnsi="Times New Roman" w:cs="Times New Roman"/>
                <w:b/>
                <w:bCs/>
                <w:color w:val="000000"/>
                <w:sz w:val="20"/>
                <w:szCs w:val="20"/>
              </w:rPr>
            </w:pPr>
            <w:r w:rsidRPr="00B821F0">
              <w:rPr>
                <w:rFonts w:ascii="Times New Roman" w:eastAsia="Times New Roman" w:hAnsi="Times New Roman" w:cs="Times New Roman"/>
                <w:b/>
                <w:bCs/>
                <w:color w:val="000000"/>
                <w:sz w:val="20"/>
                <w:szCs w:val="20"/>
              </w:rPr>
              <w:t>Nsp12 (RdRp)</w:t>
            </w:r>
          </w:p>
        </w:tc>
        <w:tc>
          <w:tcPr>
            <w:tcW w:w="1276" w:type="dxa"/>
            <w:tcBorders>
              <w:top w:val="single" w:sz="4" w:space="0" w:color="auto"/>
              <w:bottom w:val="single" w:sz="4" w:space="0" w:color="auto"/>
            </w:tcBorders>
            <w:shd w:val="clear" w:color="auto" w:fill="auto"/>
            <w:noWrap/>
            <w:vAlign w:val="center"/>
            <w:hideMark/>
          </w:tcPr>
          <w:p w14:paraId="495B8A29"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7BV2</w:t>
            </w:r>
          </w:p>
        </w:tc>
        <w:tc>
          <w:tcPr>
            <w:tcW w:w="1418" w:type="dxa"/>
            <w:tcBorders>
              <w:top w:val="single" w:sz="4" w:space="0" w:color="auto"/>
              <w:bottom w:val="single" w:sz="4" w:space="0" w:color="auto"/>
            </w:tcBorders>
            <w:shd w:val="clear" w:color="auto" w:fill="auto"/>
            <w:noWrap/>
            <w:vAlign w:val="center"/>
            <w:hideMark/>
          </w:tcPr>
          <w:p w14:paraId="57D018DD"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Electron microscopy</w:t>
            </w:r>
          </w:p>
        </w:tc>
        <w:tc>
          <w:tcPr>
            <w:tcW w:w="1269" w:type="dxa"/>
            <w:tcBorders>
              <w:top w:val="single" w:sz="4" w:space="0" w:color="auto"/>
              <w:bottom w:val="single" w:sz="4" w:space="0" w:color="auto"/>
            </w:tcBorders>
            <w:shd w:val="clear" w:color="auto" w:fill="auto"/>
            <w:noWrap/>
            <w:vAlign w:val="center"/>
            <w:hideMark/>
          </w:tcPr>
          <w:p w14:paraId="6556CB8C"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2.50</w:t>
            </w:r>
          </w:p>
        </w:tc>
        <w:tc>
          <w:tcPr>
            <w:tcW w:w="1139" w:type="dxa"/>
            <w:tcBorders>
              <w:top w:val="single" w:sz="4" w:space="0" w:color="auto"/>
              <w:bottom w:val="single" w:sz="4" w:space="0" w:color="auto"/>
            </w:tcBorders>
            <w:shd w:val="clear" w:color="auto" w:fill="auto"/>
            <w:noWrap/>
            <w:vAlign w:val="center"/>
            <w:hideMark/>
          </w:tcPr>
          <w:p w14:paraId="4DCB9DF7"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Remdesivir</w:t>
            </w:r>
          </w:p>
        </w:tc>
        <w:tc>
          <w:tcPr>
            <w:tcW w:w="2553" w:type="dxa"/>
            <w:tcBorders>
              <w:top w:val="single" w:sz="4" w:space="0" w:color="auto"/>
              <w:bottom w:val="single" w:sz="4" w:space="0" w:color="auto"/>
            </w:tcBorders>
            <w:shd w:val="clear" w:color="auto" w:fill="auto"/>
            <w:noWrap/>
            <w:vAlign w:val="center"/>
            <w:hideMark/>
          </w:tcPr>
          <w:p w14:paraId="1777D9FC"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10.1126/science.abc1560</w:t>
            </w:r>
          </w:p>
        </w:tc>
        <w:tc>
          <w:tcPr>
            <w:tcW w:w="567" w:type="dxa"/>
            <w:tcBorders>
              <w:top w:val="single" w:sz="4" w:space="0" w:color="auto"/>
              <w:bottom w:val="single" w:sz="4" w:space="0" w:color="auto"/>
            </w:tcBorders>
            <w:shd w:val="clear" w:color="auto" w:fill="auto"/>
            <w:noWrap/>
            <w:vAlign w:val="center"/>
            <w:hideMark/>
          </w:tcPr>
          <w:p w14:paraId="6BF2566F"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1411" w:type="dxa"/>
            <w:tcBorders>
              <w:top w:val="single" w:sz="4" w:space="0" w:color="auto"/>
              <w:bottom w:val="single" w:sz="4" w:space="0" w:color="auto"/>
            </w:tcBorders>
            <w:shd w:val="clear" w:color="auto" w:fill="auto"/>
            <w:noWrap/>
            <w:vAlign w:val="center"/>
            <w:hideMark/>
          </w:tcPr>
          <w:p w14:paraId="4AEAE1E0"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1282" w:type="dxa"/>
            <w:tcBorders>
              <w:top w:val="single" w:sz="4" w:space="0" w:color="auto"/>
              <w:bottom w:val="single" w:sz="4" w:space="0" w:color="auto"/>
            </w:tcBorders>
            <w:shd w:val="clear" w:color="auto" w:fill="auto"/>
            <w:noWrap/>
            <w:vAlign w:val="center"/>
            <w:hideMark/>
          </w:tcPr>
          <w:p w14:paraId="2FE82A77" w14:textId="3B366DDD" w:rsidR="00B821F0" w:rsidRPr="00B821F0" w:rsidRDefault="00B821F0" w:rsidP="00F7547D">
            <w:pPr>
              <w:jc w:val="center"/>
              <w:rPr>
                <w:rFonts w:ascii="Times New Roman" w:eastAsia="Times New Roman" w:hAnsi="Times New Roman" w:cs="Times New Roman"/>
                <w:color w:val="000000"/>
                <w:sz w:val="20"/>
                <w:szCs w:val="20"/>
                <w:lang w:val="en-US"/>
              </w:rPr>
            </w:pPr>
            <w:r w:rsidRPr="00B821F0">
              <w:rPr>
                <w:rFonts w:ascii="Times New Roman" w:eastAsia="Times New Roman" w:hAnsi="Times New Roman" w:cs="Times New Roman"/>
                <w:color w:val="000000"/>
                <w:sz w:val="20"/>
                <w:szCs w:val="20"/>
              </w:rPr>
              <w:t>91.76</w:t>
            </w:r>
          </w:p>
        </w:tc>
        <w:tc>
          <w:tcPr>
            <w:tcW w:w="1276" w:type="dxa"/>
            <w:tcBorders>
              <w:top w:val="single" w:sz="4" w:space="0" w:color="auto"/>
              <w:bottom w:val="single" w:sz="4" w:space="0" w:color="auto"/>
            </w:tcBorders>
            <w:shd w:val="clear" w:color="auto" w:fill="auto"/>
            <w:noWrap/>
            <w:vAlign w:val="center"/>
            <w:hideMark/>
          </w:tcPr>
          <w:p w14:paraId="78B1D3C5" w14:textId="32219133" w:rsidR="00B821F0" w:rsidRPr="00B821F0" w:rsidRDefault="00B821F0" w:rsidP="00F7547D">
            <w:pPr>
              <w:jc w:val="center"/>
              <w:rPr>
                <w:rFonts w:ascii="Times New Roman" w:eastAsia="Times New Roman" w:hAnsi="Times New Roman" w:cs="Times New Roman"/>
                <w:color w:val="000000"/>
                <w:sz w:val="20"/>
                <w:szCs w:val="20"/>
                <w:lang w:val="en-US"/>
              </w:rPr>
            </w:pPr>
            <w:r w:rsidRPr="00B821F0">
              <w:rPr>
                <w:rFonts w:ascii="Times New Roman" w:eastAsia="Times New Roman" w:hAnsi="Times New Roman" w:cs="Times New Roman"/>
                <w:color w:val="000000"/>
                <w:sz w:val="20"/>
                <w:szCs w:val="20"/>
              </w:rPr>
              <w:t>92.37</w:t>
            </w:r>
          </w:p>
        </w:tc>
        <w:tc>
          <w:tcPr>
            <w:tcW w:w="1276" w:type="dxa"/>
            <w:tcBorders>
              <w:top w:val="single" w:sz="4" w:space="0" w:color="auto"/>
              <w:bottom w:val="single" w:sz="4" w:space="0" w:color="auto"/>
            </w:tcBorders>
            <w:shd w:val="clear" w:color="auto" w:fill="auto"/>
            <w:noWrap/>
            <w:vAlign w:val="center"/>
            <w:hideMark/>
          </w:tcPr>
          <w:p w14:paraId="591623C7" w14:textId="4CCC2A2B" w:rsidR="00B821F0" w:rsidRPr="00B821F0" w:rsidRDefault="00B821F0" w:rsidP="00F7547D">
            <w:pPr>
              <w:jc w:val="center"/>
              <w:rPr>
                <w:rFonts w:ascii="Times New Roman" w:eastAsia="Times New Roman" w:hAnsi="Times New Roman" w:cs="Times New Roman"/>
                <w:color w:val="000000"/>
                <w:sz w:val="20"/>
                <w:szCs w:val="20"/>
                <w:lang w:val="en-US"/>
              </w:rPr>
            </w:pPr>
            <w:r w:rsidRPr="00B821F0">
              <w:rPr>
                <w:rFonts w:ascii="Times New Roman" w:eastAsia="Times New Roman" w:hAnsi="Times New Roman" w:cs="Times New Roman"/>
                <w:color w:val="000000"/>
                <w:sz w:val="20"/>
                <w:szCs w:val="20"/>
              </w:rPr>
              <w:t>103.72</w:t>
            </w:r>
          </w:p>
        </w:tc>
      </w:tr>
      <w:tr w:rsidR="001F0848" w:rsidRPr="00B821F0" w14:paraId="6340915F" w14:textId="77777777" w:rsidTr="00A35A95">
        <w:trPr>
          <w:trHeight w:val="320"/>
        </w:trPr>
        <w:tc>
          <w:tcPr>
            <w:tcW w:w="1276" w:type="dxa"/>
            <w:tcBorders>
              <w:top w:val="single" w:sz="4" w:space="0" w:color="auto"/>
              <w:bottom w:val="single" w:sz="4" w:space="0" w:color="auto"/>
            </w:tcBorders>
            <w:shd w:val="clear" w:color="auto" w:fill="auto"/>
            <w:noWrap/>
            <w:vAlign w:val="center"/>
            <w:hideMark/>
          </w:tcPr>
          <w:p w14:paraId="3647618B" w14:textId="77777777" w:rsidR="00B821F0" w:rsidRPr="00B821F0" w:rsidRDefault="00B821F0" w:rsidP="00F7547D">
            <w:pPr>
              <w:jc w:val="center"/>
              <w:rPr>
                <w:rFonts w:ascii="Times New Roman" w:eastAsia="Times New Roman" w:hAnsi="Times New Roman" w:cs="Times New Roman"/>
                <w:b/>
                <w:bCs/>
                <w:color w:val="000000"/>
                <w:sz w:val="20"/>
                <w:szCs w:val="20"/>
              </w:rPr>
            </w:pPr>
            <w:r w:rsidRPr="00B821F0">
              <w:rPr>
                <w:rFonts w:ascii="Times New Roman" w:eastAsia="Times New Roman" w:hAnsi="Times New Roman" w:cs="Times New Roman"/>
                <w:b/>
                <w:bCs/>
                <w:color w:val="000000"/>
                <w:sz w:val="20"/>
                <w:szCs w:val="20"/>
              </w:rPr>
              <w:t>Nsp15 (NendoU)</w:t>
            </w:r>
          </w:p>
        </w:tc>
        <w:tc>
          <w:tcPr>
            <w:tcW w:w="1276" w:type="dxa"/>
            <w:tcBorders>
              <w:top w:val="single" w:sz="4" w:space="0" w:color="auto"/>
              <w:bottom w:val="single" w:sz="4" w:space="0" w:color="auto"/>
            </w:tcBorders>
            <w:shd w:val="clear" w:color="auto" w:fill="auto"/>
            <w:noWrap/>
            <w:vAlign w:val="center"/>
            <w:hideMark/>
          </w:tcPr>
          <w:p w14:paraId="6B75D501"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6WXC</w:t>
            </w:r>
          </w:p>
        </w:tc>
        <w:tc>
          <w:tcPr>
            <w:tcW w:w="1418" w:type="dxa"/>
            <w:tcBorders>
              <w:top w:val="single" w:sz="4" w:space="0" w:color="auto"/>
              <w:bottom w:val="single" w:sz="4" w:space="0" w:color="auto"/>
            </w:tcBorders>
            <w:shd w:val="clear" w:color="auto" w:fill="auto"/>
            <w:noWrap/>
            <w:vAlign w:val="center"/>
            <w:hideMark/>
          </w:tcPr>
          <w:p w14:paraId="22797A75"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X-ray</w:t>
            </w:r>
          </w:p>
        </w:tc>
        <w:tc>
          <w:tcPr>
            <w:tcW w:w="1269" w:type="dxa"/>
            <w:tcBorders>
              <w:top w:val="single" w:sz="4" w:space="0" w:color="auto"/>
              <w:bottom w:val="single" w:sz="4" w:space="0" w:color="auto"/>
            </w:tcBorders>
            <w:shd w:val="clear" w:color="auto" w:fill="auto"/>
            <w:noWrap/>
            <w:vAlign w:val="center"/>
            <w:hideMark/>
          </w:tcPr>
          <w:p w14:paraId="295B8DFB"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1.85</w:t>
            </w:r>
          </w:p>
        </w:tc>
        <w:tc>
          <w:tcPr>
            <w:tcW w:w="1139" w:type="dxa"/>
            <w:tcBorders>
              <w:top w:val="single" w:sz="4" w:space="0" w:color="auto"/>
              <w:bottom w:val="single" w:sz="4" w:space="0" w:color="auto"/>
            </w:tcBorders>
            <w:shd w:val="clear" w:color="auto" w:fill="auto"/>
            <w:noWrap/>
            <w:vAlign w:val="center"/>
            <w:hideMark/>
          </w:tcPr>
          <w:p w14:paraId="3862A7DB"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Tipiracil</w:t>
            </w:r>
          </w:p>
        </w:tc>
        <w:tc>
          <w:tcPr>
            <w:tcW w:w="2553" w:type="dxa"/>
            <w:tcBorders>
              <w:top w:val="single" w:sz="4" w:space="0" w:color="auto"/>
              <w:bottom w:val="single" w:sz="4" w:space="0" w:color="auto"/>
            </w:tcBorders>
            <w:shd w:val="clear" w:color="auto" w:fill="auto"/>
            <w:noWrap/>
            <w:vAlign w:val="center"/>
            <w:hideMark/>
          </w:tcPr>
          <w:p w14:paraId="3BCE55F3"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To be published</w:t>
            </w:r>
          </w:p>
        </w:tc>
        <w:tc>
          <w:tcPr>
            <w:tcW w:w="567" w:type="dxa"/>
            <w:tcBorders>
              <w:top w:val="single" w:sz="4" w:space="0" w:color="auto"/>
              <w:bottom w:val="single" w:sz="4" w:space="0" w:color="auto"/>
            </w:tcBorders>
            <w:shd w:val="clear" w:color="auto" w:fill="auto"/>
            <w:noWrap/>
            <w:vAlign w:val="center"/>
            <w:hideMark/>
          </w:tcPr>
          <w:p w14:paraId="75C41980"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6.2</w:t>
            </w:r>
          </w:p>
        </w:tc>
        <w:tc>
          <w:tcPr>
            <w:tcW w:w="1411" w:type="dxa"/>
            <w:tcBorders>
              <w:top w:val="single" w:sz="4" w:space="0" w:color="auto"/>
              <w:bottom w:val="single" w:sz="4" w:space="0" w:color="auto"/>
            </w:tcBorders>
            <w:shd w:val="clear" w:color="auto" w:fill="auto"/>
            <w:noWrap/>
            <w:vAlign w:val="center"/>
            <w:hideMark/>
          </w:tcPr>
          <w:p w14:paraId="7F13359D" w14:textId="0B6A715D" w:rsidR="00B821F0" w:rsidRPr="00B62E70" w:rsidRDefault="00B62E70" w:rsidP="00F7547D">
            <w:pPr>
              <w:jc w:val="center"/>
              <w:rPr>
                <w:rFonts w:ascii="Times New Roman" w:eastAsia="Times New Roman" w:hAnsi="Times New Roman" w:cs="Times New Roman"/>
                <w:color w:val="000000"/>
                <w:sz w:val="20"/>
                <w:szCs w:val="20"/>
                <w:lang w:val="en-US"/>
              </w:rPr>
            </w:pPr>
            <w:r>
              <w:rPr>
                <w:rFonts w:ascii="Times New Roman" w:eastAsia="Times New Roman" w:hAnsi="Times New Roman" w:cs="Times New Roman"/>
                <w:color w:val="000000"/>
                <w:sz w:val="20"/>
                <w:szCs w:val="20"/>
                <w:lang w:val="en-US"/>
              </w:rPr>
              <w:t>2.6</w:t>
            </w:r>
            <w:r w:rsidR="00913E1F">
              <w:rPr>
                <w:rFonts w:ascii="Times New Roman" w:eastAsia="Times New Roman" w:hAnsi="Times New Roman" w:cs="Times New Roman"/>
                <w:color w:val="000000"/>
                <w:sz w:val="20"/>
                <w:szCs w:val="20"/>
                <w:lang w:val="en-US"/>
              </w:rPr>
              <w:t>12</w:t>
            </w:r>
          </w:p>
        </w:tc>
        <w:tc>
          <w:tcPr>
            <w:tcW w:w="1282" w:type="dxa"/>
            <w:tcBorders>
              <w:top w:val="single" w:sz="4" w:space="0" w:color="auto"/>
              <w:bottom w:val="single" w:sz="4" w:space="0" w:color="auto"/>
            </w:tcBorders>
            <w:shd w:val="clear" w:color="auto" w:fill="auto"/>
            <w:noWrap/>
            <w:vAlign w:val="center"/>
            <w:hideMark/>
          </w:tcPr>
          <w:p w14:paraId="1EFCBA74" w14:textId="49C08131"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63.94</w:t>
            </w:r>
          </w:p>
        </w:tc>
        <w:tc>
          <w:tcPr>
            <w:tcW w:w="1276" w:type="dxa"/>
            <w:tcBorders>
              <w:top w:val="single" w:sz="4" w:space="0" w:color="auto"/>
              <w:bottom w:val="single" w:sz="4" w:space="0" w:color="auto"/>
            </w:tcBorders>
            <w:shd w:val="clear" w:color="auto" w:fill="auto"/>
            <w:noWrap/>
            <w:vAlign w:val="center"/>
            <w:hideMark/>
          </w:tcPr>
          <w:p w14:paraId="6089B5B4" w14:textId="2AE2616E"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-72.47</w:t>
            </w:r>
          </w:p>
        </w:tc>
        <w:tc>
          <w:tcPr>
            <w:tcW w:w="1276" w:type="dxa"/>
            <w:tcBorders>
              <w:top w:val="single" w:sz="4" w:space="0" w:color="auto"/>
              <w:bottom w:val="single" w:sz="4" w:space="0" w:color="auto"/>
            </w:tcBorders>
            <w:shd w:val="clear" w:color="auto" w:fill="auto"/>
            <w:noWrap/>
            <w:vAlign w:val="center"/>
            <w:hideMark/>
          </w:tcPr>
          <w:p w14:paraId="1E0C91C2" w14:textId="4F7A88E4"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26.37</w:t>
            </w:r>
          </w:p>
        </w:tc>
      </w:tr>
      <w:tr w:rsidR="001F0848" w:rsidRPr="00B821F0" w14:paraId="66C4F848" w14:textId="77777777" w:rsidTr="00A35A95">
        <w:trPr>
          <w:trHeight w:val="320"/>
        </w:trPr>
        <w:tc>
          <w:tcPr>
            <w:tcW w:w="1276" w:type="dxa"/>
            <w:vMerge w:val="restart"/>
            <w:tcBorders>
              <w:top w:val="single" w:sz="4" w:space="0" w:color="auto"/>
              <w:bottom w:val="nil"/>
            </w:tcBorders>
            <w:shd w:val="clear" w:color="auto" w:fill="auto"/>
            <w:noWrap/>
            <w:vAlign w:val="center"/>
            <w:hideMark/>
          </w:tcPr>
          <w:p w14:paraId="3F15D7CE" w14:textId="77777777" w:rsidR="00B821F0" w:rsidRPr="00B821F0" w:rsidRDefault="00B821F0" w:rsidP="00F7547D">
            <w:pPr>
              <w:jc w:val="center"/>
              <w:rPr>
                <w:rFonts w:ascii="Times New Roman" w:eastAsia="Times New Roman" w:hAnsi="Times New Roman" w:cs="Times New Roman"/>
                <w:b/>
                <w:bCs/>
                <w:color w:val="000000"/>
                <w:sz w:val="20"/>
                <w:szCs w:val="20"/>
              </w:rPr>
            </w:pPr>
            <w:r w:rsidRPr="00B821F0">
              <w:rPr>
                <w:rFonts w:ascii="Times New Roman" w:eastAsia="Times New Roman" w:hAnsi="Times New Roman" w:cs="Times New Roman"/>
                <w:b/>
                <w:bCs/>
                <w:color w:val="000000"/>
                <w:sz w:val="20"/>
                <w:szCs w:val="20"/>
              </w:rPr>
              <w:t>N protein</w:t>
            </w:r>
          </w:p>
        </w:tc>
        <w:tc>
          <w:tcPr>
            <w:tcW w:w="1276" w:type="dxa"/>
            <w:tcBorders>
              <w:top w:val="single" w:sz="4" w:space="0" w:color="auto"/>
              <w:bottom w:val="nil"/>
            </w:tcBorders>
            <w:shd w:val="clear" w:color="auto" w:fill="auto"/>
            <w:noWrap/>
            <w:vAlign w:val="center"/>
            <w:hideMark/>
          </w:tcPr>
          <w:p w14:paraId="4404E210"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6YI3-state35</w:t>
            </w:r>
          </w:p>
        </w:tc>
        <w:tc>
          <w:tcPr>
            <w:tcW w:w="1418" w:type="dxa"/>
            <w:vMerge w:val="restart"/>
            <w:tcBorders>
              <w:top w:val="single" w:sz="4" w:space="0" w:color="auto"/>
              <w:bottom w:val="nil"/>
            </w:tcBorders>
            <w:shd w:val="clear" w:color="auto" w:fill="auto"/>
            <w:noWrap/>
            <w:vAlign w:val="center"/>
            <w:hideMark/>
          </w:tcPr>
          <w:p w14:paraId="0A614CB1"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Solution NMR</w:t>
            </w:r>
          </w:p>
        </w:tc>
        <w:tc>
          <w:tcPr>
            <w:tcW w:w="1269" w:type="dxa"/>
            <w:vMerge w:val="restart"/>
            <w:tcBorders>
              <w:top w:val="single" w:sz="4" w:space="0" w:color="auto"/>
              <w:bottom w:val="nil"/>
            </w:tcBorders>
            <w:shd w:val="clear" w:color="auto" w:fill="auto"/>
            <w:noWrap/>
            <w:vAlign w:val="center"/>
            <w:hideMark/>
          </w:tcPr>
          <w:p w14:paraId="51C7E3B6"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1139" w:type="dxa"/>
            <w:vMerge w:val="restart"/>
            <w:tcBorders>
              <w:top w:val="single" w:sz="4" w:space="0" w:color="auto"/>
              <w:bottom w:val="nil"/>
            </w:tcBorders>
            <w:shd w:val="clear" w:color="auto" w:fill="auto"/>
            <w:noWrap/>
            <w:vAlign w:val="center"/>
            <w:hideMark/>
          </w:tcPr>
          <w:p w14:paraId="7C77ACE8"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2553" w:type="dxa"/>
            <w:vMerge w:val="restart"/>
            <w:tcBorders>
              <w:top w:val="single" w:sz="4" w:space="0" w:color="auto"/>
              <w:bottom w:val="nil"/>
            </w:tcBorders>
            <w:shd w:val="clear" w:color="auto" w:fill="auto"/>
            <w:noWrap/>
            <w:vAlign w:val="center"/>
            <w:hideMark/>
          </w:tcPr>
          <w:p w14:paraId="163140C9"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To be published</w:t>
            </w:r>
          </w:p>
        </w:tc>
        <w:tc>
          <w:tcPr>
            <w:tcW w:w="567" w:type="dxa"/>
            <w:vMerge w:val="restart"/>
            <w:tcBorders>
              <w:top w:val="single" w:sz="4" w:space="0" w:color="auto"/>
              <w:bottom w:val="nil"/>
            </w:tcBorders>
            <w:shd w:val="clear" w:color="auto" w:fill="auto"/>
            <w:noWrap/>
            <w:vAlign w:val="center"/>
            <w:hideMark/>
          </w:tcPr>
          <w:p w14:paraId="7A8F2646"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1411" w:type="dxa"/>
            <w:vMerge w:val="restart"/>
            <w:tcBorders>
              <w:top w:val="single" w:sz="4" w:space="0" w:color="auto"/>
              <w:bottom w:val="nil"/>
            </w:tcBorders>
            <w:shd w:val="clear" w:color="auto" w:fill="auto"/>
            <w:noWrap/>
            <w:vAlign w:val="center"/>
            <w:hideMark/>
          </w:tcPr>
          <w:p w14:paraId="60BC41AA"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1282" w:type="dxa"/>
            <w:tcBorders>
              <w:top w:val="single" w:sz="4" w:space="0" w:color="auto"/>
              <w:bottom w:val="nil"/>
            </w:tcBorders>
            <w:shd w:val="clear" w:color="auto" w:fill="auto"/>
            <w:noWrap/>
            <w:vAlign w:val="center"/>
            <w:hideMark/>
          </w:tcPr>
          <w:p w14:paraId="313008E0"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76" w:type="dxa"/>
            <w:tcBorders>
              <w:top w:val="single" w:sz="4" w:space="0" w:color="auto"/>
              <w:bottom w:val="nil"/>
            </w:tcBorders>
            <w:shd w:val="clear" w:color="auto" w:fill="auto"/>
            <w:noWrap/>
            <w:vAlign w:val="center"/>
            <w:hideMark/>
          </w:tcPr>
          <w:p w14:paraId="1AD1455B" w14:textId="77777777" w:rsidR="00B821F0" w:rsidRPr="00B821F0" w:rsidRDefault="00B821F0" w:rsidP="00F7547D">
            <w:pPr>
              <w:jc w:val="center"/>
              <w:rPr>
                <w:rFonts w:ascii="Times New Roman" w:eastAsia="Times New Roman" w:hAnsi="Times New Roman" w:cs="Times New Roman"/>
                <w:sz w:val="20"/>
                <w:szCs w:val="20"/>
              </w:rPr>
            </w:pPr>
          </w:p>
        </w:tc>
        <w:tc>
          <w:tcPr>
            <w:tcW w:w="1276" w:type="dxa"/>
            <w:tcBorders>
              <w:top w:val="single" w:sz="4" w:space="0" w:color="auto"/>
              <w:bottom w:val="nil"/>
            </w:tcBorders>
            <w:shd w:val="clear" w:color="auto" w:fill="auto"/>
            <w:noWrap/>
            <w:vAlign w:val="center"/>
            <w:hideMark/>
          </w:tcPr>
          <w:p w14:paraId="695E6E93" w14:textId="77777777" w:rsidR="00B821F0" w:rsidRPr="00B821F0" w:rsidRDefault="00B821F0" w:rsidP="00F7547D">
            <w:pPr>
              <w:jc w:val="center"/>
              <w:rPr>
                <w:rFonts w:ascii="Times New Roman" w:eastAsia="Times New Roman" w:hAnsi="Times New Roman" w:cs="Times New Roman"/>
                <w:sz w:val="20"/>
                <w:szCs w:val="20"/>
              </w:rPr>
            </w:pPr>
          </w:p>
        </w:tc>
      </w:tr>
      <w:tr w:rsidR="001F0848" w:rsidRPr="00B821F0" w14:paraId="29C0A08A" w14:textId="77777777" w:rsidTr="00A35A95">
        <w:trPr>
          <w:trHeight w:val="320"/>
        </w:trPr>
        <w:tc>
          <w:tcPr>
            <w:tcW w:w="1276" w:type="dxa"/>
            <w:vMerge/>
            <w:tcBorders>
              <w:top w:val="nil"/>
              <w:bottom w:val="nil"/>
            </w:tcBorders>
            <w:vAlign w:val="center"/>
            <w:hideMark/>
          </w:tcPr>
          <w:p w14:paraId="2D75DE2A" w14:textId="77777777" w:rsidR="00B821F0" w:rsidRPr="00B821F0" w:rsidRDefault="00B821F0" w:rsidP="00F7547D">
            <w:pPr>
              <w:jc w:val="center"/>
              <w:rPr>
                <w:rFonts w:ascii="Times New Roman" w:eastAsia="Times New Roman" w:hAnsi="Times New Roman" w:cs="Times New Roman"/>
                <w:b/>
                <w:bCs/>
                <w:color w:val="000000"/>
                <w:sz w:val="20"/>
                <w:szCs w:val="20"/>
              </w:rPr>
            </w:pPr>
          </w:p>
        </w:tc>
        <w:tc>
          <w:tcPr>
            <w:tcW w:w="1276" w:type="dxa"/>
            <w:tcBorders>
              <w:top w:val="nil"/>
              <w:bottom w:val="nil"/>
            </w:tcBorders>
            <w:shd w:val="clear" w:color="auto" w:fill="auto"/>
            <w:noWrap/>
            <w:vAlign w:val="center"/>
            <w:hideMark/>
          </w:tcPr>
          <w:p w14:paraId="1DD8BC57"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6YI3-state12</w:t>
            </w:r>
          </w:p>
        </w:tc>
        <w:tc>
          <w:tcPr>
            <w:tcW w:w="1418" w:type="dxa"/>
            <w:vMerge/>
            <w:tcBorders>
              <w:top w:val="nil"/>
              <w:bottom w:val="nil"/>
            </w:tcBorders>
            <w:vAlign w:val="center"/>
            <w:hideMark/>
          </w:tcPr>
          <w:p w14:paraId="1EBE093C"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69" w:type="dxa"/>
            <w:vMerge/>
            <w:tcBorders>
              <w:top w:val="nil"/>
              <w:bottom w:val="nil"/>
            </w:tcBorders>
            <w:vAlign w:val="center"/>
            <w:hideMark/>
          </w:tcPr>
          <w:p w14:paraId="7B74FC0A"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139" w:type="dxa"/>
            <w:vMerge/>
            <w:tcBorders>
              <w:top w:val="nil"/>
              <w:bottom w:val="nil"/>
            </w:tcBorders>
            <w:vAlign w:val="center"/>
            <w:hideMark/>
          </w:tcPr>
          <w:p w14:paraId="51F60325"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2553" w:type="dxa"/>
            <w:vMerge/>
            <w:tcBorders>
              <w:top w:val="nil"/>
              <w:bottom w:val="nil"/>
            </w:tcBorders>
            <w:vAlign w:val="center"/>
            <w:hideMark/>
          </w:tcPr>
          <w:p w14:paraId="65E3717D"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567" w:type="dxa"/>
            <w:vMerge/>
            <w:tcBorders>
              <w:top w:val="nil"/>
              <w:bottom w:val="nil"/>
            </w:tcBorders>
            <w:vAlign w:val="center"/>
            <w:hideMark/>
          </w:tcPr>
          <w:p w14:paraId="6185BA73"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411" w:type="dxa"/>
            <w:vMerge/>
            <w:tcBorders>
              <w:top w:val="nil"/>
              <w:bottom w:val="nil"/>
            </w:tcBorders>
            <w:vAlign w:val="center"/>
            <w:hideMark/>
          </w:tcPr>
          <w:p w14:paraId="624EB926"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82" w:type="dxa"/>
            <w:tcBorders>
              <w:top w:val="nil"/>
              <w:bottom w:val="nil"/>
            </w:tcBorders>
            <w:shd w:val="clear" w:color="auto" w:fill="auto"/>
            <w:noWrap/>
            <w:vAlign w:val="center"/>
            <w:hideMark/>
          </w:tcPr>
          <w:p w14:paraId="0121CBD0"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76" w:type="dxa"/>
            <w:tcBorders>
              <w:top w:val="nil"/>
              <w:bottom w:val="nil"/>
            </w:tcBorders>
            <w:shd w:val="clear" w:color="auto" w:fill="auto"/>
            <w:noWrap/>
            <w:vAlign w:val="center"/>
            <w:hideMark/>
          </w:tcPr>
          <w:p w14:paraId="08949859" w14:textId="77777777" w:rsidR="00B821F0" w:rsidRPr="00B821F0" w:rsidRDefault="00B821F0" w:rsidP="00F7547D">
            <w:pPr>
              <w:jc w:val="center"/>
              <w:rPr>
                <w:rFonts w:ascii="Times New Roman" w:eastAsia="Times New Roman" w:hAnsi="Times New Roman" w:cs="Times New Roman"/>
                <w:sz w:val="20"/>
                <w:szCs w:val="20"/>
              </w:rPr>
            </w:pPr>
          </w:p>
        </w:tc>
        <w:tc>
          <w:tcPr>
            <w:tcW w:w="1276" w:type="dxa"/>
            <w:tcBorders>
              <w:top w:val="nil"/>
              <w:bottom w:val="nil"/>
            </w:tcBorders>
            <w:shd w:val="clear" w:color="auto" w:fill="auto"/>
            <w:noWrap/>
            <w:vAlign w:val="center"/>
            <w:hideMark/>
          </w:tcPr>
          <w:p w14:paraId="47A54122" w14:textId="77777777" w:rsidR="00B821F0" w:rsidRPr="00B821F0" w:rsidRDefault="00B821F0" w:rsidP="00F7547D">
            <w:pPr>
              <w:jc w:val="center"/>
              <w:rPr>
                <w:rFonts w:ascii="Times New Roman" w:eastAsia="Times New Roman" w:hAnsi="Times New Roman" w:cs="Times New Roman"/>
                <w:sz w:val="20"/>
                <w:szCs w:val="20"/>
              </w:rPr>
            </w:pPr>
          </w:p>
        </w:tc>
      </w:tr>
      <w:tr w:rsidR="001F0848" w:rsidRPr="00B821F0" w14:paraId="695D9337" w14:textId="77777777" w:rsidTr="00A35A95">
        <w:trPr>
          <w:trHeight w:val="320"/>
        </w:trPr>
        <w:tc>
          <w:tcPr>
            <w:tcW w:w="1276" w:type="dxa"/>
            <w:vMerge/>
            <w:tcBorders>
              <w:top w:val="nil"/>
              <w:bottom w:val="nil"/>
            </w:tcBorders>
            <w:vAlign w:val="center"/>
            <w:hideMark/>
          </w:tcPr>
          <w:p w14:paraId="5DDB8E92" w14:textId="77777777" w:rsidR="00B821F0" w:rsidRPr="00B821F0" w:rsidRDefault="00B821F0" w:rsidP="00F7547D">
            <w:pPr>
              <w:jc w:val="center"/>
              <w:rPr>
                <w:rFonts w:ascii="Times New Roman" w:eastAsia="Times New Roman" w:hAnsi="Times New Roman" w:cs="Times New Roman"/>
                <w:b/>
                <w:bCs/>
                <w:color w:val="000000"/>
                <w:sz w:val="20"/>
                <w:szCs w:val="20"/>
              </w:rPr>
            </w:pPr>
          </w:p>
        </w:tc>
        <w:tc>
          <w:tcPr>
            <w:tcW w:w="1276" w:type="dxa"/>
            <w:tcBorders>
              <w:top w:val="nil"/>
              <w:bottom w:val="nil"/>
            </w:tcBorders>
            <w:shd w:val="clear" w:color="auto" w:fill="auto"/>
            <w:noWrap/>
            <w:vAlign w:val="center"/>
            <w:hideMark/>
          </w:tcPr>
          <w:p w14:paraId="4AF958F8"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6YI3-state10</w:t>
            </w:r>
          </w:p>
        </w:tc>
        <w:tc>
          <w:tcPr>
            <w:tcW w:w="1418" w:type="dxa"/>
            <w:vMerge/>
            <w:tcBorders>
              <w:top w:val="nil"/>
              <w:bottom w:val="nil"/>
            </w:tcBorders>
            <w:vAlign w:val="center"/>
            <w:hideMark/>
          </w:tcPr>
          <w:p w14:paraId="5AD70B71"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69" w:type="dxa"/>
            <w:vMerge/>
            <w:tcBorders>
              <w:top w:val="nil"/>
              <w:bottom w:val="nil"/>
            </w:tcBorders>
            <w:vAlign w:val="center"/>
            <w:hideMark/>
          </w:tcPr>
          <w:p w14:paraId="06DED6BB"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139" w:type="dxa"/>
            <w:vMerge/>
            <w:tcBorders>
              <w:top w:val="nil"/>
              <w:bottom w:val="nil"/>
            </w:tcBorders>
            <w:vAlign w:val="center"/>
            <w:hideMark/>
          </w:tcPr>
          <w:p w14:paraId="2DE06DE5"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2553" w:type="dxa"/>
            <w:vMerge/>
            <w:tcBorders>
              <w:top w:val="nil"/>
              <w:bottom w:val="nil"/>
            </w:tcBorders>
            <w:vAlign w:val="center"/>
            <w:hideMark/>
          </w:tcPr>
          <w:p w14:paraId="15E4B93E"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567" w:type="dxa"/>
            <w:vMerge/>
            <w:tcBorders>
              <w:top w:val="nil"/>
              <w:bottom w:val="nil"/>
            </w:tcBorders>
            <w:vAlign w:val="center"/>
            <w:hideMark/>
          </w:tcPr>
          <w:p w14:paraId="02A34B35"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411" w:type="dxa"/>
            <w:vMerge/>
            <w:tcBorders>
              <w:top w:val="nil"/>
              <w:bottom w:val="nil"/>
            </w:tcBorders>
            <w:vAlign w:val="center"/>
            <w:hideMark/>
          </w:tcPr>
          <w:p w14:paraId="4D88CEE6"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82" w:type="dxa"/>
            <w:tcBorders>
              <w:top w:val="nil"/>
              <w:bottom w:val="nil"/>
            </w:tcBorders>
            <w:shd w:val="clear" w:color="auto" w:fill="auto"/>
            <w:noWrap/>
            <w:vAlign w:val="center"/>
            <w:hideMark/>
          </w:tcPr>
          <w:p w14:paraId="14763290" w14:textId="37B8F487" w:rsidR="00B821F0" w:rsidRPr="00B821F0" w:rsidRDefault="00B745C6" w:rsidP="00F7547D">
            <w:pPr>
              <w:jc w:val="center"/>
              <w:rPr>
                <w:rFonts w:ascii="Times New Roman" w:eastAsia="Times New Roman" w:hAnsi="Times New Roman" w:cs="Times New Roman"/>
                <w:color w:val="000000"/>
                <w:sz w:val="20"/>
                <w:szCs w:val="20"/>
              </w:rPr>
            </w:pPr>
            <w:r w:rsidRPr="00B745C6">
              <w:rPr>
                <w:rFonts w:ascii="Times New Roman" w:eastAsia="Times New Roman" w:hAnsi="Times New Roman" w:cs="Times New Roman"/>
                <w:color w:val="000000"/>
                <w:sz w:val="20"/>
                <w:szCs w:val="20"/>
                <w:lang w:val="en-US"/>
              </w:rPr>
              <w:t>15.3</w:t>
            </w:r>
            <w:r w:rsidR="00076404">
              <w:rPr>
                <w:rFonts w:ascii="Times New Roman" w:eastAsia="Times New Roman" w:hAnsi="Times New Roman" w:cs="Times New Roman"/>
                <w:color w:val="000000"/>
                <w:sz w:val="20"/>
                <w:szCs w:val="20"/>
                <w:lang w:val="en-US"/>
              </w:rPr>
              <w:t>7</w:t>
            </w:r>
          </w:p>
        </w:tc>
        <w:tc>
          <w:tcPr>
            <w:tcW w:w="1276" w:type="dxa"/>
            <w:tcBorders>
              <w:top w:val="nil"/>
              <w:bottom w:val="nil"/>
            </w:tcBorders>
            <w:shd w:val="clear" w:color="auto" w:fill="auto"/>
            <w:noWrap/>
            <w:vAlign w:val="center"/>
            <w:hideMark/>
          </w:tcPr>
          <w:p w14:paraId="157E8319" w14:textId="4D89A21A" w:rsidR="00B821F0" w:rsidRPr="00B821F0" w:rsidRDefault="00BD591F" w:rsidP="00F7547D">
            <w:pPr>
              <w:jc w:val="center"/>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-9.02</w:t>
            </w:r>
          </w:p>
        </w:tc>
        <w:tc>
          <w:tcPr>
            <w:tcW w:w="1276" w:type="dxa"/>
            <w:tcBorders>
              <w:top w:val="nil"/>
              <w:bottom w:val="nil"/>
            </w:tcBorders>
            <w:shd w:val="clear" w:color="auto" w:fill="auto"/>
            <w:noWrap/>
            <w:vAlign w:val="center"/>
            <w:hideMark/>
          </w:tcPr>
          <w:p w14:paraId="3178262E" w14:textId="341CAF17" w:rsidR="00B821F0" w:rsidRPr="00B821F0" w:rsidRDefault="00706ADF" w:rsidP="00F7547D">
            <w:pPr>
              <w:jc w:val="center"/>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-19.69</w:t>
            </w:r>
          </w:p>
        </w:tc>
      </w:tr>
      <w:tr w:rsidR="001F0848" w:rsidRPr="00B821F0" w14:paraId="2A896046" w14:textId="77777777" w:rsidTr="00A35A95">
        <w:trPr>
          <w:trHeight w:val="320"/>
        </w:trPr>
        <w:tc>
          <w:tcPr>
            <w:tcW w:w="1276" w:type="dxa"/>
            <w:vMerge/>
            <w:tcBorders>
              <w:top w:val="nil"/>
              <w:bottom w:val="nil"/>
            </w:tcBorders>
            <w:vAlign w:val="center"/>
            <w:hideMark/>
          </w:tcPr>
          <w:p w14:paraId="45E5A362" w14:textId="77777777" w:rsidR="00B821F0" w:rsidRPr="00B821F0" w:rsidRDefault="00B821F0" w:rsidP="00F7547D">
            <w:pPr>
              <w:jc w:val="center"/>
              <w:rPr>
                <w:rFonts w:ascii="Times New Roman" w:eastAsia="Times New Roman" w:hAnsi="Times New Roman" w:cs="Times New Roman"/>
                <w:b/>
                <w:bCs/>
                <w:color w:val="000000"/>
                <w:sz w:val="20"/>
                <w:szCs w:val="20"/>
              </w:rPr>
            </w:pPr>
          </w:p>
        </w:tc>
        <w:tc>
          <w:tcPr>
            <w:tcW w:w="1276" w:type="dxa"/>
            <w:tcBorders>
              <w:top w:val="nil"/>
              <w:bottom w:val="nil"/>
            </w:tcBorders>
            <w:shd w:val="clear" w:color="auto" w:fill="auto"/>
            <w:noWrap/>
            <w:vAlign w:val="center"/>
            <w:hideMark/>
          </w:tcPr>
          <w:p w14:paraId="15B9D0DA"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6YI3-state13</w:t>
            </w:r>
          </w:p>
        </w:tc>
        <w:tc>
          <w:tcPr>
            <w:tcW w:w="1418" w:type="dxa"/>
            <w:vMerge/>
            <w:tcBorders>
              <w:top w:val="nil"/>
              <w:bottom w:val="nil"/>
            </w:tcBorders>
            <w:vAlign w:val="center"/>
            <w:hideMark/>
          </w:tcPr>
          <w:p w14:paraId="148E0467"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69" w:type="dxa"/>
            <w:vMerge/>
            <w:tcBorders>
              <w:top w:val="nil"/>
              <w:bottom w:val="nil"/>
            </w:tcBorders>
            <w:vAlign w:val="center"/>
            <w:hideMark/>
          </w:tcPr>
          <w:p w14:paraId="274BA8A7"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139" w:type="dxa"/>
            <w:vMerge/>
            <w:tcBorders>
              <w:top w:val="nil"/>
              <w:bottom w:val="nil"/>
            </w:tcBorders>
            <w:vAlign w:val="center"/>
            <w:hideMark/>
          </w:tcPr>
          <w:p w14:paraId="1C91E237"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2553" w:type="dxa"/>
            <w:vMerge/>
            <w:tcBorders>
              <w:top w:val="nil"/>
              <w:bottom w:val="nil"/>
            </w:tcBorders>
            <w:vAlign w:val="center"/>
            <w:hideMark/>
          </w:tcPr>
          <w:p w14:paraId="23A01FC4"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567" w:type="dxa"/>
            <w:vMerge/>
            <w:tcBorders>
              <w:top w:val="nil"/>
              <w:bottom w:val="nil"/>
            </w:tcBorders>
            <w:vAlign w:val="center"/>
            <w:hideMark/>
          </w:tcPr>
          <w:p w14:paraId="50EF5621"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411" w:type="dxa"/>
            <w:vMerge/>
            <w:tcBorders>
              <w:top w:val="nil"/>
              <w:bottom w:val="nil"/>
            </w:tcBorders>
            <w:vAlign w:val="center"/>
            <w:hideMark/>
          </w:tcPr>
          <w:p w14:paraId="08C8051C"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82" w:type="dxa"/>
            <w:tcBorders>
              <w:top w:val="nil"/>
              <w:bottom w:val="nil"/>
            </w:tcBorders>
            <w:shd w:val="clear" w:color="auto" w:fill="auto"/>
            <w:noWrap/>
            <w:vAlign w:val="center"/>
            <w:hideMark/>
          </w:tcPr>
          <w:p w14:paraId="7C78C3D5"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76" w:type="dxa"/>
            <w:tcBorders>
              <w:top w:val="nil"/>
              <w:bottom w:val="nil"/>
            </w:tcBorders>
            <w:shd w:val="clear" w:color="auto" w:fill="auto"/>
            <w:noWrap/>
            <w:vAlign w:val="center"/>
            <w:hideMark/>
          </w:tcPr>
          <w:p w14:paraId="3FFDB937" w14:textId="77777777" w:rsidR="00B821F0" w:rsidRPr="00B821F0" w:rsidRDefault="00B821F0" w:rsidP="00F7547D">
            <w:pPr>
              <w:jc w:val="center"/>
              <w:rPr>
                <w:rFonts w:ascii="Times New Roman" w:eastAsia="Times New Roman" w:hAnsi="Times New Roman" w:cs="Times New Roman"/>
                <w:sz w:val="20"/>
                <w:szCs w:val="20"/>
              </w:rPr>
            </w:pPr>
          </w:p>
        </w:tc>
        <w:tc>
          <w:tcPr>
            <w:tcW w:w="1276" w:type="dxa"/>
            <w:tcBorders>
              <w:top w:val="nil"/>
              <w:bottom w:val="nil"/>
            </w:tcBorders>
            <w:shd w:val="clear" w:color="auto" w:fill="auto"/>
            <w:noWrap/>
            <w:vAlign w:val="center"/>
            <w:hideMark/>
          </w:tcPr>
          <w:p w14:paraId="03B7501F" w14:textId="77777777" w:rsidR="00B821F0" w:rsidRPr="00B821F0" w:rsidRDefault="00B821F0" w:rsidP="00F7547D">
            <w:pPr>
              <w:jc w:val="center"/>
              <w:rPr>
                <w:rFonts w:ascii="Times New Roman" w:eastAsia="Times New Roman" w:hAnsi="Times New Roman" w:cs="Times New Roman"/>
                <w:sz w:val="20"/>
                <w:szCs w:val="20"/>
              </w:rPr>
            </w:pPr>
          </w:p>
        </w:tc>
      </w:tr>
      <w:tr w:rsidR="001F0848" w:rsidRPr="00B821F0" w14:paraId="32150D66" w14:textId="77777777" w:rsidTr="00A35A95">
        <w:trPr>
          <w:trHeight w:val="320"/>
        </w:trPr>
        <w:tc>
          <w:tcPr>
            <w:tcW w:w="1276" w:type="dxa"/>
            <w:vMerge/>
            <w:tcBorders>
              <w:top w:val="nil"/>
              <w:bottom w:val="single" w:sz="4" w:space="0" w:color="auto"/>
            </w:tcBorders>
            <w:vAlign w:val="center"/>
            <w:hideMark/>
          </w:tcPr>
          <w:p w14:paraId="733F1AF1" w14:textId="77777777" w:rsidR="00B821F0" w:rsidRPr="00B821F0" w:rsidRDefault="00B821F0" w:rsidP="00F7547D">
            <w:pPr>
              <w:jc w:val="center"/>
              <w:rPr>
                <w:rFonts w:ascii="Times New Roman" w:eastAsia="Times New Roman" w:hAnsi="Times New Roman" w:cs="Times New Roman"/>
                <w:b/>
                <w:bCs/>
                <w:color w:val="000000"/>
                <w:sz w:val="20"/>
                <w:szCs w:val="20"/>
              </w:rPr>
            </w:pPr>
          </w:p>
        </w:tc>
        <w:tc>
          <w:tcPr>
            <w:tcW w:w="1276" w:type="dxa"/>
            <w:tcBorders>
              <w:top w:val="nil"/>
              <w:bottom w:val="single" w:sz="4" w:space="0" w:color="auto"/>
            </w:tcBorders>
            <w:shd w:val="clear" w:color="auto" w:fill="auto"/>
            <w:noWrap/>
            <w:vAlign w:val="center"/>
            <w:hideMark/>
          </w:tcPr>
          <w:p w14:paraId="56F9949F"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6YI3-state28</w:t>
            </w:r>
          </w:p>
        </w:tc>
        <w:tc>
          <w:tcPr>
            <w:tcW w:w="1418" w:type="dxa"/>
            <w:vMerge/>
            <w:tcBorders>
              <w:top w:val="nil"/>
              <w:bottom w:val="single" w:sz="4" w:space="0" w:color="auto"/>
            </w:tcBorders>
            <w:vAlign w:val="center"/>
            <w:hideMark/>
          </w:tcPr>
          <w:p w14:paraId="3FC78861"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69" w:type="dxa"/>
            <w:vMerge/>
            <w:tcBorders>
              <w:top w:val="nil"/>
              <w:bottom w:val="single" w:sz="4" w:space="0" w:color="auto"/>
            </w:tcBorders>
            <w:vAlign w:val="center"/>
            <w:hideMark/>
          </w:tcPr>
          <w:p w14:paraId="64C7CB4D"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139" w:type="dxa"/>
            <w:vMerge/>
            <w:tcBorders>
              <w:top w:val="nil"/>
              <w:bottom w:val="single" w:sz="4" w:space="0" w:color="auto"/>
            </w:tcBorders>
            <w:vAlign w:val="center"/>
            <w:hideMark/>
          </w:tcPr>
          <w:p w14:paraId="5FCF2F8C"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2553" w:type="dxa"/>
            <w:vMerge/>
            <w:tcBorders>
              <w:top w:val="nil"/>
              <w:bottom w:val="single" w:sz="4" w:space="0" w:color="auto"/>
            </w:tcBorders>
            <w:vAlign w:val="center"/>
            <w:hideMark/>
          </w:tcPr>
          <w:p w14:paraId="2A600140"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567" w:type="dxa"/>
            <w:vMerge/>
            <w:tcBorders>
              <w:top w:val="nil"/>
              <w:bottom w:val="single" w:sz="4" w:space="0" w:color="auto"/>
            </w:tcBorders>
            <w:vAlign w:val="center"/>
            <w:hideMark/>
          </w:tcPr>
          <w:p w14:paraId="401CC399"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411" w:type="dxa"/>
            <w:vMerge/>
            <w:tcBorders>
              <w:top w:val="nil"/>
              <w:bottom w:val="single" w:sz="4" w:space="0" w:color="auto"/>
            </w:tcBorders>
            <w:vAlign w:val="center"/>
            <w:hideMark/>
          </w:tcPr>
          <w:p w14:paraId="2A88AC22"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82" w:type="dxa"/>
            <w:tcBorders>
              <w:top w:val="nil"/>
              <w:bottom w:val="single" w:sz="4" w:space="0" w:color="auto"/>
            </w:tcBorders>
            <w:shd w:val="clear" w:color="auto" w:fill="auto"/>
            <w:noWrap/>
            <w:vAlign w:val="center"/>
            <w:hideMark/>
          </w:tcPr>
          <w:p w14:paraId="58406F3D"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76" w:type="dxa"/>
            <w:tcBorders>
              <w:top w:val="nil"/>
              <w:bottom w:val="single" w:sz="4" w:space="0" w:color="auto"/>
            </w:tcBorders>
            <w:shd w:val="clear" w:color="auto" w:fill="auto"/>
            <w:noWrap/>
            <w:vAlign w:val="center"/>
            <w:hideMark/>
          </w:tcPr>
          <w:p w14:paraId="3AF85DAA" w14:textId="77777777" w:rsidR="00B821F0" w:rsidRPr="00B821F0" w:rsidRDefault="00B821F0" w:rsidP="00F7547D">
            <w:pPr>
              <w:jc w:val="center"/>
              <w:rPr>
                <w:rFonts w:ascii="Times New Roman" w:eastAsia="Times New Roman" w:hAnsi="Times New Roman" w:cs="Times New Roman"/>
                <w:sz w:val="20"/>
                <w:szCs w:val="20"/>
              </w:rPr>
            </w:pPr>
          </w:p>
        </w:tc>
        <w:tc>
          <w:tcPr>
            <w:tcW w:w="1276" w:type="dxa"/>
            <w:tcBorders>
              <w:top w:val="nil"/>
              <w:bottom w:val="single" w:sz="4" w:space="0" w:color="auto"/>
            </w:tcBorders>
            <w:shd w:val="clear" w:color="auto" w:fill="auto"/>
            <w:noWrap/>
            <w:vAlign w:val="center"/>
            <w:hideMark/>
          </w:tcPr>
          <w:p w14:paraId="652E08D0" w14:textId="77777777" w:rsidR="00B821F0" w:rsidRPr="00B821F0" w:rsidRDefault="00B821F0" w:rsidP="00F7547D">
            <w:pPr>
              <w:jc w:val="center"/>
              <w:rPr>
                <w:rFonts w:ascii="Times New Roman" w:eastAsia="Times New Roman" w:hAnsi="Times New Roman" w:cs="Times New Roman"/>
                <w:sz w:val="20"/>
                <w:szCs w:val="20"/>
              </w:rPr>
            </w:pPr>
          </w:p>
        </w:tc>
      </w:tr>
      <w:tr w:rsidR="001F0848" w:rsidRPr="00B821F0" w14:paraId="3E9FB27B" w14:textId="77777777" w:rsidTr="00A35A95">
        <w:trPr>
          <w:trHeight w:val="320"/>
        </w:trPr>
        <w:tc>
          <w:tcPr>
            <w:tcW w:w="1276" w:type="dxa"/>
            <w:vMerge w:val="restart"/>
            <w:tcBorders>
              <w:top w:val="single" w:sz="4" w:space="0" w:color="auto"/>
            </w:tcBorders>
            <w:shd w:val="clear" w:color="auto" w:fill="auto"/>
            <w:noWrap/>
            <w:vAlign w:val="center"/>
            <w:hideMark/>
          </w:tcPr>
          <w:p w14:paraId="6CAFC2DE" w14:textId="77777777" w:rsidR="00B821F0" w:rsidRPr="00B821F0" w:rsidRDefault="00B821F0" w:rsidP="00F7547D">
            <w:pPr>
              <w:jc w:val="center"/>
              <w:rPr>
                <w:rFonts w:ascii="Times New Roman" w:eastAsia="Times New Roman" w:hAnsi="Times New Roman" w:cs="Times New Roman"/>
                <w:b/>
                <w:bCs/>
                <w:color w:val="000000"/>
                <w:sz w:val="20"/>
                <w:szCs w:val="20"/>
              </w:rPr>
            </w:pPr>
            <w:r w:rsidRPr="00B821F0">
              <w:rPr>
                <w:rFonts w:ascii="Times New Roman" w:eastAsia="Times New Roman" w:hAnsi="Times New Roman" w:cs="Times New Roman"/>
                <w:b/>
                <w:bCs/>
                <w:color w:val="000000"/>
                <w:sz w:val="20"/>
                <w:szCs w:val="20"/>
              </w:rPr>
              <w:t>Spike</w:t>
            </w:r>
          </w:p>
        </w:tc>
        <w:tc>
          <w:tcPr>
            <w:tcW w:w="1276" w:type="dxa"/>
            <w:tcBorders>
              <w:top w:val="single" w:sz="4" w:space="0" w:color="auto"/>
            </w:tcBorders>
            <w:shd w:val="clear" w:color="auto" w:fill="auto"/>
            <w:noWrap/>
            <w:vAlign w:val="center"/>
            <w:hideMark/>
          </w:tcPr>
          <w:p w14:paraId="2DD39D0F"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6M0J</w:t>
            </w:r>
          </w:p>
        </w:tc>
        <w:tc>
          <w:tcPr>
            <w:tcW w:w="1418" w:type="dxa"/>
            <w:tcBorders>
              <w:top w:val="single" w:sz="4" w:space="0" w:color="auto"/>
            </w:tcBorders>
            <w:shd w:val="clear" w:color="auto" w:fill="auto"/>
            <w:noWrap/>
            <w:vAlign w:val="center"/>
            <w:hideMark/>
          </w:tcPr>
          <w:p w14:paraId="2A3D1D32"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X-ray</w:t>
            </w:r>
          </w:p>
        </w:tc>
        <w:tc>
          <w:tcPr>
            <w:tcW w:w="1269" w:type="dxa"/>
            <w:tcBorders>
              <w:top w:val="single" w:sz="4" w:space="0" w:color="auto"/>
            </w:tcBorders>
            <w:shd w:val="clear" w:color="auto" w:fill="auto"/>
            <w:noWrap/>
            <w:vAlign w:val="center"/>
            <w:hideMark/>
          </w:tcPr>
          <w:p w14:paraId="0595CB5A"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2.45</w:t>
            </w:r>
          </w:p>
        </w:tc>
        <w:tc>
          <w:tcPr>
            <w:tcW w:w="1139" w:type="dxa"/>
            <w:tcBorders>
              <w:top w:val="single" w:sz="4" w:space="0" w:color="auto"/>
            </w:tcBorders>
            <w:shd w:val="clear" w:color="auto" w:fill="auto"/>
            <w:noWrap/>
            <w:vAlign w:val="center"/>
            <w:hideMark/>
          </w:tcPr>
          <w:p w14:paraId="5EA6FA69"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2553" w:type="dxa"/>
            <w:tcBorders>
              <w:top w:val="single" w:sz="4" w:space="0" w:color="auto"/>
            </w:tcBorders>
            <w:shd w:val="clear" w:color="auto" w:fill="auto"/>
            <w:noWrap/>
            <w:vAlign w:val="center"/>
            <w:hideMark/>
          </w:tcPr>
          <w:p w14:paraId="46E16942"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10.1038/s41586-020-2180-5</w:t>
            </w:r>
          </w:p>
        </w:tc>
        <w:tc>
          <w:tcPr>
            <w:tcW w:w="567" w:type="dxa"/>
            <w:tcBorders>
              <w:top w:val="single" w:sz="4" w:space="0" w:color="auto"/>
            </w:tcBorders>
            <w:shd w:val="clear" w:color="auto" w:fill="auto"/>
            <w:noWrap/>
            <w:vAlign w:val="center"/>
            <w:hideMark/>
          </w:tcPr>
          <w:p w14:paraId="508FDE05"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1411" w:type="dxa"/>
            <w:tcBorders>
              <w:top w:val="single" w:sz="4" w:space="0" w:color="auto"/>
            </w:tcBorders>
            <w:shd w:val="clear" w:color="auto" w:fill="auto"/>
            <w:noWrap/>
            <w:vAlign w:val="center"/>
            <w:hideMark/>
          </w:tcPr>
          <w:p w14:paraId="3A4545E0"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1282" w:type="dxa"/>
            <w:vMerge w:val="restart"/>
            <w:tcBorders>
              <w:top w:val="single" w:sz="4" w:space="0" w:color="auto"/>
            </w:tcBorders>
            <w:shd w:val="clear" w:color="auto" w:fill="auto"/>
            <w:noWrap/>
            <w:vAlign w:val="center"/>
            <w:hideMark/>
          </w:tcPr>
          <w:p w14:paraId="0E9676F9" w14:textId="4B75D18F" w:rsidR="00B821F0" w:rsidRPr="00B821F0" w:rsidRDefault="00B821F0" w:rsidP="00F7547D">
            <w:pPr>
              <w:jc w:val="center"/>
              <w:rPr>
                <w:rFonts w:ascii="Times New Roman" w:eastAsia="Times New Roman" w:hAnsi="Times New Roman" w:cs="Times New Roman"/>
                <w:color w:val="000000"/>
                <w:sz w:val="20"/>
                <w:szCs w:val="20"/>
                <w:lang w:val="en-US"/>
              </w:rPr>
            </w:pPr>
            <w:r w:rsidRPr="00B821F0">
              <w:rPr>
                <w:rFonts w:ascii="Times New Roman" w:eastAsia="Times New Roman" w:hAnsi="Times New Roman" w:cs="Times New Roman"/>
                <w:color w:val="000000"/>
                <w:sz w:val="20"/>
                <w:szCs w:val="20"/>
              </w:rPr>
              <w:t>-39.9</w:t>
            </w:r>
            <w:r w:rsidR="00706ADF">
              <w:rPr>
                <w:rFonts w:ascii="Times New Roman" w:eastAsia="Times New Roman" w:hAnsi="Times New Roman" w:cs="Times New Roman"/>
                <w:color w:val="000000"/>
                <w:sz w:val="20"/>
                <w:szCs w:val="20"/>
                <w:lang w:val="en-US"/>
              </w:rPr>
              <w:t>0</w:t>
            </w:r>
          </w:p>
        </w:tc>
        <w:tc>
          <w:tcPr>
            <w:tcW w:w="1276" w:type="dxa"/>
            <w:vMerge w:val="restart"/>
            <w:tcBorders>
              <w:top w:val="single" w:sz="4" w:space="0" w:color="auto"/>
            </w:tcBorders>
            <w:shd w:val="clear" w:color="auto" w:fill="auto"/>
            <w:noWrap/>
            <w:vAlign w:val="center"/>
            <w:hideMark/>
          </w:tcPr>
          <w:p w14:paraId="3D5EE4B5" w14:textId="01F52A61" w:rsidR="00B821F0" w:rsidRPr="00B821F0" w:rsidRDefault="00B821F0" w:rsidP="00F7547D">
            <w:pPr>
              <w:jc w:val="center"/>
              <w:rPr>
                <w:rFonts w:ascii="Times New Roman" w:eastAsia="Times New Roman" w:hAnsi="Times New Roman" w:cs="Times New Roman"/>
                <w:color w:val="000000"/>
                <w:sz w:val="20"/>
                <w:szCs w:val="20"/>
                <w:lang w:val="en-US"/>
              </w:rPr>
            </w:pPr>
            <w:r w:rsidRPr="00B821F0">
              <w:rPr>
                <w:rFonts w:ascii="Times New Roman" w:eastAsia="Times New Roman" w:hAnsi="Times New Roman" w:cs="Times New Roman"/>
                <w:color w:val="000000"/>
                <w:sz w:val="20"/>
                <w:szCs w:val="20"/>
              </w:rPr>
              <w:t>31</w:t>
            </w:r>
            <w:r w:rsidR="00706ADF">
              <w:rPr>
                <w:rFonts w:ascii="Times New Roman" w:eastAsia="Times New Roman" w:hAnsi="Times New Roman" w:cs="Times New Roman"/>
                <w:color w:val="000000"/>
                <w:sz w:val="20"/>
                <w:szCs w:val="20"/>
                <w:lang w:val="en-US"/>
              </w:rPr>
              <w:t>.00</w:t>
            </w:r>
          </w:p>
        </w:tc>
        <w:tc>
          <w:tcPr>
            <w:tcW w:w="1276" w:type="dxa"/>
            <w:vMerge w:val="restart"/>
            <w:tcBorders>
              <w:top w:val="single" w:sz="4" w:space="0" w:color="auto"/>
            </w:tcBorders>
            <w:shd w:val="clear" w:color="auto" w:fill="auto"/>
            <w:noWrap/>
            <w:vAlign w:val="center"/>
            <w:hideMark/>
          </w:tcPr>
          <w:p w14:paraId="7C78BAB5" w14:textId="35676D08" w:rsidR="00B821F0" w:rsidRPr="00B821F0" w:rsidRDefault="00B821F0" w:rsidP="00F7547D">
            <w:pPr>
              <w:jc w:val="center"/>
              <w:rPr>
                <w:rFonts w:ascii="Times New Roman" w:eastAsia="Times New Roman" w:hAnsi="Times New Roman" w:cs="Times New Roman"/>
                <w:color w:val="000000"/>
                <w:sz w:val="20"/>
                <w:szCs w:val="20"/>
                <w:lang w:val="en-US"/>
              </w:rPr>
            </w:pPr>
            <w:r w:rsidRPr="00B821F0">
              <w:rPr>
                <w:rFonts w:ascii="Times New Roman" w:eastAsia="Times New Roman" w:hAnsi="Times New Roman" w:cs="Times New Roman"/>
                <w:color w:val="000000"/>
                <w:sz w:val="20"/>
                <w:szCs w:val="20"/>
              </w:rPr>
              <w:t>7.5</w:t>
            </w:r>
            <w:r w:rsidR="00706ADF">
              <w:rPr>
                <w:rFonts w:ascii="Times New Roman" w:eastAsia="Times New Roman" w:hAnsi="Times New Roman" w:cs="Times New Roman"/>
                <w:color w:val="000000"/>
                <w:sz w:val="20"/>
                <w:szCs w:val="20"/>
                <w:lang w:val="en-US"/>
              </w:rPr>
              <w:t>0</w:t>
            </w:r>
          </w:p>
        </w:tc>
      </w:tr>
      <w:tr w:rsidR="001F0848" w:rsidRPr="00B821F0" w14:paraId="76DECFFE" w14:textId="77777777" w:rsidTr="00A35A95">
        <w:trPr>
          <w:trHeight w:val="320"/>
        </w:trPr>
        <w:tc>
          <w:tcPr>
            <w:tcW w:w="1276" w:type="dxa"/>
            <w:vMerge/>
            <w:tcBorders>
              <w:bottom w:val="single" w:sz="4" w:space="0" w:color="auto"/>
            </w:tcBorders>
            <w:vAlign w:val="center"/>
            <w:hideMark/>
          </w:tcPr>
          <w:p w14:paraId="0F8EF4EC" w14:textId="77777777" w:rsidR="00B821F0" w:rsidRPr="00B821F0" w:rsidRDefault="00B821F0" w:rsidP="00F7547D">
            <w:pPr>
              <w:jc w:val="center"/>
              <w:rPr>
                <w:rFonts w:ascii="Times New Roman" w:eastAsia="Times New Roman" w:hAnsi="Times New Roman" w:cs="Times New Roman"/>
                <w:b/>
                <w:bCs/>
                <w:color w:val="000000"/>
                <w:sz w:val="20"/>
                <w:szCs w:val="20"/>
              </w:rPr>
            </w:pPr>
          </w:p>
        </w:tc>
        <w:tc>
          <w:tcPr>
            <w:tcW w:w="1276" w:type="dxa"/>
            <w:tcBorders>
              <w:bottom w:val="single" w:sz="4" w:space="0" w:color="auto"/>
            </w:tcBorders>
            <w:shd w:val="clear" w:color="auto" w:fill="auto"/>
            <w:noWrap/>
            <w:vAlign w:val="center"/>
            <w:hideMark/>
          </w:tcPr>
          <w:p w14:paraId="7A56CC36"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7BZ5</w:t>
            </w:r>
          </w:p>
        </w:tc>
        <w:tc>
          <w:tcPr>
            <w:tcW w:w="1418" w:type="dxa"/>
            <w:tcBorders>
              <w:bottom w:val="single" w:sz="4" w:space="0" w:color="auto"/>
            </w:tcBorders>
            <w:shd w:val="clear" w:color="auto" w:fill="auto"/>
            <w:noWrap/>
            <w:vAlign w:val="center"/>
            <w:hideMark/>
          </w:tcPr>
          <w:p w14:paraId="6EE52295"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X-ray</w:t>
            </w:r>
          </w:p>
        </w:tc>
        <w:tc>
          <w:tcPr>
            <w:tcW w:w="1269" w:type="dxa"/>
            <w:tcBorders>
              <w:bottom w:val="single" w:sz="4" w:space="0" w:color="auto"/>
            </w:tcBorders>
            <w:shd w:val="clear" w:color="auto" w:fill="auto"/>
            <w:noWrap/>
            <w:vAlign w:val="center"/>
            <w:hideMark/>
          </w:tcPr>
          <w:p w14:paraId="676CAEC7"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1.84</w:t>
            </w:r>
          </w:p>
        </w:tc>
        <w:tc>
          <w:tcPr>
            <w:tcW w:w="1139" w:type="dxa"/>
            <w:tcBorders>
              <w:bottom w:val="single" w:sz="4" w:space="0" w:color="auto"/>
            </w:tcBorders>
            <w:shd w:val="clear" w:color="auto" w:fill="auto"/>
            <w:noWrap/>
            <w:vAlign w:val="center"/>
            <w:hideMark/>
          </w:tcPr>
          <w:p w14:paraId="4F7A03D9"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2553" w:type="dxa"/>
            <w:tcBorders>
              <w:bottom w:val="single" w:sz="4" w:space="0" w:color="auto"/>
            </w:tcBorders>
            <w:shd w:val="clear" w:color="auto" w:fill="auto"/>
            <w:noWrap/>
            <w:vAlign w:val="center"/>
            <w:hideMark/>
          </w:tcPr>
          <w:p w14:paraId="16F289D4"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10.1126/science.abc2241</w:t>
            </w:r>
          </w:p>
        </w:tc>
        <w:tc>
          <w:tcPr>
            <w:tcW w:w="567" w:type="dxa"/>
            <w:tcBorders>
              <w:bottom w:val="single" w:sz="4" w:space="0" w:color="auto"/>
            </w:tcBorders>
            <w:shd w:val="clear" w:color="auto" w:fill="auto"/>
            <w:noWrap/>
            <w:vAlign w:val="center"/>
            <w:hideMark/>
          </w:tcPr>
          <w:p w14:paraId="719E565D"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1411" w:type="dxa"/>
            <w:tcBorders>
              <w:bottom w:val="single" w:sz="4" w:space="0" w:color="auto"/>
            </w:tcBorders>
            <w:shd w:val="clear" w:color="auto" w:fill="auto"/>
            <w:noWrap/>
            <w:vAlign w:val="center"/>
            <w:hideMark/>
          </w:tcPr>
          <w:p w14:paraId="62643182" w14:textId="77777777" w:rsidR="00B821F0" w:rsidRPr="00B821F0" w:rsidRDefault="00B821F0" w:rsidP="00F7547D">
            <w:pPr>
              <w:jc w:val="center"/>
              <w:rPr>
                <w:rFonts w:ascii="Times New Roman" w:eastAsia="Times New Roman" w:hAnsi="Times New Roman" w:cs="Times New Roman"/>
                <w:color w:val="000000"/>
                <w:sz w:val="20"/>
                <w:szCs w:val="20"/>
              </w:rPr>
            </w:pPr>
            <w:r w:rsidRPr="00B821F0">
              <w:rPr>
                <w:rFonts w:ascii="Times New Roman" w:eastAsia="Times New Roman" w:hAnsi="Times New Roman" w:cs="Times New Roman"/>
                <w:color w:val="000000"/>
                <w:sz w:val="20"/>
                <w:szCs w:val="20"/>
              </w:rPr>
              <w:t>-</w:t>
            </w:r>
          </w:p>
        </w:tc>
        <w:tc>
          <w:tcPr>
            <w:tcW w:w="1282" w:type="dxa"/>
            <w:vMerge/>
            <w:tcBorders>
              <w:bottom w:val="single" w:sz="4" w:space="0" w:color="auto"/>
            </w:tcBorders>
            <w:vAlign w:val="center"/>
            <w:hideMark/>
          </w:tcPr>
          <w:p w14:paraId="38CC2EA8"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76" w:type="dxa"/>
            <w:vMerge/>
            <w:tcBorders>
              <w:bottom w:val="single" w:sz="4" w:space="0" w:color="auto"/>
            </w:tcBorders>
            <w:vAlign w:val="center"/>
            <w:hideMark/>
          </w:tcPr>
          <w:p w14:paraId="0C26A220" w14:textId="77777777" w:rsidR="00B821F0" w:rsidRPr="00B821F0" w:rsidRDefault="00B821F0" w:rsidP="00F7547D">
            <w:pPr>
              <w:jc w:val="center"/>
              <w:rPr>
                <w:rFonts w:ascii="Times New Roman" w:eastAsia="Times New Roman" w:hAnsi="Times New Roman" w:cs="Times New Roman"/>
                <w:color w:val="000000"/>
                <w:sz w:val="20"/>
                <w:szCs w:val="20"/>
              </w:rPr>
            </w:pPr>
          </w:p>
        </w:tc>
        <w:tc>
          <w:tcPr>
            <w:tcW w:w="1276" w:type="dxa"/>
            <w:vMerge/>
            <w:tcBorders>
              <w:bottom w:val="single" w:sz="4" w:space="0" w:color="auto"/>
            </w:tcBorders>
            <w:vAlign w:val="center"/>
            <w:hideMark/>
          </w:tcPr>
          <w:p w14:paraId="412656DA" w14:textId="77777777" w:rsidR="00B821F0" w:rsidRPr="00B821F0" w:rsidRDefault="00B821F0" w:rsidP="00F7547D">
            <w:pPr>
              <w:jc w:val="center"/>
              <w:rPr>
                <w:rFonts w:ascii="Times New Roman" w:eastAsia="Times New Roman" w:hAnsi="Times New Roman" w:cs="Times New Roman"/>
                <w:color w:val="000000"/>
                <w:sz w:val="20"/>
                <w:szCs w:val="20"/>
              </w:rPr>
            </w:pPr>
          </w:p>
        </w:tc>
      </w:tr>
      <w:tr w:rsidR="00A35A95" w:rsidRPr="00B821F0" w14:paraId="2421B679" w14:textId="77777777" w:rsidTr="00A35A95">
        <w:trPr>
          <w:trHeight w:val="320"/>
        </w:trPr>
        <w:tc>
          <w:tcPr>
            <w:tcW w:w="14743" w:type="dxa"/>
            <w:gridSpan w:val="11"/>
            <w:tcBorders>
              <w:top w:val="single" w:sz="4" w:space="0" w:color="auto"/>
              <w:bottom w:val="nil"/>
            </w:tcBorders>
            <w:vAlign w:val="center"/>
          </w:tcPr>
          <w:p w14:paraId="0D7D89F2" w14:textId="2B061052" w:rsidR="00A35A95" w:rsidRPr="00A35A95" w:rsidRDefault="00A35A95" w:rsidP="00A35A95">
            <w:pPr>
              <w:jc w:val="both"/>
              <w:rPr>
                <w:rFonts w:ascii="Times New Roman" w:eastAsia="Times New Roman" w:hAnsi="Times New Roman" w:cs="Times New Roman"/>
                <w:color w:val="000000"/>
                <w:sz w:val="20"/>
                <w:szCs w:val="20"/>
                <w:lang w:val="en-US"/>
              </w:rPr>
            </w:pPr>
            <w:r w:rsidRPr="00A35A95">
              <w:rPr>
                <w:rFonts w:ascii="Times New Roman" w:eastAsia="Times New Roman" w:hAnsi="Times New Roman" w:cs="Times New Roman"/>
                <w:color w:val="000000"/>
                <w:sz w:val="20"/>
                <w:szCs w:val="20"/>
                <w:vertAlign w:val="superscript"/>
                <w:lang w:val="en-US"/>
              </w:rPr>
              <w:t>a</w:t>
            </w:r>
            <w:r>
              <w:rPr>
                <w:rFonts w:ascii="Times New Roman" w:eastAsia="Times New Roman" w:hAnsi="Times New Roman" w:cs="Times New Roman"/>
                <w:color w:val="000000"/>
                <w:sz w:val="20"/>
                <w:szCs w:val="20"/>
                <w:lang w:val="en-US"/>
              </w:rPr>
              <w:t xml:space="preserve"> Values given in Å. </w:t>
            </w:r>
            <w:r w:rsidRPr="00A96745">
              <w:rPr>
                <w:rFonts w:ascii="Times New Roman" w:eastAsia="Times New Roman" w:hAnsi="Times New Roman" w:cs="Times New Roman"/>
                <w:color w:val="000000"/>
                <w:sz w:val="20"/>
                <w:szCs w:val="20"/>
                <w:vertAlign w:val="superscript"/>
                <w:lang w:val="en-US"/>
              </w:rPr>
              <w:t>b</w:t>
            </w:r>
            <w:r>
              <w:rPr>
                <w:rFonts w:ascii="Times New Roman" w:eastAsia="Times New Roman" w:hAnsi="Times New Roman" w:cs="Times New Roman"/>
                <w:color w:val="000000"/>
                <w:sz w:val="20"/>
                <w:szCs w:val="20"/>
                <w:lang w:val="en-US"/>
              </w:rPr>
              <w:t xml:space="preserve"> </w:t>
            </w:r>
            <w:r w:rsidR="00A96745">
              <w:rPr>
                <w:rFonts w:ascii="Times New Roman" w:eastAsia="Times New Roman" w:hAnsi="Times New Roman" w:cs="Times New Roman"/>
                <w:color w:val="000000"/>
                <w:sz w:val="20"/>
                <w:szCs w:val="20"/>
                <w:lang w:val="en-US"/>
              </w:rPr>
              <w:t>Root-mean-square deviation (RMSD) between the t</w:t>
            </w:r>
            <w:r>
              <w:rPr>
                <w:rFonts w:ascii="Times New Roman" w:eastAsia="Times New Roman" w:hAnsi="Times New Roman" w:cs="Times New Roman"/>
                <w:color w:val="000000"/>
                <w:sz w:val="20"/>
                <w:szCs w:val="20"/>
                <w:lang w:val="en-US"/>
              </w:rPr>
              <w:t xml:space="preserve">op-ranked binding mode </w:t>
            </w:r>
            <w:r w:rsidR="00A96745">
              <w:rPr>
                <w:rFonts w:ascii="Times New Roman" w:eastAsia="Times New Roman" w:hAnsi="Times New Roman" w:cs="Times New Roman"/>
                <w:color w:val="000000"/>
                <w:sz w:val="20"/>
                <w:szCs w:val="20"/>
                <w:lang w:val="en-US"/>
              </w:rPr>
              <w:t xml:space="preserve">found by </w:t>
            </w:r>
            <w:proofErr w:type="spellStart"/>
            <w:r w:rsidR="00A96745">
              <w:rPr>
                <w:rFonts w:ascii="Times New Roman" w:eastAsia="Times New Roman" w:hAnsi="Times New Roman" w:cs="Times New Roman"/>
                <w:color w:val="000000"/>
                <w:sz w:val="20"/>
                <w:szCs w:val="20"/>
                <w:lang w:val="en-US"/>
              </w:rPr>
              <w:t>DockThor</w:t>
            </w:r>
            <w:proofErr w:type="spellEnd"/>
            <w:r w:rsidR="00A96745">
              <w:rPr>
                <w:rFonts w:ascii="Times New Roman" w:eastAsia="Times New Roman" w:hAnsi="Times New Roman" w:cs="Times New Roman"/>
                <w:color w:val="000000"/>
                <w:sz w:val="20"/>
                <w:szCs w:val="20"/>
                <w:lang w:val="en-US"/>
              </w:rPr>
              <w:t>-VS and the experimental conformation of the co-crystallized ligand.</w:t>
            </w:r>
          </w:p>
        </w:tc>
      </w:tr>
    </w:tbl>
    <w:p w14:paraId="4AAC4C9D" w14:textId="77777777" w:rsidR="00014378" w:rsidRPr="00A91D23" w:rsidRDefault="00014378" w:rsidP="00A91D23">
      <w:pPr>
        <w:jc w:val="both"/>
        <w:rPr>
          <w:rFonts w:ascii="Times New Roman" w:hAnsi="Times New Roman" w:cs="Times New Roman"/>
          <w:sz w:val="22"/>
          <w:szCs w:val="22"/>
          <w:lang w:val="en-US"/>
        </w:rPr>
      </w:pPr>
    </w:p>
    <w:sectPr w:rsidR="00014378" w:rsidRPr="00A91D23" w:rsidSect="00A709DB">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D23"/>
    <w:rsid w:val="00014378"/>
    <w:rsid w:val="0006187C"/>
    <w:rsid w:val="00076404"/>
    <w:rsid w:val="000B068B"/>
    <w:rsid w:val="001F0848"/>
    <w:rsid w:val="003854B7"/>
    <w:rsid w:val="0070517F"/>
    <w:rsid w:val="00706ADF"/>
    <w:rsid w:val="0071664B"/>
    <w:rsid w:val="007E7E46"/>
    <w:rsid w:val="008C576F"/>
    <w:rsid w:val="00913E1F"/>
    <w:rsid w:val="00A35A95"/>
    <w:rsid w:val="00A709DB"/>
    <w:rsid w:val="00A91D23"/>
    <w:rsid w:val="00A96745"/>
    <w:rsid w:val="00B47D01"/>
    <w:rsid w:val="00B62E70"/>
    <w:rsid w:val="00B745C6"/>
    <w:rsid w:val="00B821F0"/>
    <w:rsid w:val="00BD591F"/>
    <w:rsid w:val="00E13C4C"/>
    <w:rsid w:val="00E57341"/>
    <w:rsid w:val="00F7547D"/>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D0324"/>
  <w15:chartTrackingRefBased/>
  <w15:docId w15:val="{CD54F4D1-79D1-3441-A6F9-F26639F94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MDPI41tablecaption">
    <w:name w:val="MDPI_4.1_table_caption"/>
    <w:basedOn w:val="Normal"/>
    <w:qFormat/>
    <w:rsid w:val="00A91D23"/>
    <w:pPr>
      <w:adjustRightInd w:val="0"/>
      <w:snapToGrid w:val="0"/>
      <w:spacing w:before="240" w:after="120" w:line="260" w:lineRule="atLeast"/>
      <w:ind w:left="425" w:right="425"/>
      <w:jc w:val="both"/>
    </w:pPr>
    <w:rPr>
      <w:rFonts w:ascii="Palatino Linotype" w:eastAsia="Times New Roman" w:hAnsi="Palatino Linotype" w:cs="Times New Roman"/>
      <w:color w:val="000000"/>
      <w:sz w:val="18"/>
      <w:szCs w:val="22"/>
      <w:lang w:val="en-US" w:eastAsia="de-DE" w:bidi="en-US"/>
    </w:rPr>
  </w:style>
  <w:style w:type="paragraph" w:customStyle="1" w:styleId="MDPI42tablebody">
    <w:name w:val="MDPI_4.2_table_body"/>
    <w:qFormat/>
    <w:rsid w:val="00A91D23"/>
    <w:pPr>
      <w:adjustRightInd w:val="0"/>
      <w:snapToGrid w:val="0"/>
      <w:spacing w:line="260" w:lineRule="atLeast"/>
      <w:jc w:val="center"/>
    </w:pPr>
    <w:rPr>
      <w:rFonts w:ascii="Palatino Linotype" w:eastAsia="Times New Roman" w:hAnsi="Palatino Linotype" w:cs="Times New Roman"/>
      <w:snapToGrid w:val="0"/>
      <w:color w:val="000000"/>
      <w:sz w:val="20"/>
      <w:szCs w:val="20"/>
      <w:lang w:val="en-US" w:eastAsia="de-DE" w:bidi="en-US"/>
    </w:rPr>
  </w:style>
  <w:style w:type="character" w:styleId="Hyperlink">
    <w:name w:val="Hyperlink"/>
    <w:uiPriority w:val="99"/>
    <w:unhideWhenUsed/>
    <w:rsid w:val="00A91D23"/>
    <w:rPr>
      <w:color w:val="0563C1"/>
      <w:u w:val="single"/>
    </w:rPr>
  </w:style>
  <w:style w:type="paragraph" w:styleId="Textodebalo">
    <w:name w:val="Balloon Text"/>
    <w:basedOn w:val="Normal"/>
    <w:link w:val="TextodebaloChar"/>
    <w:uiPriority w:val="99"/>
    <w:semiHidden/>
    <w:unhideWhenUsed/>
    <w:rsid w:val="00014378"/>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014378"/>
    <w:rPr>
      <w:rFonts w:ascii="Times New Roman" w:hAnsi="Times New Roman" w:cs="Times New Roman"/>
      <w:sz w:val="18"/>
      <w:szCs w:val="18"/>
    </w:rPr>
  </w:style>
  <w:style w:type="paragraph" w:customStyle="1" w:styleId="MDPI12title">
    <w:name w:val="MDPI_1.2_title"/>
    <w:next w:val="MDPI13authornames"/>
    <w:qFormat/>
    <w:rsid w:val="00A35A95"/>
    <w:pPr>
      <w:adjustRightInd w:val="0"/>
      <w:snapToGrid w:val="0"/>
      <w:spacing w:after="240" w:line="400" w:lineRule="exact"/>
    </w:pPr>
    <w:rPr>
      <w:rFonts w:ascii="Palatino Linotype" w:eastAsia="Times New Roman" w:hAnsi="Palatino Linotype"/>
      <w:b/>
      <w:snapToGrid w:val="0"/>
      <w:color w:val="000000"/>
      <w:sz w:val="36"/>
      <w:lang w:val="en-US" w:eastAsia="de-DE" w:bidi="en-US"/>
    </w:rPr>
  </w:style>
  <w:style w:type="paragraph" w:customStyle="1" w:styleId="MDPI13authornames">
    <w:name w:val="MDPI_1.3_authornames"/>
    <w:basedOn w:val="Normal"/>
    <w:next w:val="Normal"/>
    <w:qFormat/>
    <w:rsid w:val="00A35A95"/>
    <w:pPr>
      <w:adjustRightInd w:val="0"/>
      <w:snapToGrid w:val="0"/>
      <w:spacing w:after="120" w:line="480" w:lineRule="auto"/>
    </w:pPr>
    <w:rPr>
      <w:rFonts w:ascii="Arial" w:eastAsia="Times New Roman" w:hAnsi="Arial"/>
      <w:b/>
      <w:color w:val="000000"/>
      <w:sz w:val="22"/>
      <w:szCs w:val="22"/>
      <w:lang w:val="en-US" w:eastAsia="de-DE" w:bidi="en-US"/>
    </w:rPr>
  </w:style>
  <w:style w:type="paragraph" w:customStyle="1" w:styleId="MDPI16affiliation">
    <w:name w:val="MDPI_1.6_affiliation"/>
    <w:basedOn w:val="Normal"/>
    <w:qFormat/>
    <w:rsid w:val="00A35A95"/>
    <w:pPr>
      <w:adjustRightInd w:val="0"/>
      <w:snapToGrid w:val="0"/>
      <w:spacing w:line="200" w:lineRule="atLeast"/>
      <w:ind w:left="311" w:hanging="198"/>
    </w:pPr>
    <w:rPr>
      <w:rFonts w:ascii="Palatino Linotype" w:eastAsia="Times New Roman" w:hAnsi="Palatino Linotype"/>
      <w:color w:val="000000"/>
      <w:sz w:val="18"/>
      <w:szCs w:val="18"/>
      <w:lang w:val="en-US" w:eastAsia="de-DE" w:bidi="en-US"/>
    </w:rPr>
  </w:style>
  <w:style w:type="paragraph" w:styleId="Legenda">
    <w:name w:val="caption"/>
    <w:basedOn w:val="Normal"/>
    <w:next w:val="Normal"/>
    <w:uiPriority w:val="35"/>
    <w:unhideWhenUsed/>
    <w:qFormat/>
    <w:rsid w:val="00A35A95"/>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8092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cov-glue.cvr.gla.ac.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rovean.jcvi.org" TargetMode="External"/><Relationship Id="rId5" Type="http://schemas.openxmlformats.org/officeDocument/2006/relationships/hyperlink" Target="mailto:marisa@lncc.br" TargetMode="External"/><Relationship Id="rId4" Type="http://schemas.openxmlformats.org/officeDocument/2006/relationships/hyperlink" Target="mailto:dardenne@lncc.br"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7859</Words>
  <Characters>42443</Characters>
  <Application>Microsoft Office Word</Application>
  <DocSecurity>0</DocSecurity>
  <Lines>353</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Isabella Guedes</dc:creator>
  <cp:keywords/>
  <dc:description/>
  <cp:lastModifiedBy>dardenne@lncc.br</cp:lastModifiedBy>
  <cp:revision>4</cp:revision>
  <cp:lastPrinted>2020-10-16T14:30:00Z</cp:lastPrinted>
  <dcterms:created xsi:type="dcterms:W3CDTF">2020-10-16T14:30:00Z</dcterms:created>
  <dcterms:modified xsi:type="dcterms:W3CDTF">2020-10-22T18:09:00Z</dcterms:modified>
</cp:coreProperties>
</file>