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C4D033" w14:textId="1B028596" w:rsidR="00316725" w:rsidRPr="00172DC8" w:rsidRDefault="00BC1C37" w:rsidP="003260C0">
      <w:pPr>
        <w:pStyle w:val="Section"/>
      </w:pPr>
      <w:r>
        <w:rPr>
          <w:rFonts w:hint="eastAsia"/>
        </w:rPr>
        <w:t>Supplement</w:t>
      </w:r>
      <w:r w:rsidR="003260C0" w:rsidRPr="00172DC8">
        <w:rPr>
          <w:rFonts w:hint="eastAsia"/>
        </w:rPr>
        <w:t>s</w:t>
      </w:r>
    </w:p>
    <w:p w14:paraId="7453E2F5" w14:textId="11F35512" w:rsidR="001864FF" w:rsidRDefault="001864FF" w:rsidP="004E0F27">
      <w:pPr>
        <w:pStyle w:val="References"/>
        <w:rPr>
          <w:rStyle w:val="af4"/>
        </w:rPr>
      </w:pPr>
    </w:p>
    <w:p w14:paraId="3A4B1DFF" w14:textId="0BE5A0CD" w:rsidR="00517CDB" w:rsidRDefault="00517CDB" w:rsidP="00BC1C37">
      <w:pPr>
        <w:pStyle w:val="References"/>
        <w:ind w:left="0" w:firstLineChars="0" w:firstLine="0"/>
        <w:rPr>
          <w:rStyle w:val="af4"/>
          <w:b w:val="0"/>
          <w:bCs w:val="0"/>
        </w:rPr>
      </w:pPr>
      <w:r w:rsidRPr="00172DC8">
        <w:rPr>
          <w:rStyle w:val="af4"/>
          <w:rFonts w:hint="eastAsia"/>
        </w:rPr>
        <w:t>Fig. S1</w:t>
      </w:r>
      <w:r w:rsidRPr="00172DC8">
        <w:rPr>
          <w:rStyle w:val="af4"/>
          <w:rFonts w:hint="eastAsia"/>
          <w:b w:val="0"/>
          <w:bCs w:val="0"/>
        </w:rPr>
        <w:t xml:space="preserve"> </w:t>
      </w:r>
      <w:r w:rsidR="001864FF" w:rsidRPr="00172DC8">
        <w:rPr>
          <w:rStyle w:val="af4"/>
          <w:rFonts w:hint="eastAsia"/>
          <w:b w:val="0"/>
          <w:bCs w:val="0"/>
        </w:rPr>
        <w:t>C</w:t>
      </w:r>
      <w:r w:rsidR="001864FF" w:rsidRPr="00172DC8">
        <w:rPr>
          <w:rStyle w:val="af4"/>
          <w:b w:val="0"/>
          <w:bCs w:val="0"/>
        </w:rPr>
        <w:t>omposite fields of FLWV500m at initiation (0 h) for each LS-MCS orientation</w:t>
      </w:r>
      <w:r w:rsidR="001864FF" w:rsidRPr="00172DC8">
        <w:rPr>
          <w:rStyle w:val="af4"/>
          <w:rFonts w:hint="eastAsia"/>
          <w:b w:val="0"/>
          <w:bCs w:val="0"/>
        </w:rPr>
        <w:t>.</w:t>
      </w:r>
    </w:p>
    <w:p w14:paraId="7F1DD633" w14:textId="3CC56378" w:rsidR="00526F2D" w:rsidRDefault="00526F2D" w:rsidP="004E0F27">
      <w:pPr>
        <w:pStyle w:val="References"/>
        <w:rPr>
          <w:rStyle w:val="af4"/>
        </w:rPr>
      </w:pPr>
      <w:r w:rsidRPr="00526F2D">
        <w:rPr>
          <w:noProof/>
        </w:rPr>
        <w:drawing>
          <wp:inline distT="0" distB="0" distL="0" distR="0" wp14:anchorId="232C0359" wp14:editId="16D1982C">
            <wp:extent cx="5400040" cy="4207510"/>
            <wp:effectExtent l="0" t="0" r="0" b="2540"/>
            <wp:docPr id="682751684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0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B84EE" w14:textId="77777777" w:rsidR="00526F2D" w:rsidRPr="00172DC8" w:rsidRDefault="00526F2D" w:rsidP="004E0F27">
      <w:pPr>
        <w:pStyle w:val="References"/>
        <w:rPr>
          <w:rStyle w:val="af4"/>
        </w:rPr>
      </w:pPr>
    </w:p>
    <w:p w14:paraId="1FEF76D7" w14:textId="2A1C8B98" w:rsidR="00EA545C" w:rsidRDefault="00EA545C" w:rsidP="00DB0DA2">
      <w:pPr>
        <w:pStyle w:val="References"/>
        <w:rPr>
          <w:rStyle w:val="af4"/>
          <w:b w:val="0"/>
          <w:bCs w:val="0"/>
        </w:rPr>
      </w:pPr>
      <w:r w:rsidRPr="00172DC8">
        <w:rPr>
          <w:rStyle w:val="af4"/>
          <w:rFonts w:hint="eastAsia"/>
        </w:rPr>
        <w:t>Fig. S</w:t>
      </w:r>
      <w:r w:rsidR="00517CDB" w:rsidRPr="00172DC8">
        <w:rPr>
          <w:rStyle w:val="af4"/>
          <w:rFonts w:hint="eastAsia"/>
        </w:rPr>
        <w:t>2</w:t>
      </w:r>
      <w:r w:rsidRPr="00172DC8">
        <w:rPr>
          <w:rStyle w:val="af4"/>
          <w:rFonts w:hint="eastAsia"/>
          <w:b w:val="0"/>
          <w:bCs w:val="0"/>
        </w:rPr>
        <w:t xml:space="preserve"> </w:t>
      </w:r>
      <w:r w:rsidR="004E0F27" w:rsidRPr="00172DC8">
        <w:rPr>
          <w:rStyle w:val="af4"/>
          <w:b w:val="0"/>
          <w:bCs w:val="0"/>
        </w:rPr>
        <w:t>(a, c) Sea level pressure at the time of LS-MCS initiation, and (b, d) accumulated precipitation. (a, b) correspond to the event from 13</w:t>
      </w:r>
      <w:r w:rsidR="006F62B0" w:rsidRPr="00172DC8">
        <w:rPr>
          <w:rStyle w:val="af4"/>
          <w:rFonts w:hint="eastAsia"/>
          <w:b w:val="0"/>
          <w:bCs w:val="0"/>
        </w:rPr>
        <w:t>:00</w:t>
      </w:r>
      <w:r w:rsidR="004E0F27" w:rsidRPr="00172DC8">
        <w:rPr>
          <w:rStyle w:val="af4"/>
          <w:b w:val="0"/>
          <w:bCs w:val="0"/>
        </w:rPr>
        <w:t xml:space="preserve"> UTC 4 August to 01</w:t>
      </w:r>
      <w:r w:rsidR="006F62B0" w:rsidRPr="00172DC8">
        <w:rPr>
          <w:rStyle w:val="af4"/>
          <w:rFonts w:hint="eastAsia"/>
          <w:b w:val="0"/>
          <w:bCs w:val="0"/>
        </w:rPr>
        <w:t>:00</w:t>
      </w:r>
      <w:r w:rsidR="004E0F27" w:rsidRPr="00172DC8">
        <w:rPr>
          <w:rStyle w:val="af4"/>
          <w:b w:val="0"/>
          <w:bCs w:val="0"/>
        </w:rPr>
        <w:t xml:space="preserve"> UTC 5 August 1986, and (c, d) correspond to the event from 02</w:t>
      </w:r>
      <w:r w:rsidR="006F62B0" w:rsidRPr="00172DC8">
        <w:rPr>
          <w:rStyle w:val="af4"/>
          <w:rFonts w:hint="eastAsia"/>
          <w:b w:val="0"/>
          <w:bCs w:val="0"/>
        </w:rPr>
        <w:t>:00</w:t>
      </w:r>
      <w:r w:rsidR="004E0F27" w:rsidRPr="00172DC8">
        <w:rPr>
          <w:rStyle w:val="af4"/>
          <w:b w:val="0"/>
          <w:bCs w:val="0"/>
        </w:rPr>
        <w:t xml:space="preserve"> UTC 28 August to 11</w:t>
      </w:r>
      <w:r w:rsidR="006F62B0" w:rsidRPr="00172DC8">
        <w:rPr>
          <w:rStyle w:val="af4"/>
          <w:b w:val="0"/>
          <w:bCs w:val="0"/>
        </w:rPr>
        <w:t>:00</w:t>
      </w:r>
      <w:r w:rsidR="004E0F27" w:rsidRPr="00172DC8">
        <w:rPr>
          <w:rStyle w:val="af4"/>
          <w:b w:val="0"/>
          <w:bCs w:val="0"/>
        </w:rPr>
        <w:t xml:space="preserve"> UTC 28 August 1967 (Uetsu heavy rainfall).</w:t>
      </w:r>
    </w:p>
    <w:p w14:paraId="69F91821" w14:textId="31E619D2" w:rsidR="00526F2D" w:rsidRDefault="00526F2D" w:rsidP="00DB0DA2">
      <w:pPr>
        <w:pStyle w:val="References"/>
        <w:rPr>
          <w:rStyle w:val="af4"/>
        </w:rPr>
      </w:pPr>
      <w:r w:rsidRPr="00526F2D">
        <w:rPr>
          <w:noProof/>
        </w:rPr>
        <w:lastRenderedPageBreak/>
        <w:drawing>
          <wp:inline distT="0" distB="0" distL="0" distR="0" wp14:anchorId="20FB859F" wp14:editId="07174946">
            <wp:extent cx="5400040" cy="4428490"/>
            <wp:effectExtent l="0" t="0" r="0" b="0"/>
            <wp:docPr id="1818376767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42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10180" w14:textId="77777777" w:rsidR="00526F2D" w:rsidRPr="00172DC8" w:rsidRDefault="00526F2D" w:rsidP="00DB0DA2">
      <w:pPr>
        <w:pStyle w:val="References"/>
        <w:rPr>
          <w:rStyle w:val="af4"/>
        </w:rPr>
      </w:pPr>
    </w:p>
    <w:p w14:paraId="51002BCD" w14:textId="77777777" w:rsidR="0078663A" w:rsidRDefault="0078663A" w:rsidP="0078663A">
      <w:pPr>
        <w:pStyle w:val="References"/>
        <w:rPr>
          <w:rStyle w:val="af4"/>
          <w:b w:val="0"/>
          <w:bCs w:val="0"/>
        </w:rPr>
      </w:pPr>
      <w:r w:rsidRPr="00172DC8">
        <w:rPr>
          <w:rStyle w:val="af4"/>
          <w:rFonts w:hint="eastAsia"/>
        </w:rPr>
        <w:t xml:space="preserve">Fig. S3 </w:t>
      </w:r>
      <w:r w:rsidRPr="00172DC8">
        <w:rPr>
          <w:rStyle w:val="af4"/>
          <w:b w:val="0"/>
          <w:bCs w:val="0"/>
        </w:rPr>
        <w:t>Example of the analysis procedure using the same LS-MCS event as shown in Fig. 1b.</w:t>
      </w:r>
      <w:r w:rsidRPr="00172DC8">
        <w:rPr>
          <w:rStyle w:val="af4"/>
          <w:rFonts w:hint="eastAsia"/>
          <w:b w:val="0"/>
          <w:bCs w:val="0"/>
        </w:rPr>
        <w:t xml:space="preserve"> </w:t>
      </w:r>
      <w:r w:rsidRPr="00172DC8">
        <w:rPr>
          <w:rStyle w:val="af4"/>
          <w:b w:val="0"/>
          <w:bCs w:val="0"/>
        </w:rPr>
        <w:t xml:space="preserve">(a) Spatial distribution of the number of satisfied conditions among the </w:t>
      </w:r>
      <w:r w:rsidRPr="00172DC8">
        <w:rPr>
          <w:rStyle w:val="af4"/>
          <w:rFonts w:hint="eastAsia"/>
          <w:b w:val="0"/>
          <w:bCs w:val="0"/>
        </w:rPr>
        <w:t>6-</w:t>
      </w:r>
      <w:r w:rsidRPr="00172DC8">
        <w:rPr>
          <w:rStyle w:val="af4"/>
          <w:b w:val="0"/>
          <w:bCs w:val="0"/>
        </w:rPr>
        <w:t xml:space="preserve">conditions for LS-MCS occurrence (color shading), horizontal wind at 950 hPa (vectors), and </w:t>
      </w:r>
      <w:r w:rsidRPr="00172DC8">
        <w:rPr>
          <w:rStyle w:val="af4"/>
          <w:rFonts w:hint="eastAsia"/>
          <w:b w:val="0"/>
          <w:bCs w:val="0"/>
        </w:rPr>
        <w:t>detected LS-MCS</w:t>
      </w:r>
      <w:r w:rsidRPr="00172DC8">
        <w:rPr>
          <w:rStyle w:val="af4"/>
          <w:b w:val="0"/>
          <w:bCs w:val="0"/>
        </w:rPr>
        <w:t xml:space="preserve"> area (red contour).</w:t>
      </w:r>
      <w:r w:rsidRPr="00172DC8">
        <w:rPr>
          <w:rStyle w:val="af4"/>
          <w:rFonts w:hint="eastAsia"/>
          <w:b w:val="0"/>
          <w:bCs w:val="0"/>
        </w:rPr>
        <w:t xml:space="preserve"> </w:t>
      </w:r>
      <w:r w:rsidRPr="00172DC8">
        <w:rPr>
          <w:rStyle w:val="af4"/>
          <w:b w:val="0"/>
          <w:bCs w:val="0"/>
        </w:rPr>
        <w:t xml:space="preserve">(b) Same as (a), but the environmental fields are centered on the </w:t>
      </w:r>
      <w:r w:rsidRPr="00172DC8">
        <w:rPr>
          <w:rStyle w:val="af4"/>
          <w:rFonts w:hint="eastAsia"/>
          <w:b w:val="0"/>
          <w:bCs w:val="0"/>
        </w:rPr>
        <w:t>LS-MCS</w:t>
      </w:r>
      <w:r w:rsidRPr="00172DC8">
        <w:rPr>
          <w:rStyle w:val="af4"/>
          <w:b w:val="0"/>
          <w:bCs w:val="0"/>
        </w:rPr>
        <w:t xml:space="preserve"> area and rotated to align orientation.</w:t>
      </w:r>
      <w:r w:rsidRPr="00172DC8">
        <w:rPr>
          <w:rStyle w:val="af4"/>
          <w:rFonts w:hint="eastAsia"/>
          <w:b w:val="0"/>
          <w:bCs w:val="0"/>
        </w:rPr>
        <w:t xml:space="preserve"> </w:t>
      </w:r>
      <w:r w:rsidRPr="00172DC8">
        <w:rPr>
          <w:rStyle w:val="af4"/>
          <w:b w:val="0"/>
          <w:bCs w:val="0"/>
        </w:rPr>
        <w:t xml:space="preserve">All fields are shown at the time of LS-MCS initiation. The black box indicates the </w:t>
      </w:r>
      <w:r w:rsidRPr="00172DC8">
        <w:rPr>
          <w:rStyle w:val="af4"/>
          <w:rFonts w:hint="eastAsia"/>
          <w:b w:val="0"/>
          <w:bCs w:val="0"/>
        </w:rPr>
        <w:t xml:space="preserve">upstream </w:t>
      </w:r>
      <w:r w:rsidRPr="00172DC8">
        <w:rPr>
          <w:rStyle w:val="af4"/>
          <w:b w:val="0"/>
          <w:bCs w:val="0"/>
        </w:rPr>
        <w:t xml:space="preserve">domain. In this case, the area fraction satisfying all </w:t>
      </w:r>
      <w:r w:rsidRPr="00172DC8">
        <w:rPr>
          <w:rStyle w:val="af4"/>
          <w:rFonts w:hint="eastAsia"/>
          <w:b w:val="0"/>
          <w:bCs w:val="0"/>
        </w:rPr>
        <w:t>6-</w:t>
      </w:r>
      <w:r w:rsidRPr="00172DC8">
        <w:rPr>
          <w:rStyle w:val="af4"/>
          <w:b w:val="0"/>
          <w:bCs w:val="0"/>
        </w:rPr>
        <w:lastRenderedPageBreak/>
        <w:t xml:space="preserve">conditions (class 6) within the </w:t>
      </w:r>
      <w:r w:rsidRPr="00172DC8">
        <w:rPr>
          <w:rStyle w:val="af4"/>
          <w:rFonts w:hint="eastAsia"/>
          <w:b w:val="0"/>
          <w:bCs w:val="0"/>
        </w:rPr>
        <w:t>upstream</w:t>
      </w:r>
      <w:r w:rsidRPr="00172DC8">
        <w:rPr>
          <w:rStyle w:val="af4"/>
          <w:b w:val="0"/>
          <w:bCs w:val="0"/>
        </w:rPr>
        <w:t xml:space="preserve"> domain is 9.13%.</w:t>
      </w:r>
    </w:p>
    <w:p w14:paraId="19E12152" w14:textId="40C2A5F4" w:rsidR="00526F2D" w:rsidRDefault="00526F2D" w:rsidP="0078663A">
      <w:pPr>
        <w:pStyle w:val="References"/>
        <w:rPr>
          <w:rStyle w:val="af4"/>
          <w:b w:val="0"/>
          <w:bCs w:val="0"/>
        </w:rPr>
      </w:pPr>
      <w:r w:rsidRPr="00526F2D">
        <w:rPr>
          <w:noProof/>
        </w:rPr>
        <w:drawing>
          <wp:inline distT="0" distB="0" distL="0" distR="0" wp14:anchorId="745746C3" wp14:editId="6990E2A9">
            <wp:extent cx="5400040" cy="2560320"/>
            <wp:effectExtent l="0" t="0" r="0" b="0"/>
            <wp:docPr id="658060527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8DBEC" w14:textId="77777777" w:rsidR="00526F2D" w:rsidRPr="00172DC8" w:rsidRDefault="00526F2D" w:rsidP="0078663A">
      <w:pPr>
        <w:pStyle w:val="References"/>
        <w:rPr>
          <w:rStyle w:val="af4"/>
          <w:b w:val="0"/>
          <w:bCs w:val="0"/>
        </w:rPr>
      </w:pPr>
    </w:p>
    <w:p w14:paraId="750E163D" w14:textId="412F0D60" w:rsidR="00EA545C" w:rsidRDefault="00EA545C" w:rsidP="00EA545C">
      <w:pPr>
        <w:pStyle w:val="References"/>
        <w:rPr>
          <w:rStyle w:val="af4"/>
          <w:b w:val="0"/>
          <w:bCs w:val="0"/>
        </w:rPr>
      </w:pPr>
      <w:r w:rsidRPr="00172DC8">
        <w:rPr>
          <w:rStyle w:val="af4"/>
          <w:rFonts w:hint="eastAsia"/>
        </w:rPr>
        <w:t>Fig. S</w:t>
      </w:r>
      <w:r w:rsidR="001864FF" w:rsidRPr="00172DC8">
        <w:rPr>
          <w:rStyle w:val="af4"/>
          <w:rFonts w:hint="eastAsia"/>
        </w:rPr>
        <w:t>4</w:t>
      </w:r>
      <w:r w:rsidRPr="00172DC8">
        <w:rPr>
          <w:rStyle w:val="af4"/>
          <w:rFonts w:hint="eastAsia"/>
          <w:b w:val="0"/>
          <w:bCs w:val="0"/>
        </w:rPr>
        <w:t xml:space="preserve"> </w:t>
      </w:r>
      <w:r w:rsidR="004E0F27" w:rsidRPr="00172DC8">
        <w:rPr>
          <w:rStyle w:val="af4"/>
          <w:b w:val="0"/>
          <w:bCs w:val="0"/>
        </w:rPr>
        <w:t>Same as Fig. 5</w:t>
      </w:r>
      <w:r w:rsidR="001864FF" w:rsidRPr="00172DC8">
        <w:rPr>
          <w:rStyle w:val="af4"/>
          <w:rFonts w:hint="eastAsia"/>
          <w:b w:val="0"/>
          <w:bCs w:val="0"/>
        </w:rPr>
        <w:t>c and 5e</w:t>
      </w:r>
      <w:r w:rsidR="004E0F27" w:rsidRPr="00172DC8">
        <w:rPr>
          <w:rStyle w:val="af4"/>
          <w:b w:val="0"/>
          <w:bCs w:val="0"/>
        </w:rPr>
        <w:t>, but for all variables comprising the 6-conditions.</w:t>
      </w:r>
    </w:p>
    <w:p w14:paraId="167022EA" w14:textId="2314C808" w:rsidR="00526F2D" w:rsidRDefault="00526F2D" w:rsidP="00EA545C">
      <w:pPr>
        <w:pStyle w:val="References"/>
        <w:rPr>
          <w:rStyle w:val="af4"/>
        </w:rPr>
      </w:pPr>
      <w:r w:rsidRPr="00526F2D">
        <w:rPr>
          <w:noProof/>
        </w:rPr>
        <w:drawing>
          <wp:inline distT="0" distB="0" distL="0" distR="0" wp14:anchorId="363F27D3" wp14:editId="37870A4D">
            <wp:extent cx="5400040" cy="2107565"/>
            <wp:effectExtent l="0" t="0" r="0" b="6985"/>
            <wp:docPr id="2033336136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B6CD3" w14:textId="77777777" w:rsidR="00526F2D" w:rsidRPr="00172DC8" w:rsidRDefault="00526F2D" w:rsidP="00EA545C">
      <w:pPr>
        <w:pStyle w:val="References"/>
        <w:rPr>
          <w:rStyle w:val="af4"/>
        </w:rPr>
      </w:pPr>
    </w:p>
    <w:p w14:paraId="6E7D96EC" w14:textId="16DA6FBF" w:rsidR="00517CDB" w:rsidRDefault="00517CDB" w:rsidP="00517CDB">
      <w:pPr>
        <w:pStyle w:val="References"/>
        <w:rPr>
          <w:rStyle w:val="af4"/>
          <w:b w:val="0"/>
          <w:bCs w:val="0"/>
        </w:rPr>
      </w:pPr>
      <w:r w:rsidRPr="00172DC8">
        <w:rPr>
          <w:rStyle w:val="af4"/>
          <w:rFonts w:hint="eastAsia"/>
        </w:rPr>
        <w:t>Fig. S5</w:t>
      </w:r>
      <w:r w:rsidRPr="00172DC8">
        <w:rPr>
          <w:rStyle w:val="af4"/>
          <w:rFonts w:hint="eastAsia"/>
          <w:b w:val="0"/>
          <w:bCs w:val="0"/>
        </w:rPr>
        <w:t xml:space="preserve"> </w:t>
      </w:r>
      <w:r w:rsidR="001864FF" w:rsidRPr="00172DC8">
        <w:rPr>
          <w:rStyle w:val="af4"/>
          <w:rFonts w:hint="eastAsia"/>
          <w:b w:val="0"/>
          <w:bCs w:val="0"/>
        </w:rPr>
        <w:t xml:space="preserve">(a) </w:t>
      </w:r>
      <w:r w:rsidRPr="00172DC8">
        <w:rPr>
          <w:rStyle w:val="af4"/>
          <w:b w:val="0"/>
          <w:bCs w:val="0"/>
        </w:rPr>
        <w:t xml:space="preserve">Same as </w:t>
      </w:r>
      <w:r w:rsidRPr="00172DC8">
        <w:rPr>
          <w:rStyle w:val="af4"/>
          <w:rFonts w:hint="eastAsia"/>
          <w:b w:val="0"/>
          <w:bCs w:val="0"/>
        </w:rPr>
        <w:t>Fig.5</w:t>
      </w:r>
      <w:r w:rsidRPr="00172DC8">
        <w:rPr>
          <w:rStyle w:val="af4"/>
          <w:b w:val="0"/>
          <w:bCs w:val="0"/>
        </w:rPr>
        <w:t>a, but with the dLFC threshold relaxed from ≤1.0 km to ≤1.5 km.</w:t>
      </w:r>
      <w:r w:rsidR="001864FF" w:rsidRPr="00172DC8">
        <w:rPr>
          <w:rStyle w:val="af4"/>
          <w:rFonts w:hint="eastAsia"/>
          <w:b w:val="0"/>
          <w:bCs w:val="0"/>
        </w:rPr>
        <w:t xml:space="preserve"> (b) Same as Fig. S4a, but</w:t>
      </w:r>
      <w:r w:rsidR="001864FF" w:rsidRPr="00172DC8">
        <w:rPr>
          <w:rStyle w:val="af4"/>
          <w:b w:val="0"/>
          <w:bCs w:val="0"/>
        </w:rPr>
        <w:t xml:space="preserve"> with the dLFC threshold relaxed from ≤1.0 km to ≤1.5 km.</w:t>
      </w:r>
    </w:p>
    <w:p w14:paraId="37C50124" w14:textId="6588B15A" w:rsidR="00526F2D" w:rsidRDefault="00526F2D" w:rsidP="00526F2D">
      <w:pPr>
        <w:pStyle w:val="References"/>
        <w:ind w:left="0" w:firstLineChars="0" w:firstLine="0"/>
        <w:rPr>
          <w:rStyle w:val="af4"/>
        </w:rPr>
      </w:pPr>
      <w:r w:rsidRPr="00526F2D">
        <w:rPr>
          <w:noProof/>
        </w:rPr>
        <w:lastRenderedPageBreak/>
        <w:drawing>
          <wp:inline distT="0" distB="0" distL="0" distR="0" wp14:anchorId="78FE4575" wp14:editId="04C738F5">
            <wp:extent cx="5400040" cy="1986915"/>
            <wp:effectExtent l="0" t="0" r="0" b="0"/>
            <wp:docPr id="165596310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23D39" w14:textId="77777777" w:rsidR="00526F2D" w:rsidRPr="00172DC8" w:rsidRDefault="00526F2D" w:rsidP="00526F2D">
      <w:pPr>
        <w:pStyle w:val="References"/>
        <w:ind w:left="0" w:firstLineChars="0" w:firstLine="0"/>
        <w:rPr>
          <w:rStyle w:val="af4"/>
          <w:b w:val="0"/>
          <w:bCs w:val="0"/>
        </w:rPr>
      </w:pPr>
    </w:p>
    <w:p w14:paraId="0179E5DE" w14:textId="5135F236" w:rsidR="001864FF" w:rsidRDefault="001864FF" w:rsidP="00517CDB">
      <w:pPr>
        <w:pStyle w:val="References"/>
      </w:pPr>
      <w:r w:rsidRPr="00172DC8">
        <w:rPr>
          <w:rStyle w:val="af4"/>
          <w:rFonts w:hint="eastAsia"/>
        </w:rPr>
        <w:t>Fig. S6</w:t>
      </w:r>
      <w:r w:rsidRPr="00172DC8">
        <w:rPr>
          <w:rStyle w:val="af4"/>
          <w:rFonts w:hint="eastAsia"/>
          <w:b w:val="0"/>
          <w:bCs w:val="0"/>
        </w:rPr>
        <w:t xml:space="preserve"> </w:t>
      </w:r>
      <w:r w:rsidR="003B1DA5" w:rsidRPr="00172DC8">
        <w:t>Left panel: Box-and-violin plots showing event-mean rainfall intensity with class = 6 and class &lt; 6</w:t>
      </w:r>
      <w:r w:rsidR="003B1DA5" w:rsidRPr="00172DC8">
        <w:rPr>
          <w:rFonts w:hint="eastAsia"/>
        </w:rPr>
        <w:t xml:space="preserve"> at </w:t>
      </w:r>
      <w:r w:rsidR="003B1DA5" w:rsidRPr="00172DC8">
        <w:t>the time of LS-MCS</w:t>
      </w:r>
      <w:r w:rsidR="003B1DA5" w:rsidRPr="00172DC8">
        <w:rPr>
          <w:rFonts w:hint="eastAsia"/>
        </w:rPr>
        <w:t xml:space="preserve"> </w:t>
      </w:r>
      <w:r w:rsidR="003B1DA5" w:rsidRPr="00172DC8">
        <w:rPr>
          <w:rStyle w:val="af4"/>
          <w:b w:val="0"/>
          <w:bCs w:val="0"/>
        </w:rPr>
        <w:t>initiation</w:t>
      </w:r>
      <w:r w:rsidR="003B1DA5" w:rsidRPr="00172DC8">
        <w:t>. Right panel: Same as Fig. 6.</w:t>
      </w:r>
    </w:p>
    <w:p w14:paraId="6001F7FB" w14:textId="255835DB" w:rsidR="00526F2D" w:rsidRDefault="00526F2D" w:rsidP="00517CDB">
      <w:pPr>
        <w:pStyle w:val="References"/>
        <w:rPr>
          <w:rStyle w:val="af4"/>
        </w:rPr>
      </w:pPr>
      <w:r w:rsidRPr="00526F2D">
        <w:rPr>
          <w:noProof/>
        </w:rPr>
        <w:drawing>
          <wp:inline distT="0" distB="0" distL="0" distR="0" wp14:anchorId="7B29CC27" wp14:editId="06C1E206">
            <wp:extent cx="5400040" cy="3613150"/>
            <wp:effectExtent l="0" t="0" r="0" b="6350"/>
            <wp:docPr id="138936749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A3F44" w14:textId="77777777" w:rsidR="00526F2D" w:rsidRPr="00172DC8" w:rsidRDefault="00526F2D" w:rsidP="00517CDB">
      <w:pPr>
        <w:pStyle w:val="References"/>
        <w:rPr>
          <w:rStyle w:val="af4"/>
        </w:rPr>
      </w:pPr>
    </w:p>
    <w:p w14:paraId="6DD12E58" w14:textId="1E14E090" w:rsidR="00517CDB" w:rsidRDefault="00517CDB" w:rsidP="009A5278">
      <w:pPr>
        <w:pStyle w:val="References"/>
        <w:rPr>
          <w:rStyle w:val="af4"/>
          <w:b w:val="0"/>
          <w:bCs w:val="0"/>
        </w:rPr>
      </w:pPr>
      <w:r w:rsidRPr="00172DC8">
        <w:rPr>
          <w:rStyle w:val="af4"/>
          <w:rFonts w:hint="eastAsia"/>
        </w:rPr>
        <w:t xml:space="preserve">Fig. S7 </w:t>
      </w:r>
      <w:r w:rsidRPr="00172DC8">
        <w:rPr>
          <w:rStyle w:val="af4"/>
          <w:b w:val="0"/>
          <w:bCs w:val="0"/>
        </w:rPr>
        <w:t xml:space="preserve">(a, b) </w:t>
      </w:r>
      <w:r w:rsidR="001864FF" w:rsidRPr="00172DC8">
        <w:rPr>
          <w:rStyle w:val="af4"/>
          <w:rFonts w:hint="eastAsia"/>
          <w:b w:val="0"/>
          <w:bCs w:val="0"/>
        </w:rPr>
        <w:t xml:space="preserve">Same as Fig. 7g and 7h. </w:t>
      </w:r>
      <w:r w:rsidRPr="00172DC8">
        <w:rPr>
          <w:rStyle w:val="af4"/>
          <w:b w:val="0"/>
          <w:bCs w:val="0"/>
        </w:rPr>
        <w:t>(c) Accumulated precipitation for a representative northwest–southeast-oriented event from 15</w:t>
      </w:r>
      <w:r w:rsidRPr="00172DC8">
        <w:rPr>
          <w:rStyle w:val="af4"/>
          <w:rFonts w:hint="eastAsia"/>
          <w:b w:val="0"/>
          <w:bCs w:val="0"/>
        </w:rPr>
        <w:t>:00</w:t>
      </w:r>
      <w:r w:rsidRPr="00172DC8">
        <w:rPr>
          <w:rStyle w:val="af4"/>
          <w:b w:val="0"/>
          <w:bCs w:val="0"/>
        </w:rPr>
        <w:t xml:space="preserve"> UTC 17 July to 20</w:t>
      </w:r>
      <w:r w:rsidRPr="00172DC8">
        <w:rPr>
          <w:rStyle w:val="af4"/>
          <w:rFonts w:hint="eastAsia"/>
          <w:b w:val="0"/>
          <w:bCs w:val="0"/>
        </w:rPr>
        <w:t>:00</w:t>
      </w:r>
      <w:r w:rsidRPr="00172DC8">
        <w:rPr>
          <w:rStyle w:val="af4"/>
          <w:b w:val="0"/>
          <w:bCs w:val="0"/>
        </w:rPr>
        <w:t xml:space="preserve"> UTC 17 July </w:t>
      </w:r>
      <w:r w:rsidRPr="00172DC8">
        <w:rPr>
          <w:rStyle w:val="af4"/>
          <w:b w:val="0"/>
          <w:bCs w:val="0"/>
        </w:rPr>
        <w:lastRenderedPageBreak/>
        <w:t>2013.</w:t>
      </w:r>
      <w:r w:rsidRPr="00172DC8">
        <w:rPr>
          <w:rStyle w:val="af4"/>
          <w:rFonts w:hint="eastAsia"/>
          <w:b w:val="0"/>
          <w:bCs w:val="0"/>
        </w:rPr>
        <w:t xml:space="preserve"> </w:t>
      </w:r>
      <w:r w:rsidRPr="00172DC8">
        <w:rPr>
          <w:rStyle w:val="af4"/>
          <w:b w:val="0"/>
          <w:bCs w:val="0"/>
        </w:rPr>
        <w:t>(d) IWVF (color shading and vectors) and Z850 (m) at the time of LS-MCS initiation (15</w:t>
      </w:r>
      <w:r w:rsidRPr="00172DC8">
        <w:rPr>
          <w:rStyle w:val="af4"/>
          <w:rFonts w:hint="eastAsia"/>
          <w:b w:val="0"/>
          <w:bCs w:val="0"/>
        </w:rPr>
        <w:t>:00</w:t>
      </w:r>
      <w:r w:rsidRPr="00172DC8">
        <w:rPr>
          <w:rStyle w:val="af4"/>
          <w:b w:val="0"/>
          <w:bCs w:val="0"/>
        </w:rPr>
        <w:t xml:space="preserve"> UTC 17 July 2013) for the same event as in (c).</w:t>
      </w:r>
    </w:p>
    <w:p w14:paraId="2990924D" w14:textId="740F7536" w:rsidR="00526F2D" w:rsidRPr="00172DC8" w:rsidRDefault="00526F2D" w:rsidP="009A5278">
      <w:pPr>
        <w:pStyle w:val="References"/>
        <w:rPr>
          <w:rStyle w:val="af4"/>
          <w:b w:val="0"/>
          <w:bCs w:val="0"/>
        </w:rPr>
      </w:pPr>
      <w:r w:rsidRPr="00526F2D">
        <w:rPr>
          <w:noProof/>
        </w:rPr>
        <w:drawing>
          <wp:inline distT="0" distB="0" distL="0" distR="0" wp14:anchorId="2ECD80E4" wp14:editId="79A167F8">
            <wp:extent cx="5400040" cy="4299585"/>
            <wp:effectExtent l="0" t="0" r="0" b="5715"/>
            <wp:docPr id="169480515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9A87C" w14:textId="00DD70A1" w:rsidR="00A63B9A" w:rsidRPr="00172DC8" w:rsidRDefault="00A63B9A">
      <w:pPr>
        <w:widowControl/>
        <w:spacing w:line="240" w:lineRule="auto"/>
        <w:ind w:firstLine="0"/>
        <w:jc w:val="left"/>
      </w:pPr>
      <w:r w:rsidRPr="00172DC8">
        <w:br w:type="page"/>
      </w:r>
    </w:p>
    <w:p w14:paraId="52FEACDB" w14:textId="205A7F08" w:rsidR="0053722A" w:rsidRPr="00172DC8" w:rsidRDefault="0053722A" w:rsidP="00F938B7">
      <w:pPr>
        <w:pStyle w:val="References"/>
      </w:pPr>
      <w:r w:rsidRPr="00172DC8">
        <w:rPr>
          <w:rFonts w:hint="eastAsia"/>
        </w:rPr>
        <w:lastRenderedPageBreak/>
        <w:t xml:space="preserve">Table S1: </w:t>
      </w:r>
      <w:r w:rsidRPr="00172DC8">
        <w:t xml:space="preserve">Percentage of cases where a tropical cyclone center is located within the region of 30–45°N and 130–145°E at the time of LS-MCS initiation. The tropical cyclone center is defined as the minimum </w:t>
      </w:r>
      <w:r w:rsidRPr="00172DC8">
        <w:rPr>
          <w:rFonts w:hint="eastAsia"/>
        </w:rPr>
        <w:t>sea level pressure</w:t>
      </w:r>
      <w:r w:rsidRPr="00172DC8">
        <w:t xml:space="preserve"> point in RRJ-</w:t>
      </w:r>
      <w:r w:rsidR="00E276F3" w:rsidRPr="00172DC8">
        <w:rPr>
          <w:rFonts w:hint="eastAsia"/>
        </w:rPr>
        <w:t>C</w:t>
      </w:r>
      <w:r w:rsidRPr="00172DC8">
        <w:t>onv nearest to the center coordinates recorded in the JMA best-track data.</w:t>
      </w:r>
    </w:p>
    <w:tbl>
      <w:tblPr>
        <w:tblStyle w:val="afa"/>
        <w:tblW w:w="0" w:type="auto"/>
        <w:jc w:val="center"/>
        <w:tblLook w:val="04A0" w:firstRow="1" w:lastRow="0" w:firstColumn="1" w:lastColumn="0" w:noHBand="0" w:noVBand="1"/>
      </w:tblPr>
      <w:tblGrid>
        <w:gridCol w:w="1520"/>
        <w:gridCol w:w="2000"/>
      </w:tblGrid>
      <w:tr w:rsidR="0053722A" w:rsidRPr="00172DC8" w14:paraId="64BF0EA6" w14:textId="77777777" w:rsidTr="0053722A">
        <w:trPr>
          <w:trHeight w:val="375"/>
          <w:jc w:val="center"/>
        </w:trPr>
        <w:tc>
          <w:tcPr>
            <w:tcW w:w="1520" w:type="dxa"/>
            <w:noWrap/>
            <w:hideMark/>
          </w:tcPr>
          <w:p w14:paraId="3778EA07" w14:textId="77777777" w:rsidR="0053722A" w:rsidRPr="00172DC8" w:rsidRDefault="0053722A" w:rsidP="0053722A">
            <w:pPr>
              <w:pStyle w:val="References"/>
            </w:pPr>
            <w:r w:rsidRPr="00172DC8">
              <w:t>S-N</w:t>
            </w:r>
          </w:p>
        </w:tc>
        <w:tc>
          <w:tcPr>
            <w:tcW w:w="2000" w:type="dxa"/>
            <w:noWrap/>
            <w:hideMark/>
          </w:tcPr>
          <w:p w14:paraId="34B6D2BB" w14:textId="77777777" w:rsidR="0053722A" w:rsidRPr="00172DC8" w:rsidRDefault="0053722A" w:rsidP="0053722A">
            <w:pPr>
              <w:pStyle w:val="References"/>
            </w:pPr>
            <w:r w:rsidRPr="00172DC8">
              <w:t>43.8% (42/96)</w:t>
            </w:r>
          </w:p>
        </w:tc>
      </w:tr>
      <w:tr w:rsidR="0053722A" w:rsidRPr="00172DC8" w14:paraId="32D45311" w14:textId="77777777" w:rsidTr="0053722A">
        <w:trPr>
          <w:trHeight w:val="375"/>
          <w:jc w:val="center"/>
        </w:trPr>
        <w:tc>
          <w:tcPr>
            <w:tcW w:w="1520" w:type="dxa"/>
            <w:noWrap/>
            <w:hideMark/>
          </w:tcPr>
          <w:p w14:paraId="10A1D16C" w14:textId="77777777" w:rsidR="0053722A" w:rsidRPr="00172DC8" w:rsidRDefault="0053722A" w:rsidP="0053722A">
            <w:pPr>
              <w:pStyle w:val="References"/>
            </w:pPr>
            <w:r w:rsidRPr="00172DC8">
              <w:t>SW-NE</w:t>
            </w:r>
          </w:p>
        </w:tc>
        <w:tc>
          <w:tcPr>
            <w:tcW w:w="2000" w:type="dxa"/>
            <w:noWrap/>
            <w:hideMark/>
          </w:tcPr>
          <w:p w14:paraId="2AEBCAEB" w14:textId="77777777" w:rsidR="0053722A" w:rsidRPr="00172DC8" w:rsidRDefault="0053722A" w:rsidP="0053722A">
            <w:pPr>
              <w:pStyle w:val="References"/>
            </w:pPr>
            <w:r w:rsidRPr="00172DC8">
              <w:t>14.2% (18/127)</w:t>
            </w:r>
          </w:p>
        </w:tc>
      </w:tr>
      <w:tr w:rsidR="0053722A" w:rsidRPr="00172DC8" w14:paraId="44F544AB" w14:textId="77777777" w:rsidTr="0053722A">
        <w:trPr>
          <w:trHeight w:val="375"/>
          <w:jc w:val="center"/>
        </w:trPr>
        <w:tc>
          <w:tcPr>
            <w:tcW w:w="1520" w:type="dxa"/>
            <w:noWrap/>
            <w:hideMark/>
          </w:tcPr>
          <w:p w14:paraId="168387C6" w14:textId="77777777" w:rsidR="0053722A" w:rsidRPr="00172DC8" w:rsidRDefault="0053722A" w:rsidP="0053722A">
            <w:pPr>
              <w:pStyle w:val="References"/>
            </w:pPr>
            <w:r w:rsidRPr="00172DC8">
              <w:t>W-E</w:t>
            </w:r>
          </w:p>
        </w:tc>
        <w:tc>
          <w:tcPr>
            <w:tcW w:w="2000" w:type="dxa"/>
            <w:noWrap/>
            <w:hideMark/>
          </w:tcPr>
          <w:p w14:paraId="4EFC6D2D" w14:textId="77777777" w:rsidR="0053722A" w:rsidRPr="00172DC8" w:rsidRDefault="0053722A" w:rsidP="0053722A">
            <w:pPr>
              <w:pStyle w:val="References"/>
            </w:pPr>
            <w:r w:rsidRPr="00172DC8">
              <w:t>12.0% (12/108)</w:t>
            </w:r>
          </w:p>
        </w:tc>
      </w:tr>
      <w:tr w:rsidR="0053722A" w:rsidRPr="0053722A" w14:paraId="61762641" w14:textId="77777777" w:rsidTr="0053722A">
        <w:trPr>
          <w:trHeight w:val="375"/>
          <w:jc w:val="center"/>
        </w:trPr>
        <w:tc>
          <w:tcPr>
            <w:tcW w:w="1520" w:type="dxa"/>
            <w:noWrap/>
            <w:hideMark/>
          </w:tcPr>
          <w:p w14:paraId="10582E7D" w14:textId="77777777" w:rsidR="0053722A" w:rsidRPr="00172DC8" w:rsidRDefault="0053722A" w:rsidP="0053722A">
            <w:pPr>
              <w:pStyle w:val="References"/>
            </w:pPr>
            <w:r w:rsidRPr="00172DC8">
              <w:t>NW-SE</w:t>
            </w:r>
          </w:p>
        </w:tc>
        <w:tc>
          <w:tcPr>
            <w:tcW w:w="2000" w:type="dxa"/>
            <w:noWrap/>
            <w:hideMark/>
          </w:tcPr>
          <w:p w14:paraId="21FC2723" w14:textId="77777777" w:rsidR="0053722A" w:rsidRPr="0053722A" w:rsidRDefault="0053722A" w:rsidP="0053722A">
            <w:pPr>
              <w:pStyle w:val="References"/>
            </w:pPr>
            <w:r w:rsidRPr="00172DC8">
              <w:t>10.0% (3/30)</w:t>
            </w:r>
          </w:p>
        </w:tc>
      </w:tr>
    </w:tbl>
    <w:p w14:paraId="10345D7D" w14:textId="258BD6F0" w:rsidR="00C048B9" w:rsidRPr="00144ECC" w:rsidRDefault="00C048B9" w:rsidP="00144ECC">
      <w:pPr>
        <w:pStyle w:val="Text"/>
        <w:rPr>
          <w:shd w:val="pct15" w:color="auto" w:fill="FFFFFF"/>
        </w:rPr>
      </w:pPr>
    </w:p>
    <w:sectPr w:rsidR="00C048B9" w:rsidRPr="00144ECC" w:rsidSect="00B85F28">
      <w:pgSz w:w="11906" w:h="16838"/>
      <w:pgMar w:top="1985" w:right="1701" w:bottom="1701" w:left="1701" w:header="851" w:footer="992" w:gutter="0"/>
      <w:lnNumType w:countBy="1" w:restart="continuous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4B61AD5" w14:textId="77777777" w:rsidR="0005062C" w:rsidRDefault="0005062C" w:rsidP="001E73F3">
      <w:pPr>
        <w:spacing w:line="240" w:lineRule="auto"/>
      </w:pPr>
      <w:r>
        <w:separator/>
      </w:r>
    </w:p>
  </w:endnote>
  <w:endnote w:type="continuationSeparator" w:id="0">
    <w:p w14:paraId="7ABA65E4" w14:textId="77777777" w:rsidR="0005062C" w:rsidRDefault="0005062C" w:rsidP="001E73F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E3D9452" w14:textId="77777777" w:rsidR="0005062C" w:rsidRDefault="0005062C" w:rsidP="001E73F3">
      <w:pPr>
        <w:spacing w:line="240" w:lineRule="auto"/>
      </w:pPr>
      <w:r>
        <w:separator/>
      </w:r>
    </w:p>
  </w:footnote>
  <w:footnote w:type="continuationSeparator" w:id="0">
    <w:p w14:paraId="22B093A6" w14:textId="77777777" w:rsidR="0005062C" w:rsidRDefault="0005062C" w:rsidP="001E73F3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DFAB110"/>
    <w:lvl w:ilvl="0">
      <w:start w:val="1"/>
      <w:numFmt w:val="bullet"/>
      <w:pStyle w:val="a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D3279ED"/>
    <w:multiLevelType w:val="multilevel"/>
    <w:tmpl w:val="27BCE26E"/>
    <w:lvl w:ilvl="0">
      <w:start w:val="1"/>
      <w:numFmt w:val="decimal"/>
      <w:pStyle w:val="1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pStyle w:val="2"/>
      <w:lvlText w:val="%1.%2"/>
      <w:lvlJc w:val="left"/>
      <w:pPr>
        <w:ind w:left="2269" w:hanging="567"/>
      </w:pPr>
      <w:rPr>
        <w:rFonts w:hint="eastAsia"/>
      </w:rPr>
    </w:lvl>
    <w:lvl w:ilvl="2">
      <w:start w:val="1"/>
      <w:numFmt w:val="decimal"/>
      <w:pStyle w:val="3"/>
      <w:lvlText w:val="%1.%2.%3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2" w15:restartNumberingAfterBreak="0">
    <w:nsid w:val="0F3E6AD1"/>
    <w:multiLevelType w:val="hybridMultilevel"/>
    <w:tmpl w:val="52FE59C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545871922">
    <w:abstractNumId w:val="2"/>
  </w:num>
  <w:num w:numId="2" w16cid:durableId="1325208867">
    <w:abstractNumId w:val="1"/>
  </w:num>
  <w:num w:numId="3" w16cid:durableId="5890000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bordersDoNotSurroundHeader/>
  <w:bordersDoNotSurroundFooter/>
  <w:defaultTabStop w:val="84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011B"/>
    <w:rsid w:val="00012FE3"/>
    <w:rsid w:val="000148DA"/>
    <w:rsid w:val="00016CB6"/>
    <w:rsid w:val="000370DB"/>
    <w:rsid w:val="00043EC5"/>
    <w:rsid w:val="00046C6D"/>
    <w:rsid w:val="0005062C"/>
    <w:rsid w:val="000529DD"/>
    <w:rsid w:val="00061D51"/>
    <w:rsid w:val="00066935"/>
    <w:rsid w:val="00083ABD"/>
    <w:rsid w:val="000849A9"/>
    <w:rsid w:val="00090F21"/>
    <w:rsid w:val="000943CF"/>
    <w:rsid w:val="0009510B"/>
    <w:rsid w:val="000A129D"/>
    <w:rsid w:val="000D32B3"/>
    <w:rsid w:val="000D5EA8"/>
    <w:rsid w:val="000D7669"/>
    <w:rsid w:val="000E56C3"/>
    <w:rsid w:val="000F00C4"/>
    <w:rsid w:val="000F0281"/>
    <w:rsid w:val="000F1635"/>
    <w:rsid w:val="000F761E"/>
    <w:rsid w:val="00104D39"/>
    <w:rsid w:val="001126AF"/>
    <w:rsid w:val="00122ED7"/>
    <w:rsid w:val="00127E45"/>
    <w:rsid w:val="00127F8A"/>
    <w:rsid w:val="00134D4E"/>
    <w:rsid w:val="00137198"/>
    <w:rsid w:val="00142768"/>
    <w:rsid w:val="00143A65"/>
    <w:rsid w:val="001446BC"/>
    <w:rsid w:val="00144ECC"/>
    <w:rsid w:val="00157CAE"/>
    <w:rsid w:val="00164D10"/>
    <w:rsid w:val="0016602E"/>
    <w:rsid w:val="00171A7E"/>
    <w:rsid w:val="00172DC8"/>
    <w:rsid w:val="00174FBD"/>
    <w:rsid w:val="0018201A"/>
    <w:rsid w:val="001864FF"/>
    <w:rsid w:val="00187ABB"/>
    <w:rsid w:val="00187E35"/>
    <w:rsid w:val="00187E4A"/>
    <w:rsid w:val="001A2118"/>
    <w:rsid w:val="001A2771"/>
    <w:rsid w:val="001A7923"/>
    <w:rsid w:val="001B6FA0"/>
    <w:rsid w:val="001D618F"/>
    <w:rsid w:val="001E4B6D"/>
    <w:rsid w:val="001E6F6C"/>
    <w:rsid w:val="001E73F3"/>
    <w:rsid w:val="001E7F1D"/>
    <w:rsid w:val="001F154D"/>
    <w:rsid w:val="001F5D0F"/>
    <w:rsid w:val="00203B6C"/>
    <w:rsid w:val="0021797E"/>
    <w:rsid w:val="00224BF2"/>
    <w:rsid w:val="002445B3"/>
    <w:rsid w:val="00247C2A"/>
    <w:rsid w:val="0025108C"/>
    <w:rsid w:val="00251D3C"/>
    <w:rsid w:val="00267E94"/>
    <w:rsid w:val="0027366A"/>
    <w:rsid w:val="0028431A"/>
    <w:rsid w:val="00285E9A"/>
    <w:rsid w:val="0029111B"/>
    <w:rsid w:val="002A1AA5"/>
    <w:rsid w:val="002B4490"/>
    <w:rsid w:val="002D187C"/>
    <w:rsid w:val="002D761E"/>
    <w:rsid w:val="002E0165"/>
    <w:rsid w:val="002E2706"/>
    <w:rsid w:val="00311FCB"/>
    <w:rsid w:val="0031276D"/>
    <w:rsid w:val="00316725"/>
    <w:rsid w:val="00316B03"/>
    <w:rsid w:val="00317634"/>
    <w:rsid w:val="00322FCC"/>
    <w:rsid w:val="00323F1E"/>
    <w:rsid w:val="00324678"/>
    <w:rsid w:val="00324C92"/>
    <w:rsid w:val="003260C0"/>
    <w:rsid w:val="0033247E"/>
    <w:rsid w:val="0035319A"/>
    <w:rsid w:val="00353C0A"/>
    <w:rsid w:val="00362B54"/>
    <w:rsid w:val="003703CA"/>
    <w:rsid w:val="003727EE"/>
    <w:rsid w:val="00373991"/>
    <w:rsid w:val="003769F2"/>
    <w:rsid w:val="003854FB"/>
    <w:rsid w:val="00394860"/>
    <w:rsid w:val="003A3E2A"/>
    <w:rsid w:val="003A4233"/>
    <w:rsid w:val="003B1DA5"/>
    <w:rsid w:val="003B5CFF"/>
    <w:rsid w:val="003C5506"/>
    <w:rsid w:val="003C6699"/>
    <w:rsid w:val="003D6AD5"/>
    <w:rsid w:val="003E472A"/>
    <w:rsid w:val="003E654B"/>
    <w:rsid w:val="003E6981"/>
    <w:rsid w:val="003F09C4"/>
    <w:rsid w:val="00400F01"/>
    <w:rsid w:val="004038F1"/>
    <w:rsid w:val="0041136C"/>
    <w:rsid w:val="0041592A"/>
    <w:rsid w:val="00415A93"/>
    <w:rsid w:val="00417F79"/>
    <w:rsid w:val="004271D9"/>
    <w:rsid w:val="004275BC"/>
    <w:rsid w:val="00432E63"/>
    <w:rsid w:val="004401D5"/>
    <w:rsid w:val="00443743"/>
    <w:rsid w:val="004600BD"/>
    <w:rsid w:val="00460C1C"/>
    <w:rsid w:val="00475768"/>
    <w:rsid w:val="004A4258"/>
    <w:rsid w:val="004A4BEE"/>
    <w:rsid w:val="004B238F"/>
    <w:rsid w:val="004C1149"/>
    <w:rsid w:val="004C4E64"/>
    <w:rsid w:val="004C5AF4"/>
    <w:rsid w:val="004D35F4"/>
    <w:rsid w:val="004D49FB"/>
    <w:rsid w:val="004E0F27"/>
    <w:rsid w:val="004E1106"/>
    <w:rsid w:val="004E39FE"/>
    <w:rsid w:val="004E4C58"/>
    <w:rsid w:val="004F0328"/>
    <w:rsid w:val="004F04D3"/>
    <w:rsid w:val="004F2903"/>
    <w:rsid w:val="004F6D70"/>
    <w:rsid w:val="00502AA7"/>
    <w:rsid w:val="00515D1E"/>
    <w:rsid w:val="00517CDB"/>
    <w:rsid w:val="0052057C"/>
    <w:rsid w:val="00523528"/>
    <w:rsid w:val="00526F2D"/>
    <w:rsid w:val="0053722A"/>
    <w:rsid w:val="00542457"/>
    <w:rsid w:val="00554F3C"/>
    <w:rsid w:val="0055552B"/>
    <w:rsid w:val="005650FE"/>
    <w:rsid w:val="00576EDF"/>
    <w:rsid w:val="00577BE4"/>
    <w:rsid w:val="00577CC1"/>
    <w:rsid w:val="005A47A2"/>
    <w:rsid w:val="005B4067"/>
    <w:rsid w:val="005B7D82"/>
    <w:rsid w:val="005C587C"/>
    <w:rsid w:val="005C6CEA"/>
    <w:rsid w:val="005E7C8C"/>
    <w:rsid w:val="005E7ECB"/>
    <w:rsid w:val="005F25B1"/>
    <w:rsid w:val="005F6FE7"/>
    <w:rsid w:val="005F7124"/>
    <w:rsid w:val="00602EE1"/>
    <w:rsid w:val="00603C5B"/>
    <w:rsid w:val="00613C6D"/>
    <w:rsid w:val="00614863"/>
    <w:rsid w:val="006160A7"/>
    <w:rsid w:val="00631A62"/>
    <w:rsid w:val="006603B8"/>
    <w:rsid w:val="006726A5"/>
    <w:rsid w:val="0067412D"/>
    <w:rsid w:val="00693503"/>
    <w:rsid w:val="00694041"/>
    <w:rsid w:val="006A1024"/>
    <w:rsid w:val="006B4D7F"/>
    <w:rsid w:val="006C3B37"/>
    <w:rsid w:val="006D2F39"/>
    <w:rsid w:val="006D7DC2"/>
    <w:rsid w:val="006F0214"/>
    <w:rsid w:val="006F2303"/>
    <w:rsid w:val="006F5789"/>
    <w:rsid w:val="006F62B0"/>
    <w:rsid w:val="007137DF"/>
    <w:rsid w:val="007250FB"/>
    <w:rsid w:val="00731139"/>
    <w:rsid w:val="00741117"/>
    <w:rsid w:val="007534C2"/>
    <w:rsid w:val="00767B03"/>
    <w:rsid w:val="00773AC1"/>
    <w:rsid w:val="0078112D"/>
    <w:rsid w:val="00785D30"/>
    <w:rsid w:val="0078663A"/>
    <w:rsid w:val="00790F45"/>
    <w:rsid w:val="007A2CF8"/>
    <w:rsid w:val="007B1A3C"/>
    <w:rsid w:val="007B1AD7"/>
    <w:rsid w:val="007B2700"/>
    <w:rsid w:val="007B4140"/>
    <w:rsid w:val="007E226C"/>
    <w:rsid w:val="007F2D46"/>
    <w:rsid w:val="00812218"/>
    <w:rsid w:val="00822C84"/>
    <w:rsid w:val="008360DC"/>
    <w:rsid w:val="00844CCF"/>
    <w:rsid w:val="00850119"/>
    <w:rsid w:val="008661A3"/>
    <w:rsid w:val="00866B50"/>
    <w:rsid w:val="008705E8"/>
    <w:rsid w:val="00880416"/>
    <w:rsid w:val="00882815"/>
    <w:rsid w:val="00884FD7"/>
    <w:rsid w:val="00892E6D"/>
    <w:rsid w:val="008946C1"/>
    <w:rsid w:val="00894774"/>
    <w:rsid w:val="00897DC8"/>
    <w:rsid w:val="008A34CB"/>
    <w:rsid w:val="008A36F8"/>
    <w:rsid w:val="008B5568"/>
    <w:rsid w:val="008C378C"/>
    <w:rsid w:val="008D198C"/>
    <w:rsid w:val="008D2A53"/>
    <w:rsid w:val="008D2D82"/>
    <w:rsid w:val="008E1F77"/>
    <w:rsid w:val="008F0393"/>
    <w:rsid w:val="008F0E81"/>
    <w:rsid w:val="008F5AAD"/>
    <w:rsid w:val="00911648"/>
    <w:rsid w:val="0091271E"/>
    <w:rsid w:val="009307CA"/>
    <w:rsid w:val="009321A4"/>
    <w:rsid w:val="0093675D"/>
    <w:rsid w:val="00941964"/>
    <w:rsid w:val="00942E35"/>
    <w:rsid w:val="00957B3C"/>
    <w:rsid w:val="00970488"/>
    <w:rsid w:val="0097782F"/>
    <w:rsid w:val="00985055"/>
    <w:rsid w:val="009969A0"/>
    <w:rsid w:val="009A5278"/>
    <w:rsid w:val="009B6788"/>
    <w:rsid w:val="009D2BE9"/>
    <w:rsid w:val="009E4A11"/>
    <w:rsid w:val="009E4FA7"/>
    <w:rsid w:val="009F02A2"/>
    <w:rsid w:val="009F1BE3"/>
    <w:rsid w:val="009F78D9"/>
    <w:rsid w:val="00A21CCC"/>
    <w:rsid w:val="00A3137F"/>
    <w:rsid w:val="00A417C6"/>
    <w:rsid w:val="00A53676"/>
    <w:rsid w:val="00A62F3C"/>
    <w:rsid w:val="00A63160"/>
    <w:rsid w:val="00A63B9A"/>
    <w:rsid w:val="00A66BBB"/>
    <w:rsid w:val="00A66ED8"/>
    <w:rsid w:val="00A72242"/>
    <w:rsid w:val="00A744F6"/>
    <w:rsid w:val="00A74754"/>
    <w:rsid w:val="00A7542B"/>
    <w:rsid w:val="00A76D57"/>
    <w:rsid w:val="00A84041"/>
    <w:rsid w:val="00A94502"/>
    <w:rsid w:val="00A968C0"/>
    <w:rsid w:val="00AA2227"/>
    <w:rsid w:val="00AA3003"/>
    <w:rsid w:val="00AB1FC2"/>
    <w:rsid w:val="00AC011B"/>
    <w:rsid w:val="00AC0BB3"/>
    <w:rsid w:val="00AC3F7A"/>
    <w:rsid w:val="00AC429A"/>
    <w:rsid w:val="00AC58FB"/>
    <w:rsid w:val="00AE169C"/>
    <w:rsid w:val="00B0303B"/>
    <w:rsid w:val="00B04B9F"/>
    <w:rsid w:val="00B32873"/>
    <w:rsid w:val="00B33896"/>
    <w:rsid w:val="00B35222"/>
    <w:rsid w:val="00B36BE8"/>
    <w:rsid w:val="00B504F6"/>
    <w:rsid w:val="00B53226"/>
    <w:rsid w:val="00B631ED"/>
    <w:rsid w:val="00B75671"/>
    <w:rsid w:val="00B85F28"/>
    <w:rsid w:val="00B931FB"/>
    <w:rsid w:val="00B9463A"/>
    <w:rsid w:val="00B97D20"/>
    <w:rsid w:val="00BA2015"/>
    <w:rsid w:val="00BA22B3"/>
    <w:rsid w:val="00BA6BAC"/>
    <w:rsid w:val="00BC1C37"/>
    <w:rsid w:val="00BD412B"/>
    <w:rsid w:val="00BE3C72"/>
    <w:rsid w:val="00BE62FB"/>
    <w:rsid w:val="00BF05B4"/>
    <w:rsid w:val="00BF6EE5"/>
    <w:rsid w:val="00C01B1F"/>
    <w:rsid w:val="00C048B9"/>
    <w:rsid w:val="00C14E22"/>
    <w:rsid w:val="00C15CB3"/>
    <w:rsid w:val="00C21096"/>
    <w:rsid w:val="00C220EF"/>
    <w:rsid w:val="00C23D54"/>
    <w:rsid w:val="00C26288"/>
    <w:rsid w:val="00C32C94"/>
    <w:rsid w:val="00C349FF"/>
    <w:rsid w:val="00C36139"/>
    <w:rsid w:val="00C66E68"/>
    <w:rsid w:val="00C76E76"/>
    <w:rsid w:val="00C810D0"/>
    <w:rsid w:val="00C917FE"/>
    <w:rsid w:val="00C92FD7"/>
    <w:rsid w:val="00C94C6B"/>
    <w:rsid w:val="00C97C88"/>
    <w:rsid w:val="00CB127C"/>
    <w:rsid w:val="00CB245D"/>
    <w:rsid w:val="00CC675B"/>
    <w:rsid w:val="00CC7BC0"/>
    <w:rsid w:val="00CD3B03"/>
    <w:rsid w:val="00CD578A"/>
    <w:rsid w:val="00CE46EA"/>
    <w:rsid w:val="00CF72B1"/>
    <w:rsid w:val="00D003E6"/>
    <w:rsid w:val="00D03E33"/>
    <w:rsid w:val="00D03F87"/>
    <w:rsid w:val="00D05897"/>
    <w:rsid w:val="00D110EF"/>
    <w:rsid w:val="00D13DD8"/>
    <w:rsid w:val="00D25657"/>
    <w:rsid w:val="00D303E9"/>
    <w:rsid w:val="00D57892"/>
    <w:rsid w:val="00D66509"/>
    <w:rsid w:val="00D74054"/>
    <w:rsid w:val="00D90D66"/>
    <w:rsid w:val="00D91B6F"/>
    <w:rsid w:val="00D954EF"/>
    <w:rsid w:val="00D972F0"/>
    <w:rsid w:val="00DA0E83"/>
    <w:rsid w:val="00DA23B2"/>
    <w:rsid w:val="00DB0DA2"/>
    <w:rsid w:val="00DB1B36"/>
    <w:rsid w:val="00DC54A8"/>
    <w:rsid w:val="00DD0617"/>
    <w:rsid w:val="00DD2ED4"/>
    <w:rsid w:val="00DD4C8B"/>
    <w:rsid w:val="00DE5D44"/>
    <w:rsid w:val="00E04A9C"/>
    <w:rsid w:val="00E121CD"/>
    <w:rsid w:val="00E276F3"/>
    <w:rsid w:val="00E47CB4"/>
    <w:rsid w:val="00E61FD4"/>
    <w:rsid w:val="00E64F6E"/>
    <w:rsid w:val="00E73529"/>
    <w:rsid w:val="00E81DB4"/>
    <w:rsid w:val="00E93429"/>
    <w:rsid w:val="00E973CC"/>
    <w:rsid w:val="00EA05DD"/>
    <w:rsid w:val="00EA0CF0"/>
    <w:rsid w:val="00EA545C"/>
    <w:rsid w:val="00EA7DB0"/>
    <w:rsid w:val="00EB3634"/>
    <w:rsid w:val="00EB742A"/>
    <w:rsid w:val="00EC42A1"/>
    <w:rsid w:val="00EC7B33"/>
    <w:rsid w:val="00ED20E2"/>
    <w:rsid w:val="00EE4BF2"/>
    <w:rsid w:val="00EE7964"/>
    <w:rsid w:val="00EF5220"/>
    <w:rsid w:val="00F03EAE"/>
    <w:rsid w:val="00F173FE"/>
    <w:rsid w:val="00F53406"/>
    <w:rsid w:val="00F70C55"/>
    <w:rsid w:val="00F70F6E"/>
    <w:rsid w:val="00F7466E"/>
    <w:rsid w:val="00F754FB"/>
    <w:rsid w:val="00F90E19"/>
    <w:rsid w:val="00F90E82"/>
    <w:rsid w:val="00F91ED0"/>
    <w:rsid w:val="00F938B7"/>
    <w:rsid w:val="00FC0337"/>
    <w:rsid w:val="00FC366C"/>
    <w:rsid w:val="00FD6D44"/>
    <w:rsid w:val="00FE1033"/>
    <w:rsid w:val="00FE6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B58D983"/>
  <w15:chartTrackingRefBased/>
  <w15:docId w15:val="{09222F3F-1F78-465A-AD94-F6C68E08E7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aliases w:val="Text"/>
    <w:qFormat/>
    <w:rsid w:val="00DA0E83"/>
    <w:pPr>
      <w:widowControl w:val="0"/>
      <w:spacing w:line="480" w:lineRule="auto"/>
      <w:ind w:firstLine="425"/>
      <w:jc w:val="both"/>
    </w:pPr>
    <w:rPr>
      <w:rFonts w:ascii="Times New Roman" w:hAnsi="Times New Roman"/>
      <w:sz w:val="24"/>
    </w:rPr>
  </w:style>
  <w:style w:type="paragraph" w:styleId="1">
    <w:name w:val="heading 1"/>
    <w:aliases w:val="Section"/>
    <w:basedOn w:val="a0"/>
    <w:next w:val="a0"/>
    <w:link w:val="10"/>
    <w:uiPriority w:val="9"/>
    <w:qFormat/>
    <w:rsid w:val="00323F1E"/>
    <w:pPr>
      <w:keepNext/>
      <w:keepLines/>
      <w:numPr>
        <w:numId w:val="2"/>
      </w:numPr>
      <w:spacing w:before="280" w:after="80"/>
      <w:outlineLvl w:val="0"/>
    </w:pPr>
    <w:rPr>
      <w:rFonts w:cstheme="majorBidi"/>
      <w:b/>
      <w:color w:val="000000" w:themeColor="text1"/>
      <w:sz w:val="32"/>
      <w:szCs w:val="32"/>
    </w:rPr>
  </w:style>
  <w:style w:type="paragraph" w:styleId="2">
    <w:name w:val="heading 2"/>
    <w:aliases w:val="Subsection"/>
    <w:basedOn w:val="a0"/>
    <w:next w:val="a0"/>
    <w:link w:val="20"/>
    <w:uiPriority w:val="9"/>
    <w:unhideWhenUsed/>
    <w:qFormat/>
    <w:rsid w:val="00577BE4"/>
    <w:pPr>
      <w:keepNext/>
      <w:keepLines/>
      <w:numPr>
        <w:ilvl w:val="1"/>
        <w:numId w:val="2"/>
      </w:numPr>
      <w:spacing w:before="160" w:after="80"/>
      <w:ind w:left="567"/>
      <w:outlineLvl w:val="1"/>
    </w:pPr>
    <w:rPr>
      <w:rFonts w:cs="Times New Roman"/>
      <w:b/>
      <w:bCs/>
      <w:color w:val="000000" w:themeColor="text1"/>
      <w:szCs w:val="24"/>
    </w:rPr>
  </w:style>
  <w:style w:type="paragraph" w:styleId="3">
    <w:name w:val="heading 3"/>
    <w:aliases w:val="Subsubsection"/>
    <w:basedOn w:val="a0"/>
    <w:next w:val="a0"/>
    <w:link w:val="30"/>
    <w:uiPriority w:val="9"/>
    <w:unhideWhenUsed/>
    <w:qFormat/>
    <w:rsid w:val="00577BE4"/>
    <w:pPr>
      <w:keepNext/>
      <w:keepLines/>
      <w:numPr>
        <w:ilvl w:val="2"/>
        <w:numId w:val="2"/>
      </w:numPr>
      <w:spacing w:before="160" w:after="80"/>
      <w:outlineLvl w:val="2"/>
    </w:pPr>
    <w:rPr>
      <w:rFonts w:cstheme="majorBidi"/>
      <w:color w:val="000000" w:themeColor="text1"/>
      <w:szCs w:val="24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AC011B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AC011B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AC011B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AC011B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AC011B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AC011B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見出し 1 (文字)"/>
    <w:aliases w:val="Section (文字)"/>
    <w:basedOn w:val="a1"/>
    <w:link w:val="1"/>
    <w:uiPriority w:val="9"/>
    <w:rsid w:val="00323F1E"/>
    <w:rPr>
      <w:rFonts w:ascii="Times New Roman" w:hAnsi="Times New Roman" w:cstheme="majorBidi"/>
      <w:b/>
      <w:color w:val="000000" w:themeColor="text1"/>
      <w:sz w:val="32"/>
      <w:szCs w:val="32"/>
    </w:rPr>
  </w:style>
  <w:style w:type="character" w:customStyle="1" w:styleId="20">
    <w:name w:val="見出し 2 (文字)"/>
    <w:aliases w:val="Subsection (文字)"/>
    <w:basedOn w:val="a1"/>
    <w:link w:val="2"/>
    <w:uiPriority w:val="9"/>
    <w:rsid w:val="00577BE4"/>
    <w:rPr>
      <w:rFonts w:ascii="Times New Roman" w:eastAsia="Times New Roman" w:hAnsi="Times New Roman" w:cs="Times New Roman"/>
      <w:b/>
      <w:bCs/>
      <w:color w:val="000000" w:themeColor="text1"/>
      <w:sz w:val="24"/>
      <w:szCs w:val="24"/>
    </w:rPr>
  </w:style>
  <w:style w:type="character" w:customStyle="1" w:styleId="30">
    <w:name w:val="見出し 3 (文字)"/>
    <w:aliases w:val="Subsubsection (文字)"/>
    <w:basedOn w:val="a1"/>
    <w:link w:val="3"/>
    <w:uiPriority w:val="9"/>
    <w:rsid w:val="00577BE4"/>
    <w:rPr>
      <w:rFonts w:ascii="Times New Roman" w:eastAsia="Times New Roman" w:hAnsi="Times New Roman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1"/>
    <w:link w:val="4"/>
    <w:uiPriority w:val="9"/>
    <w:semiHidden/>
    <w:rsid w:val="00AC011B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1"/>
    <w:link w:val="5"/>
    <w:uiPriority w:val="9"/>
    <w:semiHidden/>
    <w:rsid w:val="00AC011B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1"/>
    <w:link w:val="6"/>
    <w:uiPriority w:val="9"/>
    <w:semiHidden/>
    <w:rsid w:val="00AC011B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1"/>
    <w:link w:val="7"/>
    <w:uiPriority w:val="9"/>
    <w:semiHidden/>
    <w:rsid w:val="00AC011B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1"/>
    <w:link w:val="8"/>
    <w:uiPriority w:val="9"/>
    <w:semiHidden/>
    <w:rsid w:val="00AC011B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1"/>
    <w:link w:val="9"/>
    <w:uiPriority w:val="9"/>
    <w:semiHidden/>
    <w:rsid w:val="00AC011B"/>
    <w:rPr>
      <w:rFonts w:asciiTheme="majorHAnsi" w:eastAsiaTheme="majorEastAsia" w:hAnsiTheme="majorHAnsi" w:cstheme="majorBidi"/>
      <w:color w:val="000000" w:themeColor="text1"/>
    </w:rPr>
  </w:style>
  <w:style w:type="paragraph" w:styleId="a4">
    <w:name w:val="Title"/>
    <w:basedOn w:val="a0"/>
    <w:next w:val="a0"/>
    <w:link w:val="a5"/>
    <w:uiPriority w:val="10"/>
    <w:qFormat/>
    <w:rsid w:val="00AC011B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表題 (文字)"/>
    <w:basedOn w:val="a1"/>
    <w:link w:val="a4"/>
    <w:uiPriority w:val="10"/>
    <w:rsid w:val="00AC011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6">
    <w:name w:val="Subtitle"/>
    <w:basedOn w:val="a0"/>
    <w:next w:val="a0"/>
    <w:link w:val="a7"/>
    <w:uiPriority w:val="11"/>
    <w:qFormat/>
    <w:rsid w:val="00AC011B"/>
    <w:pPr>
      <w:numPr>
        <w:ilvl w:val="1"/>
      </w:numPr>
      <w:spacing w:after="160"/>
      <w:ind w:firstLine="425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7">
    <w:name w:val="副題 (文字)"/>
    <w:basedOn w:val="a1"/>
    <w:link w:val="a6"/>
    <w:uiPriority w:val="11"/>
    <w:rsid w:val="00AC011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8">
    <w:name w:val="Quote"/>
    <w:basedOn w:val="a0"/>
    <w:next w:val="a0"/>
    <w:link w:val="a9"/>
    <w:uiPriority w:val="29"/>
    <w:qFormat/>
    <w:rsid w:val="00AC011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9">
    <w:name w:val="引用文 (文字)"/>
    <w:basedOn w:val="a1"/>
    <w:link w:val="a8"/>
    <w:uiPriority w:val="29"/>
    <w:rsid w:val="00AC011B"/>
    <w:rPr>
      <w:i/>
      <w:iCs/>
      <w:color w:val="404040" w:themeColor="text1" w:themeTint="BF"/>
    </w:rPr>
  </w:style>
  <w:style w:type="paragraph" w:styleId="aa">
    <w:name w:val="List Paragraph"/>
    <w:basedOn w:val="a0"/>
    <w:uiPriority w:val="34"/>
    <w:qFormat/>
    <w:rsid w:val="00AC011B"/>
    <w:pPr>
      <w:ind w:left="720"/>
      <w:contextualSpacing/>
    </w:pPr>
  </w:style>
  <w:style w:type="character" w:styleId="21">
    <w:name w:val="Intense Emphasis"/>
    <w:basedOn w:val="a1"/>
    <w:uiPriority w:val="21"/>
    <w:qFormat/>
    <w:rsid w:val="00AC011B"/>
    <w:rPr>
      <w:i/>
      <w:iCs/>
      <w:color w:val="0F4761" w:themeColor="accent1" w:themeShade="BF"/>
    </w:rPr>
  </w:style>
  <w:style w:type="paragraph" w:styleId="22">
    <w:name w:val="Intense Quote"/>
    <w:basedOn w:val="a0"/>
    <w:next w:val="a0"/>
    <w:link w:val="23"/>
    <w:uiPriority w:val="30"/>
    <w:qFormat/>
    <w:rsid w:val="00AC011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1"/>
    <w:link w:val="22"/>
    <w:uiPriority w:val="30"/>
    <w:rsid w:val="00AC011B"/>
    <w:rPr>
      <w:i/>
      <w:iCs/>
      <w:color w:val="0F4761" w:themeColor="accent1" w:themeShade="BF"/>
    </w:rPr>
  </w:style>
  <w:style w:type="character" w:styleId="24">
    <w:name w:val="Intense Reference"/>
    <w:basedOn w:val="a1"/>
    <w:uiPriority w:val="32"/>
    <w:qFormat/>
    <w:rsid w:val="00AC011B"/>
    <w:rPr>
      <w:b/>
      <w:bCs/>
      <w:smallCaps/>
      <w:color w:val="0F4761" w:themeColor="accent1" w:themeShade="BF"/>
      <w:spacing w:val="5"/>
    </w:rPr>
  </w:style>
  <w:style w:type="paragraph" w:customStyle="1" w:styleId="11">
    <w:name w:val="表題1"/>
    <w:basedOn w:val="a0"/>
    <w:link w:val="Title"/>
    <w:qFormat/>
    <w:rsid w:val="00614863"/>
    <w:pPr>
      <w:ind w:firstLine="0"/>
      <w:jc w:val="center"/>
    </w:pPr>
    <w:rPr>
      <w:b/>
      <w:bCs/>
      <w:sz w:val="32"/>
      <w:szCs w:val="28"/>
    </w:rPr>
  </w:style>
  <w:style w:type="character" w:customStyle="1" w:styleId="Title">
    <w:name w:val="Title (文字)"/>
    <w:basedOn w:val="a1"/>
    <w:link w:val="11"/>
    <w:rsid w:val="00614863"/>
    <w:rPr>
      <w:rFonts w:ascii="Times New Roman" w:hAnsi="Times New Roman"/>
      <w:b/>
      <w:bCs/>
      <w:sz w:val="32"/>
      <w:szCs w:val="28"/>
    </w:rPr>
  </w:style>
  <w:style w:type="paragraph" w:customStyle="1" w:styleId="Section">
    <w:name w:val="#Section"/>
    <w:basedOn w:val="a0"/>
    <w:link w:val="Section0"/>
    <w:qFormat/>
    <w:rsid w:val="003703CA"/>
    <w:pPr>
      <w:ind w:firstLine="0"/>
    </w:pPr>
    <w:rPr>
      <w:b/>
      <w:bCs/>
      <w:sz w:val="32"/>
      <w:szCs w:val="28"/>
    </w:rPr>
  </w:style>
  <w:style w:type="character" w:customStyle="1" w:styleId="Section0">
    <w:name w:val="#Section (文字)"/>
    <w:basedOn w:val="a1"/>
    <w:link w:val="Section"/>
    <w:rsid w:val="003703CA"/>
    <w:rPr>
      <w:rFonts w:ascii="Times New Roman" w:hAnsi="Times New Roman"/>
      <w:b/>
      <w:bCs/>
      <w:sz w:val="32"/>
      <w:szCs w:val="28"/>
    </w:rPr>
  </w:style>
  <w:style w:type="paragraph" w:customStyle="1" w:styleId="Instructivecomments">
    <w:name w:val="Instructive comments"/>
    <w:basedOn w:val="a0"/>
    <w:link w:val="Instructivecomments0"/>
    <w:qFormat/>
    <w:rsid w:val="00785D30"/>
    <w:pPr>
      <w:shd w:val="pct30" w:color="auto" w:fill="auto"/>
      <w:ind w:firstLine="0"/>
    </w:pPr>
  </w:style>
  <w:style w:type="character" w:customStyle="1" w:styleId="Instructivecomments0">
    <w:name w:val="Instructive comments (文字)"/>
    <w:basedOn w:val="a1"/>
    <w:link w:val="Instructivecomments"/>
    <w:rsid w:val="00785D30"/>
    <w:rPr>
      <w:rFonts w:ascii="Times New Roman" w:hAnsi="Times New Roman"/>
      <w:sz w:val="24"/>
      <w:shd w:val="pct30" w:color="auto" w:fill="auto"/>
    </w:rPr>
  </w:style>
  <w:style w:type="character" w:styleId="ab">
    <w:name w:val="Hyperlink"/>
    <w:basedOn w:val="a1"/>
    <w:uiPriority w:val="99"/>
    <w:unhideWhenUsed/>
    <w:rsid w:val="002D187C"/>
    <w:rPr>
      <w:color w:val="467886" w:themeColor="hyperlink"/>
      <w:u w:val="single"/>
    </w:rPr>
  </w:style>
  <w:style w:type="character" w:styleId="ac">
    <w:name w:val="Unresolved Mention"/>
    <w:basedOn w:val="a1"/>
    <w:uiPriority w:val="99"/>
    <w:semiHidden/>
    <w:unhideWhenUsed/>
    <w:rsid w:val="002D187C"/>
    <w:rPr>
      <w:color w:val="605E5C"/>
      <w:shd w:val="clear" w:color="auto" w:fill="E1DFDD"/>
    </w:rPr>
  </w:style>
  <w:style w:type="character" w:styleId="ad">
    <w:name w:val="Placeholder Text"/>
    <w:basedOn w:val="a1"/>
    <w:uiPriority w:val="99"/>
    <w:semiHidden/>
    <w:rsid w:val="00B32873"/>
    <w:rPr>
      <w:color w:val="666666"/>
    </w:rPr>
  </w:style>
  <w:style w:type="paragraph" w:styleId="a">
    <w:name w:val="List Bullet"/>
    <w:basedOn w:val="a0"/>
    <w:uiPriority w:val="99"/>
    <w:unhideWhenUsed/>
    <w:rsid w:val="00B32873"/>
    <w:pPr>
      <w:numPr>
        <w:numId w:val="3"/>
      </w:numPr>
      <w:contextualSpacing/>
    </w:pPr>
  </w:style>
  <w:style w:type="paragraph" w:customStyle="1" w:styleId="Subsection">
    <w:name w:val="#Subsection"/>
    <w:basedOn w:val="a0"/>
    <w:link w:val="Subsection0"/>
    <w:qFormat/>
    <w:rsid w:val="003703CA"/>
    <w:pPr>
      <w:ind w:firstLine="0"/>
    </w:pPr>
    <w:rPr>
      <w:b/>
      <w:bCs/>
    </w:rPr>
  </w:style>
  <w:style w:type="character" w:customStyle="1" w:styleId="Subsection0">
    <w:name w:val="#Subsection (文字)"/>
    <w:basedOn w:val="a1"/>
    <w:link w:val="Subsection"/>
    <w:rsid w:val="003703CA"/>
    <w:rPr>
      <w:rFonts w:ascii="Times New Roman" w:hAnsi="Times New Roman"/>
      <w:b/>
      <w:bCs/>
      <w:sz w:val="24"/>
    </w:rPr>
  </w:style>
  <w:style w:type="character" w:styleId="ae">
    <w:name w:val="annotation reference"/>
    <w:basedOn w:val="a1"/>
    <w:uiPriority w:val="99"/>
    <w:semiHidden/>
    <w:unhideWhenUsed/>
    <w:rsid w:val="005B7D82"/>
    <w:rPr>
      <w:sz w:val="18"/>
      <w:szCs w:val="18"/>
    </w:rPr>
  </w:style>
  <w:style w:type="paragraph" w:styleId="af">
    <w:name w:val="annotation text"/>
    <w:basedOn w:val="a0"/>
    <w:link w:val="af0"/>
    <w:uiPriority w:val="99"/>
    <w:unhideWhenUsed/>
    <w:rsid w:val="005B7D82"/>
    <w:pPr>
      <w:jc w:val="left"/>
    </w:pPr>
  </w:style>
  <w:style w:type="character" w:customStyle="1" w:styleId="af0">
    <w:name w:val="コメント文字列 (文字)"/>
    <w:basedOn w:val="a1"/>
    <w:link w:val="af"/>
    <w:uiPriority w:val="99"/>
    <w:rsid w:val="005B7D82"/>
    <w:rPr>
      <w:rFonts w:ascii="Times New Roman" w:eastAsia="Times New Roman" w:hAnsi="Times New Roman"/>
      <w:sz w:val="24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5B7D82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5B7D82"/>
    <w:rPr>
      <w:rFonts w:ascii="Times New Roman" w:eastAsia="Times New Roman" w:hAnsi="Times New Roman"/>
      <w:b/>
      <w:bCs/>
      <w:sz w:val="24"/>
    </w:rPr>
  </w:style>
  <w:style w:type="character" w:styleId="af3">
    <w:name w:val="line number"/>
    <w:basedOn w:val="a1"/>
    <w:uiPriority w:val="99"/>
    <w:semiHidden/>
    <w:unhideWhenUsed/>
    <w:rsid w:val="00B85F28"/>
  </w:style>
  <w:style w:type="paragraph" w:customStyle="1" w:styleId="Text">
    <w:name w:val="#Text"/>
    <w:basedOn w:val="a0"/>
    <w:link w:val="Text0"/>
    <w:qFormat/>
    <w:rsid w:val="00DA0E83"/>
    <w:pPr>
      <w:ind w:firstLine="0"/>
    </w:pPr>
  </w:style>
  <w:style w:type="character" w:customStyle="1" w:styleId="Text0">
    <w:name w:val="#Text (文字)"/>
    <w:basedOn w:val="a1"/>
    <w:link w:val="Text"/>
    <w:rsid w:val="00DA0E83"/>
    <w:rPr>
      <w:rFonts w:ascii="Times New Roman" w:hAnsi="Times New Roman"/>
      <w:sz w:val="24"/>
    </w:rPr>
  </w:style>
  <w:style w:type="paragraph" w:customStyle="1" w:styleId="References">
    <w:name w:val="References"/>
    <w:basedOn w:val="Text"/>
    <w:link w:val="References0"/>
    <w:qFormat/>
    <w:rsid w:val="00614863"/>
    <w:pPr>
      <w:ind w:left="480" w:hangingChars="200" w:hanging="480"/>
    </w:pPr>
  </w:style>
  <w:style w:type="character" w:customStyle="1" w:styleId="References0">
    <w:name w:val="References (文字)"/>
    <w:basedOn w:val="Text0"/>
    <w:link w:val="References"/>
    <w:rsid w:val="00614863"/>
    <w:rPr>
      <w:rFonts w:ascii="Times New Roman" w:hAnsi="Times New Roman"/>
      <w:sz w:val="24"/>
    </w:rPr>
  </w:style>
  <w:style w:type="character" w:styleId="af4">
    <w:name w:val="Strong"/>
    <w:basedOn w:val="a1"/>
    <w:uiPriority w:val="22"/>
    <w:qFormat/>
    <w:rsid w:val="00187E35"/>
    <w:rPr>
      <w:b/>
      <w:bCs/>
    </w:rPr>
  </w:style>
  <w:style w:type="paragraph" w:styleId="af5">
    <w:name w:val="header"/>
    <w:basedOn w:val="a0"/>
    <w:link w:val="af6"/>
    <w:uiPriority w:val="99"/>
    <w:unhideWhenUsed/>
    <w:rsid w:val="001E73F3"/>
    <w:pPr>
      <w:tabs>
        <w:tab w:val="center" w:pos="4252"/>
        <w:tab w:val="right" w:pos="8504"/>
      </w:tabs>
      <w:snapToGrid w:val="0"/>
    </w:pPr>
  </w:style>
  <w:style w:type="character" w:customStyle="1" w:styleId="af6">
    <w:name w:val="ヘッダー (文字)"/>
    <w:basedOn w:val="a1"/>
    <w:link w:val="af5"/>
    <w:uiPriority w:val="99"/>
    <w:rsid w:val="001E73F3"/>
    <w:rPr>
      <w:rFonts w:ascii="Times New Roman" w:hAnsi="Times New Roman"/>
      <w:sz w:val="24"/>
    </w:rPr>
  </w:style>
  <w:style w:type="paragraph" w:styleId="af7">
    <w:name w:val="footer"/>
    <w:basedOn w:val="a0"/>
    <w:link w:val="af8"/>
    <w:uiPriority w:val="99"/>
    <w:unhideWhenUsed/>
    <w:rsid w:val="001E73F3"/>
    <w:pPr>
      <w:tabs>
        <w:tab w:val="center" w:pos="4252"/>
        <w:tab w:val="right" w:pos="8504"/>
      </w:tabs>
      <w:snapToGrid w:val="0"/>
    </w:pPr>
  </w:style>
  <w:style w:type="character" w:customStyle="1" w:styleId="af8">
    <w:name w:val="フッター (文字)"/>
    <w:basedOn w:val="a1"/>
    <w:link w:val="af7"/>
    <w:uiPriority w:val="99"/>
    <w:rsid w:val="001E73F3"/>
    <w:rPr>
      <w:rFonts w:ascii="Times New Roman" w:hAnsi="Times New Roman"/>
      <w:sz w:val="24"/>
    </w:rPr>
  </w:style>
  <w:style w:type="paragraph" w:styleId="af9">
    <w:name w:val="Revision"/>
    <w:hidden/>
    <w:uiPriority w:val="99"/>
    <w:semiHidden/>
    <w:rsid w:val="004D49FB"/>
    <w:rPr>
      <w:rFonts w:ascii="Times New Roman" w:hAnsi="Times New Roman"/>
      <w:sz w:val="24"/>
    </w:rPr>
  </w:style>
  <w:style w:type="table" w:styleId="afa">
    <w:name w:val="Table Grid"/>
    <w:basedOn w:val="a2"/>
    <w:uiPriority w:val="39"/>
    <w:rsid w:val="005372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529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627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02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2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788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6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705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152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936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6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03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8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5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4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2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0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1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0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3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7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6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4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2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58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1C0F86-9432-4A99-A7EF-D7E4E66F26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2671</TotalTime>
  <Pages>6</Pages>
  <Words>323</Words>
  <Characters>1845</Characters>
  <Application>Microsoft Office Word</Application>
  <DocSecurity>0</DocSecurity>
  <Lines>15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Masaru Inatsu</dc:creator>
  <cp:keywords/>
  <dc:description/>
  <cp:lastModifiedBy>田原　亮太郎</cp:lastModifiedBy>
  <cp:revision>17</cp:revision>
  <dcterms:created xsi:type="dcterms:W3CDTF">2026-05-09T05:53:00Z</dcterms:created>
  <dcterms:modified xsi:type="dcterms:W3CDTF">2026-05-11T05:46:00Z</dcterms:modified>
</cp:coreProperties>
</file>