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55288" w14:textId="7BAF26D8" w:rsidR="00AB687B" w:rsidRPr="005278DF" w:rsidRDefault="00AB687B" w:rsidP="00AB68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Supplementary </w:t>
      </w:r>
      <w:r w:rsidRPr="005278DF">
        <w:rPr>
          <w:b/>
          <w:bCs/>
          <w:sz w:val="28"/>
          <w:szCs w:val="28"/>
        </w:rPr>
        <w:t>Figure 1. outpatient volume before vs after implementation of the PPP-enabled digital booking system (January–June 2024 vs January–June 2025)</w:t>
      </w:r>
    </w:p>
    <w:p w14:paraId="355C1428" w14:textId="77777777" w:rsidR="00AB687B" w:rsidRDefault="00AB687B" w:rsidP="00AB687B">
      <w:r>
        <w:rPr>
          <w:rFonts w:ascii="Arial" w:hAnsi="Arial" w:cs="Arial"/>
          <w:noProof/>
          <w:color w:val="666666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AE6EE6" wp14:editId="5999CE94">
                <wp:simplePos x="0" y="0"/>
                <wp:positionH relativeFrom="column">
                  <wp:posOffset>152400</wp:posOffset>
                </wp:positionH>
                <wp:positionV relativeFrom="paragraph">
                  <wp:posOffset>205105</wp:posOffset>
                </wp:positionV>
                <wp:extent cx="685800" cy="276225"/>
                <wp:effectExtent l="0" t="0" r="19050" b="28575"/>
                <wp:wrapNone/>
                <wp:docPr id="73303899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762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9DE9E7" w14:textId="7D4DC709" w:rsidR="00AB687B" w:rsidRPr="007F67C8" w:rsidRDefault="00AB687B" w:rsidP="00AB687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S-</w:t>
                            </w:r>
                            <w:r w:rsidRPr="007F67C8">
                              <w:rPr>
                                <w:b/>
                                <w:bCs/>
                              </w:rPr>
                              <w:t>1A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AE6EE6" id="Rectangle: Rounded Corners 1" o:spid="_x0000_s1026" style="position:absolute;margin-left:12pt;margin-top:16.15pt;width:54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" fillcolor="white [3201]" strokecolor="black [3213]" strokeweight="1pt">
                <v:stroke joinstyle="miter"/>
                <v:textbox>
                  <w:txbxContent>
                    <w:p w14:paraId="5B9DE9E7" w14:textId="7D4DC709" w:rsidR="00AB687B" w:rsidRPr="007F67C8" w:rsidRDefault="00AB687B" w:rsidP="00AB687B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S-</w:t>
                      </w:r>
                      <w:r w:rsidRPr="007F67C8">
                        <w:rPr>
                          <w:b/>
                          <w:bCs/>
                        </w:rPr>
                        <w:t>1A</w:t>
                      </w:r>
                    </w:p>
                  </w:txbxContent>
                </v:textbox>
              </v:roundrect>
            </w:pict>
          </mc:Fallback>
        </mc:AlternateContent>
      </w:r>
      <w:r w:rsidRPr="00286CEB">
        <w:rPr>
          <w:rFonts w:ascii="Arial" w:hAnsi="Arial" w:cs="Arial"/>
          <w:noProof/>
          <w:color w:val="666666"/>
          <w:sz w:val="21"/>
          <w:szCs w:val="21"/>
        </w:rPr>
        <w:drawing>
          <wp:inline distT="0" distB="0" distL="0" distR="0" wp14:anchorId="12AABD4C" wp14:editId="3B2CCA6D">
            <wp:extent cx="8153400" cy="4301673"/>
            <wp:effectExtent l="0" t="0" r="0" b="3810"/>
            <wp:docPr id="6444092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409281" name=""/>
                    <pic:cNvPicPr/>
                  </pic:nvPicPr>
                  <pic:blipFill rotWithShape="1">
                    <a:blip r:embed="rId4"/>
                    <a:srcRect l="15584" r="23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9283" cy="4315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7E19D3" w14:textId="77777777" w:rsidR="00AB687B" w:rsidRDefault="00AB687B" w:rsidP="00AB687B">
      <w:r>
        <w:rPr>
          <w:noProof/>
        </w:rPr>
        <w:lastRenderedPageBreak/>
        <w:drawing>
          <wp:inline distT="0" distB="0" distL="0" distR="0" wp14:anchorId="405E8BD1" wp14:editId="6ACA30DB">
            <wp:extent cx="4603750" cy="3079750"/>
            <wp:effectExtent l="0" t="0" r="6350" b="6350"/>
            <wp:docPr id="108194369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8CC49F5-A990-A97B-6183-D5B1AD3DFE8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8B17E96" w14:textId="77777777" w:rsidR="00AB687B" w:rsidRDefault="00AB687B" w:rsidP="00AB687B">
      <w:r>
        <w:rPr>
          <w:noProof/>
        </w:rPr>
        <w:drawing>
          <wp:inline distT="0" distB="0" distL="0" distR="0" wp14:anchorId="15636804" wp14:editId="4A1C9116">
            <wp:extent cx="4572000" cy="2743200"/>
            <wp:effectExtent l="0" t="0" r="0" b="0"/>
            <wp:docPr id="20195518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1DE1020-E84C-8DF6-A1C9-4B4613A9B87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C51E62F" w14:textId="77777777" w:rsidR="00AB687B" w:rsidRPr="007F67C8" w:rsidRDefault="00AB687B" w:rsidP="00AB687B">
      <w:pPr>
        <w:rPr>
          <w:b/>
          <w:bCs/>
        </w:rPr>
      </w:pPr>
      <w:r w:rsidRPr="007F67C8">
        <w:rPr>
          <w:b/>
          <w:bCs/>
        </w:rPr>
        <w:t>Figure 1A (Daily total outpatient volume – run charts)</w:t>
      </w:r>
    </w:p>
    <w:p w14:paraId="0CF85A91" w14:textId="77777777" w:rsidR="00AB687B" w:rsidRPr="007F67C8" w:rsidRDefault="00AB687B" w:rsidP="00AB687B">
      <w:r w:rsidRPr="007F67C8">
        <w:t>Run charts comparing daily attended total outpatient volume in the pre-implementation period (Jan–Jun 2024; Manual Booking System; n=138 days, red) versus the post-implementation period (Jan–Jun 2025; Digital Booking System; n=124 days, blue). The pre-implementation series demonstrates marked day-to-day volatility (CV=11.6%; SD=30.8; range: 210–340), whereas the post-implementation series shows reduced variability with a comparable mean volume (CV=7.3%; SD=19.38; range: 230–300), consistent with improved workload stability.</w:t>
      </w:r>
    </w:p>
    <w:p w14:paraId="2EB716B6" w14:textId="77777777" w:rsidR="00AB687B" w:rsidRPr="007F67C8" w:rsidRDefault="00AB687B" w:rsidP="00AB687B">
      <w:pPr>
        <w:rPr>
          <w:b/>
          <w:bCs/>
        </w:rPr>
      </w:pPr>
      <w:r w:rsidRPr="007F67C8">
        <w:rPr>
          <w:b/>
          <w:bCs/>
        </w:rPr>
        <w:t>Figure 1B (Chemotherapy every-3-week/21-day stream – variability over time)</w:t>
      </w:r>
    </w:p>
    <w:p w14:paraId="40EF1A23" w14:textId="77777777" w:rsidR="00AB687B" w:rsidRPr="007F67C8" w:rsidRDefault="00AB687B" w:rsidP="00AB687B">
      <w:r w:rsidRPr="007F67C8">
        <w:t>Time-series comparison of chemotherapy 21-day (every-3-week) activity in the pre-implementation (red) versus post-implementation (blue) periods. The post-implementation series shows a more stable pattern with fewer pronounced peaks, consistent with reduced workload volatility in this regimen subtype (see Table 1 for summary CV values).</w:t>
      </w:r>
    </w:p>
    <w:p w14:paraId="2FCA7846" w14:textId="77777777" w:rsidR="00AB687B" w:rsidRPr="007F67C8" w:rsidRDefault="00AB687B" w:rsidP="00AB687B">
      <w:pPr>
        <w:rPr>
          <w:b/>
          <w:bCs/>
        </w:rPr>
      </w:pPr>
      <w:r w:rsidRPr="007F67C8">
        <w:rPr>
          <w:b/>
          <w:bCs/>
        </w:rPr>
        <w:t>Figure 1C (Hormonal/follow-up stream – variability over time)</w:t>
      </w:r>
    </w:p>
    <w:p w14:paraId="0574DAD1" w14:textId="77777777" w:rsidR="00AB687B" w:rsidRPr="007F67C8" w:rsidRDefault="00AB687B" w:rsidP="00AB687B">
      <w:r w:rsidRPr="007F67C8">
        <w:t>Time-series comparison of the hormonal/follow-up clinic stream in the pre-implementation (red) versus post-implementation (blue) periods. The pre-implementation series shows substantial fluctuations with episodic peaks, while the post-implementation series demonstrates tighter clustering and improved stability, aligning with the marked reduction in variability reported in Table 1.</w:t>
      </w:r>
    </w:p>
    <w:p w14:paraId="0AA9763B" w14:textId="6EFB3F0B" w:rsidR="00EC4A1A" w:rsidRDefault="00AB687B" w:rsidP="00AB687B">
      <w:r w:rsidRPr="007F67C8">
        <w:rPr>
          <w:b/>
          <w:bCs/>
        </w:rPr>
        <w:t>Abbreviations:</w:t>
      </w:r>
      <w:r w:rsidRPr="007F67C8">
        <w:t xml:space="preserve"> CV, coefficient of variation; SD, standard deviation; PPP, public–private partnership.</w:t>
      </w:r>
    </w:p>
    <w:sectPr w:rsidR="00EC4A1A" w:rsidSect="00AB687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87B"/>
    <w:rsid w:val="00142528"/>
    <w:rsid w:val="00AB687B"/>
    <w:rsid w:val="00AB68DE"/>
    <w:rsid w:val="00B23F97"/>
    <w:rsid w:val="00B450A4"/>
    <w:rsid w:val="00DC1976"/>
    <w:rsid w:val="00DD6EA1"/>
    <w:rsid w:val="00E1037A"/>
    <w:rsid w:val="00EC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7EFBA"/>
  <w15:chartTrackingRefBased/>
  <w15:docId w15:val="{808FD048-AD6F-4FA1-AA0B-CA8624F66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87B"/>
  </w:style>
  <w:style w:type="paragraph" w:styleId="Heading1">
    <w:name w:val="heading 1"/>
    <w:basedOn w:val="Normal"/>
    <w:next w:val="Normal"/>
    <w:link w:val="Heading1Char"/>
    <w:uiPriority w:val="9"/>
    <w:qFormat/>
    <w:rsid w:val="00AB68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8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68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68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68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68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68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8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8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68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8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68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68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68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68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68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68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68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68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6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68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68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68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8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68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68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68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68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68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5" Type="http://schemas.openxmlformats.org/officeDocument/2006/relationships/chartUserShapes" Target="../drawings/drawing2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Clinic</a:t>
            </a:r>
            <a:r>
              <a:rPr lang="en-US" baseline="0"/>
              <a:t> Workload VariabilityPre vs Post PPP Implementatiom </a:t>
            </a:r>
            <a:r>
              <a:rPr lang="en-US"/>
              <a:t> </a:t>
            </a:r>
          </a:p>
        </c:rich>
      </c:tx>
      <c:layout>
        <c:manualLayout>
          <c:xMode val="edge"/>
          <c:yMode val="edge"/>
          <c:x val="0.16187510936132984"/>
          <c:y val="4.62962962962962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7.3518024069885432E-2"/>
          <c:y val="0.13692929620910788"/>
          <c:w val="0.90344381898267034"/>
          <c:h val="0.57734780594880886"/>
        </c:manualLayout>
      </c:layout>
      <c:lineChart>
        <c:grouping val="standard"/>
        <c:varyColors val="0"/>
        <c:ser>
          <c:idx val="0"/>
          <c:order val="0"/>
          <c:tx>
            <c:strRef>
              <c:f>'6-2025'!$K$11</c:f>
              <c:strCache>
                <c:ptCount val="1"/>
                <c:pt idx="0">
                  <c:v>Chemotherapy 21 day Pre Implementation</c:v>
                </c:pt>
              </c:strCache>
            </c:strRef>
          </c:tx>
          <c:spPr>
            <a:ln w="28575" cap="rnd">
              <a:solidFill>
                <a:srgbClr val="C00000"/>
              </a:solidFill>
              <a:round/>
            </a:ln>
            <a:effectLst/>
          </c:spPr>
          <c:marker>
            <c:symbol val="square"/>
            <c:size val="8"/>
            <c:spPr>
              <a:solidFill>
                <a:srgbClr val="C00000"/>
              </a:solidFill>
              <a:ln w="9525"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 w="6350"/>
                <a:bevelB w="0"/>
              </a:sp3d>
            </c:spPr>
          </c:marker>
          <c:val>
            <c:numRef>
              <c:f>'6-2025'!$K$12:$K$32</c:f>
              <c:numCache>
                <c:formatCode>General</c:formatCode>
                <c:ptCount val="21"/>
                <c:pt idx="0">
                  <c:v>39</c:v>
                </c:pt>
                <c:pt idx="1">
                  <c:v>40</c:v>
                </c:pt>
                <c:pt idx="2">
                  <c:v>51</c:v>
                </c:pt>
                <c:pt idx="3">
                  <c:v>49</c:v>
                </c:pt>
                <c:pt idx="4">
                  <c:v>46</c:v>
                </c:pt>
                <c:pt idx="5">
                  <c:v>24</c:v>
                </c:pt>
                <c:pt idx="6">
                  <c:v>40</c:v>
                </c:pt>
                <c:pt idx="7">
                  <c:v>51</c:v>
                </c:pt>
                <c:pt idx="8">
                  <c:v>60</c:v>
                </c:pt>
                <c:pt idx="9">
                  <c:v>38</c:v>
                </c:pt>
                <c:pt idx="10">
                  <c:v>31</c:v>
                </c:pt>
                <c:pt idx="11">
                  <c:v>77</c:v>
                </c:pt>
                <c:pt idx="12">
                  <c:v>50</c:v>
                </c:pt>
                <c:pt idx="13">
                  <c:v>116</c:v>
                </c:pt>
                <c:pt idx="14">
                  <c:v>23</c:v>
                </c:pt>
                <c:pt idx="15">
                  <c:v>95</c:v>
                </c:pt>
                <c:pt idx="16">
                  <c:v>47</c:v>
                </c:pt>
                <c:pt idx="17">
                  <c:v>63</c:v>
                </c:pt>
                <c:pt idx="18">
                  <c:v>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C00-452C-A703-C96B56D91FC4}"/>
            </c:ext>
          </c:extLst>
        </c:ser>
        <c:ser>
          <c:idx val="1"/>
          <c:order val="1"/>
          <c:tx>
            <c:strRef>
              <c:f>'6-2025'!$L$11</c:f>
              <c:strCache>
                <c:ptCount val="1"/>
                <c:pt idx="0">
                  <c:v>Chemotherapy 21 day Post Implementation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>
              <a:softEdge rad="0"/>
            </a:effectLst>
          </c:spPr>
          <c:marker>
            <c:symbol val="square"/>
            <c:size val="8"/>
            <c:spPr>
              <a:solidFill>
                <a:schemeClr val="accent1"/>
              </a:solidFill>
              <a:ln w="9525">
                <a:noFill/>
              </a:ln>
              <a:effectLst>
                <a:softEdge rad="0"/>
              </a:effectLst>
            </c:spPr>
          </c:marker>
          <c:val>
            <c:numRef>
              <c:f>'6-2025'!$L$12:$L$32</c:f>
              <c:numCache>
                <c:formatCode>General</c:formatCode>
                <c:ptCount val="21"/>
                <c:pt idx="0">
                  <c:v>49</c:v>
                </c:pt>
                <c:pt idx="1">
                  <c:v>49</c:v>
                </c:pt>
                <c:pt idx="2">
                  <c:v>50</c:v>
                </c:pt>
                <c:pt idx="3">
                  <c:v>49</c:v>
                </c:pt>
                <c:pt idx="4">
                  <c:v>50</c:v>
                </c:pt>
                <c:pt idx="5">
                  <c:v>50</c:v>
                </c:pt>
                <c:pt idx="6">
                  <c:v>50</c:v>
                </c:pt>
                <c:pt idx="7">
                  <c:v>50</c:v>
                </c:pt>
                <c:pt idx="8">
                  <c:v>50</c:v>
                </c:pt>
                <c:pt idx="9">
                  <c:v>50</c:v>
                </c:pt>
                <c:pt idx="10">
                  <c:v>50</c:v>
                </c:pt>
                <c:pt idx="11">
                  <c:v>50</c:v>
                </c:pt>
                <c:pt idx="12">
                  <c:v>50</c:v>
                </c:pt>
                <c:pt idx="13">
                  <c:v>50</c:v>
                </c:pt>
                <c:pt idx="14">
                  <c:v>50</c:v>
                </c:pt>
                <c:pt idx="15">
                  <c:v>50</c:v>
                </c:pt>
                <c:pt idx="16">
                  <c:v>50</c:v>
                </c:pt>
                <c:pt idx="17">
                  <c:v>50</c:v>
                </c:pt>
                <c:pt idx="18">
                  <c:v>49</c:v>
                </c:pt>
                <c:pt idx="19">
                  <c:v>50</c:v>
                </c:pt>
                <c:pt idx="20">
                  <c:v>49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C00-452C-A703-C96B56D91F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64743135"/>
        <c:axId val="1664738815"/>
      </c:lineChart>
      <c:catAx>
        <c:axId val="1664743135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64738815"/>
        <c:crosses val="autoZero"/>
        <c:auto val="1"/>
        <c:lblAlgn val="ctr"/>
        <c:lblOffset val="100"/>
        <c:noMultiLvlLbl val="0"/>
      </c:catAx>
      <c:valAx>
        <c:axId val="1664738815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647431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rgbClr val="8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ayout>
        <c:manualLayout>
          <c:xMode val="edge"/>
          <c:yMode val="edge"/>
          <c:x val="0.11735696104941527"/>
          <c:y val="0.86700933517330947"/>
          <c:w val="0.82000170065134936"/>
          <c:h val="0.13299066482669047"/>
        </c:manualLayout>
      </c:layout>
      <c:overlay val="0"/>
      <c:spPr>
        <a:noFill/>
        <a:ln cmpd="sng"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  <c:userShapes r:id="rId5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Clinic Workload Variability Pre vs Post PPP Implementation  </a:t>
            </a:r>
            <a:r>
              <a:rPr lang="en-US" baseline="0"/>
              <a:t>  </a:t>
            </a:r>
            <a:endParaRPr lang="en-US"/>
          </a:p>
        </c:rich>
      </c:tx>
      <c:layout>
        <c:manualLayout>
          <c:xMode val="edge"/>
          <c:yMode val="edge"/>
          <c:x val="0.14946522309711285"/>
          <c:y val="5.0925925925925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'5-2024'!$J$2</c:f>
              <c:strCache>
                <c:ptCount val="1"/>
                <c:pt idx="0">
                  <c:v>Hormonal / Follow - up Pre Implementation</c:v>
                </c:pt>
              </c:strCache>
            </c:strRef>
          </c:tx>
          <c:spPr>
            <a:ln w="28575" cap="rnd">
              <a:solidFill>
                <a:srgbClr val="C00000"/>
              </a:solidFill>
              <a:round/>
            </a:ln>
            <a:effectLst/>
          </c:spPr>
          <c:marker>
            <c:symbol val="square"/>
            <c:size val="8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val>
            <c:numRef>
              <c:f>'5-2024'!$J$3:$J$27</c:f>
              <c:numCache>
                <c:formatCode>General</c:formatCode>
                <c:ptCount val="25"/>
                <c:pt idx="0">
                  <c:v>150</c:v>
                </c:pt>
                <c:pt idx="1">
                  <c:v>158</c:v>
                </c:pt>
                <c:pt idx="2">
                  <c:v>159</c:v>
                </c:pt>
                <c:pt idx="3">
                  <c:v>150</c:v>
                </c:pt>
                <c:pt idx="4">
                  <c:v>155</c:v>
                </c:pt>
                <c:pt idx="5">
                  <c:v>184</c:v>
                </c:pt>
                <c:pt idx="6">
                  <c:v>104</c:v>
                </c:pt>
                <c:pt idx="7">
                  <c:v>177</c:v>
                </c:pt>
                <c:pt idx="8">
                  <c:v>199</c:v>
                </c:pt>
                <c:pt idx="9">
                  <c:v>160</c:v>
                </c:pt>
                <c:pt idx="10">
                  <c:v>149</c:v>
                </c:pt>
                <c:pt idx="11">
                  <c:v>233</c:v>
                </c:pt>
                <c:pt idx="12">
                  <c:v>119</c:v>
                </c:pt>
                <c:pt idx="13">
                  <c:v>178</c:v>
                </c:pt>
                <c:pt idx="14">
                  <c:v>133</c:v>
                </c:pt>
                <c:pt idx="15">
                  <c:v>167</c:v>
                </c:pt>
                <c:pt idx="16">
                  <c:v>170</c:v>
                </c:pt>
                <c:pt idx="17">
                  <c:v>151</c:v>
                </c:pt>
                <c:pt idx="18">
                  <c:v>124</c:v>
                </c:pt>
                <c:pt idx="19">
                  <c:v>172</c:v>
                </c:pt>
                <c:pt idx="20">
                  <c:v>127</c:v>
                </c:pt>
                <c:pt idx="21">
                  <c:v>104</c:v>
                </c:pt>
                <c:pt idx="22">
                  <c:v>118</c:v>
                </c:pt>
                <c:pt idx="23">
                  <c:v>118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05A-490B-9AB4-75B33DBD26A0}"/>
            </c:ext>
          </c:extLst>
        </c:ser>
        <c:ser>
          <c:idx val="1"/>
          <c:order val="1"/>
          <c:tx>
            <c:strRef>
              <c:f>'5-2024'!$K$2</c:f>
              <c:strCache>
                <c:ptCount val="1"/>
                <c:pt idx="0">
                  <c:v>Hormonal / Follow - up Post Implementation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x"/>
            <c:size val="8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'5-2024'!$K$3:$K$27</c:f>
              <c:numCache>
                <c:formatCode>General</c:formatCode>
                <c:ptCount val="25"/>
                <c:pt idx="0">
                  <c:v>102</c:v>
                </c:pt>
                <c:pt idx="1">
                  <c:v>118</c:v>
                </c:pt>
                <c:pt idx="2">
                  <c:v>101</c:v>
                </c:pt>
                <c:pt idx="3">
                  <c:v>114</c:v>
                </c:pt>
                <c:pt idx="4">
                  <c:v>113</c:v>
                </c:pt>
                <c:pt idx="5">
                  <c:v>97</c:v>
                </c:pt>
                <c:pt idx="6">
                  <c:v>102</c:v>
                </c:pt>
                <c:pt idx="7">
                  <c:v>101</c:v>
                </c:pt>
                <c:pt idx="8">
                  <c:v>104</c:v>
                </c:pt>
                <c:pt idx="9">
                  <c:v>104</c:v>
                </c:pt>
                <c:pt idx="10">
                  <c:v>104</c:v>
                </c:pt>
                <c:pt idx="11">
                  <c:v>98</c:v>
                </c:pt>
                <c:pt idx="12">
                  <c:v>97</c:v>
                </c:pt>
                <c:pt idx="13">
                  <c:v>103</c:v>
                </c:pt>
                <c:pt idx="14">
                  <c:v>99</c:v>
                </c:pt>
                <c:pt idx="15">
                  <c:v>98</c:v>
                </c:pt>
                <c:pt idx="16">
                  <c:v>100</c:v>
                </c:pt>
                <c:pt idx="17">
                  <c:v>99</c:v>
                </c:pt>
                <c:pt idx="18">
                  <c:v>100</c:v>
                </c:pt>
                <c:pt idx="19">
                  <c:v>100</c:v>
                </c:pt>
                <c:pt idx="20">
                  <c:v>98</c:v>
                </c:pt>
                <c:pt idx="21">
                  <c:v>100</c:v>
                </c:pt>
                <c:pt idx="22">
                  <c:v>101</c:v>
                </c:pt>
                <c:pt idx="23">
                  <c:v>97</c:v>
                </c:pt>
                <c:pt idx="24">
                  <c:v>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05A-490B-9AB4-75B33DBD26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18829568"/>
        <c:axId val="618827648"/>
      </c:lineChart>
      <c:catAx>
        <c:axId val="61882956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18827648"/>
        <c:crosses val="autoZero"/>
        <c:auto val="1"/>
        <c:lblAlgn val="ctr"/>
        <c:lblOffset val="100"/>
        <c:noMultiLvlLbl val="0"/>
      </c:catAx>
      <c:valAx>
        <c:axId val="6188276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18829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0.12828</cdr:x>
      <cdr:y>0.09588</cdr:y>
    </cdr:to>
    <cdr:sp macro="" textlink="">
      <cdr:nvSpPr>
        <cdr:cNvPr id="2" name="Rectangle: Rounded Corners 1"/>
        <cdr:cNvSpPr/>
      </cdr:nvSpPr>
      <cdr:spPr>
        <a:xfrm xmlns:a="http://schemas.openxmlformats.org/drawingml/2006/main">
          <a:off x="0" y="0"/>
          <a:ext cx="590550" cy="295286"/>
        </a:xfrm>
        <a:prstGeom xmlns:a="http://schemas.openxmlformats.org/drawingml/2006/main" prst="roundRect">
          <a:avLst/>
        </a:prstGeom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2">
          <a:schemeClr val="accent6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6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pPr marL="0" marR="0" algn="ctr">
            <a:lnSpc>
              <a:spcPct val="115000"/>
            </a:lnSpc>
            <a:spcAft>
              <a:spcPts val="800"/>
            </a:spcAft>
            <a:buNone/>
          </a:pPr>
          <a:r>
            <a:rPr lang="en-US" sz="1200" b="1" kern="100">
              <a:effectLst/>
              <a:ea typeface="Aptos" panose="020B0004020202020204" pitchFamily="34" charset="0"/>
              <a:cs typeface="Arial" panose="020B0604020202020204" pitchFamily="34" charset="0"/>
            </a:rPr>
            <a:t>S-1B</a:t>
          </a:r>
          <a:endParaRPr lang="en-US" sz="1200" kern="100">
            <a:effectLst/>
            <a:ea typeface="Aptos" panose="020B00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0.01111</cdr:x>
      <cdr:y>0.01852</cdr:y>
    </cdr:from>
    <cdr:to>
      <cdr:x>0.12292</cdr:x>
      <cdr:y>0.12616</cdr:y>
    </cdr:to>
    <cdr:sp macro="" textlink="">
      <cdr:nvSpPr>
        <cdr:cNvPr id="2" name="Rectangle: Rounded Corners 1"/>
        <cdr:cNvSpPr/>
      </cdr:nvSpPr>
      <cdr:spPr>
        <a:xfrm xmlns:a="http://schemas.openxmlformats.org/drawingml/2006/main">
          <a:off x="50795" y="50804"/>
          <a:ext cx="511180" cy="295278"/>
        </a:xfrm>
        <a:prstGeom xmlns:a="http://schemas.openxmlformats.org/drawingml/2006/main" prst="roundRect">
          <a:avLst/>
        </a:prstGeom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2">
          <a:schemeClr val="accent6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6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algn="ctr">
            <a:lnSpc>
              <a:spcPct val="115000"/>
            </a:lnSpc>
            <a:spcAft>
              <a:spcPts val="800"/>
            </a:spcAft>
            <a:buNone/>
          </a:pPr>
          <a:r>
            <a:rPr lang="en-US" sz="1200" b="1" kern="100">
              <a:effectLst/>
              <a:ea typeface="Aptos" panose="020B0004020202020204" pitchFamily="34" charset="0"/>
              <a:cs typeface="Arial" panose="020B0604020202020204" pitchFamily="34" charset="0"/>
            </a:rPr>
            <a:t>S-1C</a:t>
          </a:r>
          <a:endParaRPr lang="en-US" sz="1200" kern="100">
            <a:effectLst/>
            <a:ea typeface="Aptos" panose="020B00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Emad Shash</dc:creator>
  <cp:keywords/>
  <dc:description/>
  <cp:lastModifiedBy>Emad Shash</cp:lastModifiedBy>
  <cp:revision>1</cp:revision>
  <dcterms:created xsi:type="dcterms:W3CDTF">2026-01-12T06:03:00Z</dcterms:created>
  <dcterms:modified xsi:type="dcterms:W3CDTF">2026-01-12T06:04:00Z</dcterms:modified>
</cp:coreProperties>
</file>