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line="276" w:lineRule="auto" w:after="120"/>
      </w:pPr>
      <w:r>
        <w:rPr>
          <w:rFonts w:ascii="Arial" w:hAnsi="Arial"/>
          <w:sz w:val="22"/>
        </w:rPr>
        <w:t>BMC Pulmonary Medicine Submission Metadata - Copy/Paste</w:t>
      </w:r>
    </w:p>
    <w:p>
      <w:pPr>
        <w:pStyle w:val="Heading2"/>
        <w:spacing w:line="276" w:lineRule="auto" w:after="120"/>
      </w:pPr>
      <w:r>
        <w:rPr>
          <w:rFonts w:ascii="Arial" w:hAnsi="Arial"/>
          <w:sz w:val="22"/>
        </w:rPr>
        <w:t>Journal</w:t>
      </w:r>
    </w:p>
    <w:p>
      <w:pPr>
        <w:spacing w:line="276" w:lineRule="auto" w:after="120"/>
      </w:pPr>
      <w:r>
        <w:rPr>
          <w:rFonts w:ascii="Arial" w:hAnsi="Arial"/>
          <w:sz w:val="22"/>
        </w:rPr>
        <w:t>BMC Pulmonary Medicine</w:t>
      </w:r>
    </w:p>
    <w:p>
      <w:pPr>
        <w:pStyle w:val="Heading2"/>
        <w:spacing w:line="276" w:lineRule="auto" w:after="120"/>
      </w:pPr>
      <w:r>
        <w:rPr>
          <w:rFonts w:ascii="Arial" w:hAnsi="Arial"/>
          <w:sz w:val="22"/>
        </w:rPr>
        <w:t>Article type</w:t>
      </w:r>
    </w:p>
    <w:p>
      <w:pPr>
        <w:spacing w:line="276" w:lineRule="auto" w:after="120"/>
      </w:pPr>
      <w:r>
        <w:rPr>
          <w:rFonts w:ascii="Arial" w:hAnsi="Arial"/>
          <w:sz w:val="22"/>
        </w:rPr>
        <w:t>Research article</w:t>
      </w:r>
    </w:p>
    <w:p>
      <w:pPr>
        <w:pStyle w:val="Heading2"/>
        <w:spacing w:line="276" w:lineRule="auto" w:after="120"/>
      </w:pPr>
      <w:r>
        <w:rPr>
          <w:rFonts w:ascii="Arial" w:hAnsi="Arial"/>
          <w:sz w:val="22"/>
        </w:rPr>
        <w:t>Title</w:t>
      </w:r>
    </w:p>
    <w:p>
      <w:pPr>
        <w:spacing w:line="276" w:lineRule="auto" w:after="120"/>
      </w:pPr>
      <w:r>
        <w:rPr>
          <w:rFonts w:ascii="Arial" w:hAnsi="Arial"/>
          <w:sz w:val="22"/>
        </w:rPr>
        <w:t>Nocturnal Hypoxemia and Glycemic Status in Adults with Obstructive Sleep Apnea: A Retrospective Pulmonary Sleep Cohort with Positive Airway Pressure Titration Data</w:t>
      </w:r>
    </w:p>
    <w:p>
      <w:pPr>
        <w:pStyle w:val="Heading2"/>
        <w:spacing w:line="276" w:lineRule="auto" w:after="120"/>
      </w:pPr>
      <w:r>
        <w:rPr>
          <w:rFonts w:ascii="Arial" w:hAnsi="Arial"/>
          <w:sz w:val="22"/>
        </w:rPr>
        <w:t>Authors</w:t>
      </w:r>
    </w:p>
    <w:p>
      <w:pPr>
        <w:spacing w:line="276" w:lineRule="auto" w:after="120"/>
      </w:pPr>
      <w:r>
        <w:rPr>
          <w:rFonts w:ascii="Arial" w:hAnsi="Arial"/>
          <w:sz w:val="22"/>
        </w:rPr>
        <w:t>Zafer Hasan Ali SAK; Faruk SUZERGOZ</w:t>
      </w:r>
    </w:p>
    <w:p>
      <w:pPr>
        <w:pStyle w:val="Heading2"/>
        <w:spacing w:line="276" w:lineRule="auto" w:after="120"/>
      </w:pPr>
      <w:r>
        <w:rPr>
          <w:rFonts w:ascii="Arial" w:hAnsi="Arial"/>
          <w:sz w:val="22"/>
        </w:rPr>
        <w:t>Corresponding author</w:t>
      </w:r>
    </w:p>
    <w:p>
      <w:pPr>
        <w:spacing w:line="276" w:lineRule="auto" w:after="120"/>
      </w:pPr>
      <w:r>
        <w:rPr>
          <w:rFonts w:ascii="Arial" w:hAnsi="Arial"/>
          <w:sz w:val="22"/>
        </w:rPr>
        <w:t>Zafer Hasan Ali SAK, MD; drsak19@gmail.com; Harran University Faculty of Medicine, Department of Chest Diseases; ORCID 0000-0002-2388-2259</w:t>
      </w:r>
    </w:p>
    <w:p>
      <w:pPr>
        <w:pStyle w:val="Heading2"/>
        <w:spacing w:line="276" w:lineRule="auto" w:after="120"/>
      </w:pPr>
      <w:r>
        <w:rPr>
          <w:rFonts w:ascii="Arial" w:hAnsi="Arial"/>
          <w:sz w:val="22"/>
        </w:rPr>
        <w:t>Keywords</w:t>
      </w:r>
    </w:p>
    <w:p>
      <w:pPr>
        <w:spacing w:line="276" w:lineRule="auto" w:after="120"/>
      </w:pPr>
      <w:r>
        <w:rPr>
          <w:rFonts w:ascii="Arial" w:hAnsi="Arial"/>
          <w:sz w:val="22"/>
        </w:rPr>
        <w:t>obstructive sleep apnea; oxygen desaturation index; nocturnal hypoxemia; glycemia; prediabetes; diabetes; positive airway pressure</w:t>
      </w:r>
    </w:p>
    <w:p>
      <w:pPr>
        <w:pStyle w:val="Heading2"/>
        <w:spacing w:line="276" w:lineRule="auto" w:after="120"/>
      </w:pPr>
      <w:r>
        <w:rPr>
          <w:rFonts w:ascii="Arial" w:hAnsi="Arial"/>
          <w:sz w:val="22"/>
        </w:rPr>
        <w:t>Abstract</w:t>
      </w:r>
    </w:p>
    <w:p>
      <w:pPr>
        <w:spacing w:line="276" w:lineRule="auto" w:after="120"/>
      </w:pPr>
      <w:r>
        <w:rPr>
          <w:rFonts w:ascii="Arial" w:hAnsi="Arial"/>
          <w:sz w:val="22"/>
        </w:rPr>
        <w:t>Background: Obstructive sleep apnea (OSA) and dysglycemia frequently coexist, but pulmonary sleep risk is not always captured by the apnea-hypopnea index (AHI) alone. Because nocturnal hypoxemia may be more closely linked to metabolic stress, we evaluated the relationship between glycemic status and oxygen desaturation burden in a real-world adult OSA cohort.</w:t>
        <w:br/>
        <w:t>Methods: This retrospective observational study included adults evaluated in a tertiary pulmonary sleep laboratory between 2018 and 2020. Diagnostic polysomnography (PSG), capillary glucose measurements before and after PSG, and positive airway pressure (PAP) titration data when available were extracted. OSA was defined as AHI &gt;=5 events/h. Patients were classified as normoglycemic, prediabetic, or diabetic using American Diabetes Association glucose thresholds and documented diabetes. Between-group comparisons, paired PSG-to-titration analyses, Spearman correlations, and exploratory multivariable models were performed.</w:t>
        <w:br/>
        <w:t>Results: Of 438 screened patients, 420 met OSA criteria and were analyzed (normoglycemia n=193, prediabetes n=139, diabetes n=88). ODI increased stepwise across glycemic strata (median [IQR] 22.1 [10.2-47.2], 31.7 [15.1-67.3], and 37.9 [21.1-85.0] events/h; p&lt;0.001). AHI also differed across groups (32.5 [17.3-53.3], 39.7 [21.4-66.6], and 42.0 [23.8-79.3] events/h; p=0.010). Post-PSG fasting glucose correlated with ODI (rho=0.237; p&lt;0.001) more strongly than with AHI (rho=0.151; p=0.002). In available titration data, PAP reduced median AHI from 53.1 to 3.7 events/h (n=165) and median ODI from 44.2 to 7.6 events/h (n=205) (both p&lt;0.001). Residual titration AHI and ODI did not differ significantly by glycemic group. In adjusted exploratory analysis, diabetes remained associated with higher ODI after accounting for age, body mass index, and AHI.</w:t>
        <w:br/>
        <w:t>Conclusions: In adults with OSA, worsening glycemic status was associated with greater nocturnal hypoxemia and higher AHI, with ODI showing the stronger glucose relationship. Effective PAP titration markedly reduced respiratory events and desaturation across glycemic strata. Incorporating hypoxemia metrics may improve pulmonary sleep phenotyping and cardiometabolic risk recognition in OSA.</w:t>
      </w:r>
    </w:p>
    <w:p>
      <w:pPr>
        <w:pStyle w:val="Heading2"/>
        <w:spacing w:line="276" w:lineRule="auto" w:after="120"/>
      </w:pPr>
      <w:r>
        <w:rPr>
          <w:rFonts w:ascii="Arial" w:hAnsi="Arial"/>
          <w:sz w:val="22"/>
        </w:rPr>
        <w:t>Ethics approval and consent to participate</w:t>
      </w:r>
    </w:p>
    <w:p>
      <w:pPr>
        <w:spacing w:line="276" w:lineRule="auto" w:after="120"/>
      </w:pPr>
      <w:r>
        <w:rPr>
          <w:rFonts w:ascii="Arial" w:hAnsi="Arial"/>
          <w:sz w:val="22"/>
        </w:rPr>
        <w:t>Ethical approval was obtained from the Harran University Faculty of Medicine Ethics Committee (Decision No. 18/12/31; meeting date: 10 December 2018). The need for informed consent was waived by the ethics committee because this was a retrospective analysis of de-identified routine clinical records.</w:t>
      </w:r>
    </w:p>
    <w:p>
      <w:pPr>
        <w:pStyle w:val="Heading2"/>
        <w:spacing w:line="276" w:lineRule="auto" w:after="120"/>
      </w:pPr>
      <w:r>
        <w:rPr>
          <w:rFonts w:ascii="Arial" w:hAnsi="Arial"/>
          <w:sz w:val="22"/>
        </w:rPr>
        <w:t>Consent for publication</w:t>
      </w:r>
    </w:p>
    <w:p>
      <w:pPr>
        <w:spacing w:line="276" w:lineRule="auto" w:after="120"/>
      </w:pPr>
      <w:r>
        <w:rPr>
          <w:rFonts w:ascii="Arial" w:hAnsi="Arial"/>
          <w:sz w:val="22"/>
        </w:rPr>
        <w:t>Not applicable.</w:t>
      </w:r>
    </w:p>
    <w:p>
      <w:pPr>
        <w:pStyle w:val="Heading2"/>
        <w:spacing w:line="276" w:lineRule="auto" w:after="120"/>
      </w:pPr>
      <w:r>
        <w:rPr>
          <w:rFonts w:ascii="Arial" w:hAnsi="Arial"/>
          <w:sz w:val="22"/>
        </w:rPr>
        <w:t>Availability of data and materials</w:t>
      </w:r>
    </w:p>
    <w:p>
      <w:pPr>
        <w:spacing w:line="276" w:lineRule="auto" w:after="120"/>
      </w:pPr>
      <w:r>
        <w:rPr>
          <w:rFonts w:ascii="Arial" w:hAnsi="Arial"/>
          <w:sz w:val="22"/>
        </w:rPr>
        <w:t>The datasets generated and/or analysed during the current study are not publicly available because they contain clinical record data subject to institutional and privacy restrictions, but de-identified data may be available from the corresponding author on reasonable request and with appropriate institutional approvals.</w:t>
      </w:r>
    </w:p>
    <w:p>
      <w:pPr>
        <w:pStyle w:val="Heading2"/>
        <w:spacing w:line="276" w:lineRule="auto" w:after="120"/>
      </w:pPr>
      <w:r>
        <w:rPr>
          <w:rFonts w:ascii="Arial" w:hAnsi="Arial"/>
          <w:sz w:val="22"/>
        </w:rPr>
        <w:t>Competing interests</w:t>
      </w:r>
    </w:p>
    <w:p>
      <w:pPr>
        <w:spacing w:line="276" w:lineRule="auto" w:after="120"/>
      </w:pPr>
      <w:r>
        <w:rPr>
          <w:rFonts w:ascii="Arial" w:hAnsi="Arial"/>
          <w:sz w:val="22"/>
        </w:rPr>
        <w:t>The authors declare that they have no competing interests.</w:t>
      </w:r>
    </w:p>
    <w:p>
      <w:pPr>
        <w:pStyle w:val="Heading2"/>
        <w:spacing w:line="276" w:lineRule="auto" w:after="120"/>
      </w:pPr>
      <w:r>
        <w:rPr>
          <w:rFonts w:ascii="Arial" w:hAnsi="Arial"/>
          <w:sz w:val="22"/>
        </w:rPr>
        <w:t>Funding</w:t>
      </w:r>
    </w:p>
    <w:p>
      <w:pPr>
        <w:spacing w:line="276" w:lineRule="auto" w:after="120"/>
      </w:pPr>
      <w:r>
        <w:rPr>
          <w:rFonts w:ascii="Arial" w:hAnsi="Arial"/>
          <w:sz w:val="22"/>
        </w:rPr>
        <w:t>This research received no specific grant from any funding agency in the public, commercial, or not-for-profit sectors.</w:t>
      </w:r>
    </w:p>
    <w:p>
      <w:pPr>
        <w:pStyle w:val="Heading2"/>
        <w:spacing w:line="276" w:lineRule="auto" w:after="120"/>
      </w:pPr>
      <w:r>
        <w:rPr>
          <w:rFonts w:ascii="Arial" w:hAnsi="Arial"/>
          <w:sz w:val="22"/>
        </w:rPr>
        <w:t>Authors' contributions</w:t>
      </w:r>
    </w:p>
    <w:p>
      <w:pPr>
        <w:spacing w:line="276" w:lineRule="auto" w:after="120"/>
      </w:pPr>
      <w:r>
        <w:rPr>
          <w:rFonts w:ascii="Arial" w:hAnsi="Arial"/>
          <w:sz w:val="22"/>
        </w:rPr>
        <w:t>ZHAS conceived the study, collected and curated clinical data, supervised the project, interpreted results, and drafted the manuscript. FS contributed to study design, methodology, statistical analysis, interpretation of results, and critical revision of the manuscript. Both authors read and approved the final manuscript.</w:t>
      </w:r>
    </w:p>
    <w:p>
      <w:pPr>
        <w:pStyle w:val="Heading2"/>
        <w:spacing w:line="276" w:lineRule="auto" w:after="120"/>
      </w:pPr>
      <w:r>
        <w:rPr>
          <w:rFonts w:ascii="Arial" w:hAnsi="Arial"/>
          <w:sz w:val="22"/>
        </w:rPr>
        <w:t>Acknowledgements</w:t>
      </w:r>
    </w:p>
    <w:p>
      <w:pPr>
        <w:spacing w:line="276" w:lineRule="auto" w:after="120"/>
      </w:pPr>
      <w:r>
        <w:rPr>
          <w:rFonts w:ascii="Arial" w:hAnsi="Arial"/>
          <w:sz w:val="22"/>
        </w:rPr>
        <w:t>The authors thank the sleep laboratory staff for their assistance with routine clinical data collection and patient care.</w:t>
      </w:r>
    </w:p>
    <w:sectPr w:rsidR="00FC693F" w:rsidRPr="0006063C" w:rsidSect="00034616">
      <w:footerReference w:type="default" r:id="rId9"/>
      <w:pgSz w:w="12240" w:h="15840"/>
      <w:pgMar w:top="1247" w:right="1247" w:bottom="1247" w:left="1247" w:header="720" w:footer="720" w:gutter="0"/>
      <w:cols w:space="720"/>
      <w:docGrid w:linePitch="360"/>
      <w:lnNumType w:countBy="1" w:restart="continuou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rPr>
      <w:rFonts w:ascii="Arial" w:hAnsi="Arial"/>
      <w:sz w:val="22"/>
    </w:r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