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0B5BD" w14:textId="77777777" w:rsidR="000D1321" w:rsidRDefault="000D1321" w:rsidP="000D1321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 Table 1. Network Stability and Accuracy Indices</w:t>
      </w:r>
    </w:p>
    <w:tbl>
      <w:tblPr>
        <w:tblStyle w:val="GridTable5Dark-Accent41"/>
        <w:tblW w:w="0" w:type="auto"/>
        <w:tblLook w:val="04A0" w:firstRow="1" w:lastRow="0" w:firstColumn="1" w:lastColumn="0" w:noHBand="0" w:noVBand="1"/>
      </w:tblPr>
      <w:tblGrid>
        <w:gridCol w:w="2472"/>
        <w:gridCol w:w="733"/>
        <w:gridCol w:w="2383"/>
      </w:tblGrid>
      <w:tr w:rsidR="000D1321" w14:paraId="5D41B0D9" w14:textId="77777777" w:rsidTr="00697B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E8D67F" w14:textId="77777777" w:rsidR="000D1321" w:rsidRDefault="000D1321" w:rsidP="00697B85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Metric</w:t>
            </w:r>
          </w:p>
        </w:tc>
        <w:tc>
          <w:tcPr>
            <w:tcW w:w="0" w:type="auto"/>
          </w:tcPr>
          <w:p w14:paraId="5479A0E0" w14:textId="77777777" w:rsidR="000D1321" w:rsidRDefault="000D1321" w:rsidP="00697B85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Value</w:t>
            </w:r>
          </w:p>
        </w:tc>
        <w:tc>
          <w:tcPr>
            <w:tcW w:w="0" w:type="auto"/>
          </w:tcPr>
          <w:p w14:paraId="591D89F0" w14:textId="77777777" w:rsidR="000D1321" w:rsidRDefault="000D1321" w:rsidP="00697B85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Interpretation</w:t>
            </w:r>
          </w:p>
        </w:tc>
      </w:tr>
      <w:tr w:rsidR="000D1321" w14:paraId="5789C983" w14:textId="77777777" w:rsidTr="00697B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2A6DEB" w14:textId="77777777" w:rsidR="000D1321" w:rsidRDefault="000D1321" w:rsidP="00697B85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CS-coefficient (Strength)</w:t>
            </w:r>
          </w:p>
        </w:tc>
        <w:tc>
          <w:tcPr>
            <w:tcW w:w="0" w:type="auto"/>
            <w:shd w:val="clear" w:color="auto" w:fill="95DCF7" w:themeFill="accent4" w:themeFillTint="66"/>
          </w:tcPr>
          <w:p w14:paraId="42C7983A" w14:textId="77777777" w:rsidR="000D1321" w:rsidRDefault="000D1321" w:rsidP="00697B8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0.75</w:t>
            </w:r>
          </w:p>
        </w:tc>
        <w:tc>
          <w:tcPr>
            <w:tcW w:w="0" w:type="auto"/>
            <w:shd w:val="clear" w:color="auto" w:fill="95DCF7" w:themeFill="accent4" w:themeFillTint="66"/>
          </w:tcPr>
          <w:p w14:paraId="7E27CA53" w14:textId="77777777" w:rsidR="000D1321" w:rsidRDefault="000D1321" w:rsidP="00697B8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Excellent stability</w:t>
            </w:r>
          </w:p>
        </w:tc>
      </w:tr>
      <w:tr w:rsidR="000D1321" w14:paraId="0184B2A8" w14:textId="77777777" w:rsidTr="00697B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048E10" w14:textId="77777777" w:rsidR="000D1321" w:rsidRDefault="000D1321" w:rsidP="00697B85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Max case-drop proportion</w:t>
            </w:r>
          </w:p>
        </w:tc>
        <w:tc>
          <w:tcPr>
            <w:tcW w:w="0" w:type="auto"/>
          </w:tcPr>
          <w:p w14:paraId="35CAF619" w14:textId="77777777" w:rsidR="000D1321" w:rsidRDefault="000D1321" w:rsidP="00697B8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75.1%</w:t>
            </w:r>
          </w:p>
        </w:tc>
        <w:tc>
          <w:tcPr>
            <w:tcW w:w="0" w:type="auto"/>
          </w:tcPr>
          <w:p w14:paraId="464FE157" w14:textId="77777777" w:rsidR="000D1321" w:rsidRDefault="000D1321" w:rsidP="00697B8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Robust centrality estimates</w:t>
            </w:r>
          </w:p>
        </w:tc>
      </w:tr>
      <w:tr w:rsidR="000D1321" w14:paraId="7DCD64A5" w14:textId="77777777" w:rsidTr="00697B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C687A9" w14:textId="77777777" w:rsidR="000D1321" w:rsidRDefault="000D1321" w:rsidP="00697B85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Bootstrap iterations</w:t>
            </w:r>
          </w:p>
        </w:tc>
        <w:tc>
          <w:tcPr>
            <w:tcW w:w="0" w:type="auto"/>
            <w:shd w:val="clear" w:color="auto" w:fill="95DCF7" w:themeFill="accent4" w:themeFillTint="66"/>
          </w:tcPr>
          <w:p w14:paraId="0D4F33D1" w14:textId="77777777" w:rsidR="000D1321" w:rsidRDefault="000D1321" w:rsidP="00697B8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2,000</w:t>
            </w:r>
          </w:p>
        </w:tc>
        <w:tc>
          <w:tcPr>
            <w:tcW w:w="0" w:type="auto"/>
            <w:shd w:val="clear" w:color="auto" w:fill="95DCF7" w:themeFill="accent4" w:themeFillTint="66"/>
          </w:tcPr>
          <w:p w14:paraId="32839A90" w14:textId="77777777" w:rsidR="000D1321" w:rsidRDefault="000D1321" w:rsidP="00697B8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 precision</w:t>
            </w:r>
          </w:p>
        </w:tc>
      </w:tr>
    </w:tbl>
    <w:p w14:paraId="4B9B0214" w14:textId="77777777" w:rsidR="000D1321" w:rsidRDefault="000D1321" w:rsidP="000D1321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14ABA816" w14:textId="77777777" w:rsidR="000D1321" w:rsidRDefault="000D1321" w:rsidP="000D1321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 Table 2 Age-Based Network Comparison Test Results</w:t>
      </w:r>
    </w:p>
    <w:tbl>
      <w:tblPr>
        <w:tblStyle w:val="GridTable5Dark-Accent41"/>
        <w:tblW w:w="9351" w:type="dxa"/>
        <w:tblLook w:val="04A0" w:firstRow="1" w:lastRow="0" w:firstColumn="1" w:lastColumn="0" w:noHBand="0" w:noVBand="1"/>
      </w:tblPr>
      <w:tblGrid>
        <w:gridCol w:w="3543"/>
        <w:gridCol w:w="1186"/>
        <w:gridCol w:w="1114"/>
        <w:gridCol w:w="3508"/>
      </w:tblGrid>
      <w:tr w:rsidR="000D1321" w14:paraId="076E26CF" w14:textId="77777777" w:rsidTr="00697B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5C2046" w14:textId="77777777" w:rsidR="000D1321" w:rsidRDefault="000D1321" w:rsidP="00697B85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0" w:type="auto"/>
          </w:tcPr>
          <w:p w14:paraId="214ECD76" w14:textId="77777777" w:rsidR="000D1321" w:rsidRDefault="000D1321" w:rsidP="00697B85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Statistic</w:t>
            </w:r>
          </w:p>
        </w:tc>
        <w:tc>
          <w:tcPr>
            <w:tcW w:w="0" w:type="auto"/>
          </w:tcPr>
          <w:p w14:paraId="672CEBE6" w14:textId="77777777" w:rsidR="000D1321" w:rsidRDefault="000D1321" w:rsidP="00697B85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p-value</w:t>
            </w:r>
          </w:p>
        </w:tc>
        <w:tc>
          <w:tcPr>
            <w:tcW w:w="0" w:type="auto"/>
          </w:tcPr>
          <w:p w14:paraId="4162D40F" w14:textId="77777777" w:rsidR="000D1321" w:rsidRDefault="000D1321" w:rsidP="00697B85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Interpretation</w:t>
            </w:r>
          </w:p>
        </w:tc>
      </w:tr>
      <w:tr w:rsidR="000D1321" w14:paraId="38D97B80" w14:textId="77777777" w:rsidTr="00697B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D38122" w14:textId="77777777" w:rsidR="000D1321" w:rsidRDefault="000D1321" w:rsidP="00697B85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Global strength difference</w:t>
            </w:r>
          </w:p>
        </w:tc>
        <w:tc>
          <w:tcPr>
            <w:tcW w:w="0" w:type="auto"/>
            <w:shd w:val="clear" w:color="auto" w:fill="95DCF7" w:themeFill="accent4" w:themeFillTint="66"/>
          </w:tcPr>
          <w:p w14:paraId="780DB616" w14:textId="77777777" w:rsidR="000D1321" w:rsidRDefault="000D1321" w:rsidP="00697B8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  <w:shd w:val="clear" w:color="auto" w:fill="95DCF7" w:themeFill="accent4" w:themeFillTint="66"/>
          </w:tcPr>
          <w:p w14:paraId="410F67CC" w14:textId="77777777" w:rsidR="000D1321" w:rsidRDefault="000D1321" w:rsidP="00697B8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0.352</w:t>
            </w:r>
          </w:p>
        </w:tc>
        <w:tc>
          <w:tcPr>
            <w:tcW w:w="0" w:type="auto"/>
            <w:shd w:val="clear" w:color="auto" w:fill="95DCF7" w:themeFill="accent4" w:themeFillTint="66"/>
          </w:tcPr>
          <w:p w14:paraId="070DD60E" w14:textId="77777777" w:rsidR="000D1321" w:rsidRDefault="000D1321" w:rsidP="00697B8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significant</w:t>
            </w:r>
          </w:p>
        </w:tc>
      </w:tr>
      <w:tr w:rsidR="000D1321" w14:paraId="26187420" w14:textId="77777777" w:rsidTr="00697B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63C1FC" w14:textId="77777777" w:rsidR="000D1321" w:rsidRDefault="000D1321" w:rsidP="00697B85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Network structure difference</w:t>
            </w:r>
          </w:p>
        </w:tc>
        <w:tc>
          <w:tcPr>
            <w:tcW w:w="0" w:type="auto"/>
          </w:tcPr>
          <w:p w14:paraId="301583EA" w14:textId="77777777" w:rsidR="000D1321" w:rsidRDefault="000D1321" w:rsidP="00697B8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</w:tcPr>
          <w:p w14:paraId="447277A8" w14:textId="77777777" w:rsidR="000D1321" w:rsidRDefault="000D1321" w:rsidP="00697B8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&gt;0.05</w:t>
            </w:r>
          </w:p>
        </w:tc>
        <w:tc>
          <w:tcPr>
            <w:tcW w:w="0" w:type="auto"/>
          </w:tcPr>
          <w:p w14:paraId="76654517" w14:textId="77777777" w:rsidR="000D1321" w:rsidRDefault="000D1321" w:rsidP="00697B8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global structural difference</w:t>
            </w:r>
          </w:p>
        </w:tc>
      </w:tr>
    </w:tbl>
    <w:p w14:paraId="132BB157" w14:textId="77777777" w:rsidR="000D1321" w:rsidRDefault="000D1321" w:rsidP="000D1321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 Table 3. Node Strength Differences Between Age Groups (NCT)</w:t>
      </w:r>
    </w:p>
    <w:tbl>
      <w:tblPr>
        <w:tblStyle w:val="GridTable5Dark-Accent41"/>
        <w:tblW w:w="0" w:type="auto"/>
        <w:tblLook w:val="04A0" w:firstRow="1" w:lastRow="0" w:firstColumn="1" w:lastColumn="0" w:noHBand="0" w:noVBand="1"/>
      </w:tblPr>
      <w:tblGrid>
        <w:gridCol w:w="1039"/>
        <w:gridCol w:w="850"/>
        <w:gridCol w:w="1438"/>
      </w:tblGrid>
      <w:tr w:rsidR="000D1321" w14:paraId="2133C509" w14:textId="77777777" w:rsidTr="00697B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3F158C" w14:textId="77777777" w:rsidR="000D1321" w:rsidRDefault="000D1321" w:rsidP="00697B85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Symptom</w:t>
            </w:r>
          </w:p>
        </w:tc>
        <w:tc>
          <w:tcPr>
            <w:tcW w:w="0" w:type="auto"/>
          </w:tcPr>
          <w:p w14:paraId="252A6584" w14:textId="77777777" w:rsidR="000D1321" w:rsidRDefault="000D1321" w:rsidP="00697B85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p-value</w:t>
            </w:r>
          </w:p>
        </w:tc>
        <w:tc>
          <w:tcPr>
            <w:tcW w:w="0" w:type="auto"/>
          </w:tcPr>
          <w:p w14:paraId="668541A2" w14:textId="77777777" w:rsidR="000D1321" w:rsidRDefault="000D1321" w:rsidP="00697B85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Interpretation</w:t>
            </w:r>
          </w:p>
        </w:tc>
      </w:tr>
      <w:tr w:rsidR="000D1321" w14:paraId="3D16D55D" w14:textId="77777777" w:rsidTr="00697B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1AB44C" w14:textId="77777777" w:rsidR="000D1321" w:rsidRDefault="000D1321" w:rsidP="00697B85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anx1</w:t>
            </w:r>
          </w:p>
        </w:tc>
        <w:tc>
          <w:tcPr>
            <w:tcW w:w="0" w:type="auto"/>
            <w:shd w:val="clear" w:color="auto" w:fill="95DCF7" w:themeFill="accent4" w:themeFillTint="66"/>
          </w:tcPr>
          <w:p w14:paraId="4D83B322" w14:textId="77777777" w:rsidR="000D1321" w:rsidRDefault="000D1321" w:rsidP="00697B8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0.597</w:t>
            </w:r>
          </w:p>
        </w:tc>
        <w:tc>
          <w:tcPr>
            <w:tcW w:w="0" w:type="auto"/>
            <w:shd w:val="clear" w:color="auto" w:fill="95DCF7" w:themeFill="accent4" w:themeFillTint="66"/>
          </w:tcPr>
          <w:p w14:paraId="507BEBED" w14:textId="77777777" w:rsidR="000D1321" w:rsidRDefault="000D1321" w:rsidP="00697B8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</w:tr>
      <w:tr w:rsidR="000D1321" w14:paraId="2CBB60EE" w14:textId="77777777" w:rsidTr="00697B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042AB3" w14:textId="77777777" w:rsidR="000D1321" w:rsidRDefault="000D1321" w:rsidP="00697B85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anx2</w:t>
            </w:r>
          </w:p>
        </w:tc>
        <w:tc>
          <w:tcPr>
            <w:tcW w:w="0" w:type="auto"/>
          </w:tcPr>
          <w:p w14:paraId="2AE6EDAB" w14:textId="77777777" w:rsidR="000D1321" w:rsidRDefault="000D1321" w:rsidP="00697B8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0.831</w:t>
            </w:r>
          </w:p>
        </w:tc>
        <w:tc>
          <w:tcPr>
            <w:tcW w:w="0" w:type="auto"/>
          </w:tcPr>
          <w:p w14:paraId="78388E63" w14:textId="77777777" w:rsidR="000D1321" w:rsidRDefault="000D1321" w:rsidP="00697B8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</w:tr>
      <w:tr w:rsidR="000D1321" w14:paraId="51CB09A8" w14:textId="77777777" w:rsidTr="00697B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8252C5" w14:textId="77777777" w:rsidR="000D1321" w:rsidRDefault="000D1321" w:rsidP="00697B85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anx3</w:t>
            </w:r>
          </w:p>
        </w:tc>
        <w:tc>
          <w:tcPr>
            <w:tcW w:w="0" w:type="auto"/>
            <w:shd w:val="clear" w:color="auto" w:fill="95DCF7" w:themeFill="accent4" w:themeFillTint="66"/>
          </w:tcPr>
          <w:p w14:paraId="41AE0DE8" w14:textId="77777777" w:rsidR="000D1321" w:rsidRDefault="000D1321" w:rsidP="00697B8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0.400</w:t>
            </w:r>
          </w:p>
        </w:tc>
        <w:tc>
          <w:tcPr>
            <w:tcW w:w="0" w:type="auto"/>
            <w:shd w:val="clear" w:color="auto" w:fill="95DCF7" w:themeFill="accent4" w:themeFillTint="66"/>
          </w:tcPr>
          <w:p w14:paraId="4D585BEA" w14:textId="77777777" w:rsidR="000D1321" w:rsidRDefault="000D1321" w:rsidP="00697B8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</w:tr>
      <w:tr w:rsidR="000D1321" w14:paraId="07C21ACB" w14:textId="77777777" w:rsidTr="00697B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3E5037" w14:textId="77777777" w:rsidR="000D1321" w:rsidRDefault="000D1321" w:rsidP="00697B85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anx4</w:t>
            </w:r>
          </w:p>
        </w:tc>
        <w:tc>
          <w:tcPr>
            <w:tcW w:w="0" w:type="auto"/>
          </w:tcPr>
          <w:p w14:paraId="7298342E" w14:textId="77777777" w:rsidR="000D1321" w:rsidRDefault="000D1321" w:rsidP="00697B8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0.083</w:t>
            </w:r>
          </w:p>
        </w:tc>
        <w:tc>
          <w:tcPr>
            <w:tcW w:w="0" w:type="auto"/>
          </w:tcPr>
          <w:p w14:paraId="5416BF9F" w14:textId="77777777" w:rsidR="000D1321" w:rsidRDefault="000D1321" w:rsidP="00697B8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Trend-level</w:t>
            </w:r>
          </w:p>
        </w:tc>
      </w:tr>
      <w:tr w:rsidR="000D1321" w14:paraId="60243C9B" w14:textId="77777777" w:rsidTr="00697B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8AA408" w14:textId="77777777" w:rsidR="000D1321" w:rsidRDefault="000D1321" w:rsidP="00697B85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anx5</w:t>
            </w:r>
          </w:p>
        </w:tc>
        <w:tc>
          <w:tcPr>
            <w:tcW w:w="0" w:type="auto"/>
            <w:shd w:val="clear" w:color="auto" w:fill="95DCF7" w:themeFill="accent4" w:themeFillTint="66"/>
          </w:tcPr>
          <w:p w14:paraId="2DC388EB" w14:textId="77777777" w:rsidR="000D1321" w:rsidRDefault="000D1321" w:rsidP="00697B8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0.710</w:t>
            </w:r>
          </w:p>
        </w:tc>
        <w:tc>
          <w:tcPr>
            <w:tcW w:w="0" w:type="auto"/>
            <w:shd w:val="clear" w:color="auto" w:fill="95DCF7" w:themeFill="accent4" w:themeFillTint="66"/>
          </w:tcPr>
          <w:p w14:paraId="41687A2F" w14:textId="77777777" w:rsidR="000D1321" w:rsidRDefault="000D1321" w:rsidP="00697B8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</w:tr>
      <w:tr w:rsidR="000D1321" w14:paraId="69FD39C7" w14:textId="77777777" w:rsidTr="00697B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35F6D9" w14:textId="77777777" w:rsidR="000D1321" w:rsidRDefault="000D1321" w:rsidP="00697B85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anx6</w:t>
            </w:r>
          </w:p>
        </w:tc>
        <w:tc>
          <w:tcPr>
            <w:tcW w:w="0" w:type="auto"/>
          </w:tcPr>
          <w:p w14:paraId="564BDC4A" w14:textId="77777777" w:rsidR="000D1321" w:rsidRDefault="000D1321" w:rsidP="00697B8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0.147</w:t>
            </w:r>
          </w:p>
        </w:tc>
        <w:tc>
          <w:tcPr>
            <w:tcW w:w="0" w:type="auto"/>
          </w:tcPr>
          <w:p w14:paraId="374EED95" w14:textId="77777777" w:rsidR="000D1321" w:rsidRDefault="000D1321" w:rsidP="00697B8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</w:tr>
      <w:tr w:rsidR="000D1321" w14:paraId="1C14F63A" w14:textId="77777777" w:rsidTr="00697B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9E8087" w14:textId="77777777" w:rsidR="000D1321" w:rsidRDefault="000D1321" w:rsidP="00697B85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anx7</w:t>
            </w:r>
          </w:p>
        </w:tc>
        <w:tc>
          <w:tcPr>
            <w:tcW w:w="0" w:type="auto"/>
            <w:shd w:val="clear" w:color="auto" w:fill="95DCF7" w:themeFill="accent4" w:themeFillTint="66"/>
          </w:tcPr>
          <w:p w14:paraId="05B590D7" w14:textId="77777777" w:rsidR="000D1321" w:rsidRDefault="000D1321" w:rsidP="00697B8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0.115</w:t>
            </w:r>
          </w:p>
        </w:tc>
        <w:tc>
          <w:tcPr>
            <w:tcW w:w="0" w:type="auto"/>
            <w:shd w:val="clear" w:color="auto" w:fill="95DCF7" w:themeFill="accent4" w:themeFillTint="66"/>
          </w:tcPr>
          <w:p w14:paraId="21823AC2" w14:textId="77777777" w:rsidR="000D1321" w:rsidRDefault="000D1321" w:rsidP="00697B8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</w:tr>
      <w:tr w:rsidR="000D1321" w14:paraId="3E9289D9" w14:textId="77777777" w:rsidTr="00697B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36C910" w14:textId="77777777" w:rsidR="000D1321" w:rsidRDefault="000D1321" w:rsidP="00697B85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dep1</w:t>
            </w:r>
          </w:p>
        </w:tc>
        <w:tc>
          <w:tcPr>
            <w:tcW w:w="0" w:type="auto"/>
          </w:tcPr>
          <w:p w14:paraId="2FCC5B48" w14:textId="77777777" w:rsidR="000D1321" w:rsidRDefault="000D1321" w:rsidP="00697B8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0.111</w:t>
            </w:r>
          </w:p>
        </w:tc>
        <w:tc>
          <w:tcPr>
            <w:tcW w:w="0" w:type="auto"/>
          </w:tcPr>
          <w:p w14:paraId="4DD6A55C" w14:textId="77777777" w:rsidR="000D1321" w:rsidRDefault="000D1321" w:rsidP="00697B8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</w:tr>
      <w:tr w:rsidR="000D1321" w14:paraId="08315E1C" w14:textId="77777777" w:rsidTr="00697B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BF11FE" w14:textId="77777777" w:rsidR="000D1321" w:rsidRDefault="000D1321" w:rsidP="00697B85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dep2</w:t>
            </w:r>
          </w:p>
        </w:tc>
        <w:tc>
          <w:tcPr>
            <w:tcW w:w="0" w:type="auto"/>
            <w:shd w:val="clear" w:color="auto" w:fill="95DCF7" w:themeFill="accent4" w:themeFillTint="66"/>
          </w:tcPr>
          <w:p w14:paraId="3B21EDAE" w14:textId="77777777" w:rsidR="000D1321" w:rsidRDefault="000D1321" w:rsidP="00697B8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0.130</w:t>
            </w:r>
          </w:p>
        </w:tc>
        <w:tc>
          <w:tcPr>
            <w:tcW w:w="0" w:type="auto"/>
            <w:shd w:val="clear" w:color="auto" w:fill="95DCF7" w:themeFill="accent4" w:themeFillTint="66"/>
          </w:tcPr>
          <w:p w14:paraId="1FA7ECBA" w14:textId="77777777" w:rsidR="000D1321" w:rsidRDefault="000D1321" w:rsidP="00697B8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</w:tr>
      <w:tr w:rsidR="000D1321" w14:paraId="632CC4BC" w14:textId="77777777" w:rsidTr="00697B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F41709" w14:textId="77777777" w:rsidR="000D1321" w:rsidRDefault="000D1321" w:rsidP="00697B85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dep3</w:t>
            </w:r>
          </w:p>
        </w:tc>
        <w:tc>
          <w:tcPr>
            <w:tcW w:w="0" w:type="auto"/>
          </w:tcPr>
          <w:p w14:paraId="77249D51" w14:textId="77777777" w:rsidR="000D1321" w:rsidRDefault="000D1321" w:rsidP="00697B8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0.726</w:t>
            </w:r>
          </w:p>
        </w:tc>
        <w:tc>
          <w:tcPr>
            <w:tcW w:w="0" w:type="auto"/>
          </w:tcPr>
          <w:p w14:paraId="52B41F97" w14:textId="77777777" w:rsidR="000D1321" w:rsidRDefault="000D1321" w:rsidP="00697B8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</w:tr>
      <w:tr w:rsidR="000D1321" w14:paraId="467CDFB4" w14:textId="77777777" w:rsidTr="00697B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845B2E" w14:textId="77777777" w:rsidR="000D1321" w:rsidRDefault="000D1321" w:rsidP="00697B85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dep4</w:t>
            </w:r>
          </w:p>
        </w:tc>
        <w:tc>
          <w:tcPr>
            <w:tcW w:w="0" w:type="auto"/>
            <w:shd w:val="clear" w:color="auto" w:fill="95DCF7" w:themeFill="accent4" w:themeFillTint="66"/>
          </w:tcPr>
          <w:p w14:paraId="3BAAC95B" w14:textId="77777777" w:rsidR="000D1321" w:rsidRDefault="000D1321" w:rsidP="00697B8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0.614</w:t>
            </w:r>
          </w:p>
        </w:tc>
        <w:tc>
          <w:tcPr>
            <w:tcW w:w="0" w:type="auto"/>
            <w:shd w:val="clear" w:color="auto" w:fill="95DCF7" w:themeFill="accent4" w:themeFillTint="66"/>
          </w:tcPr>
          <w:p w14:paraId="21FB7324" w14:textId="77777777" w:rsidR="000D1321" w:rsidRDefault="000D1321" w:rsidP="00697B8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</w:tr>
      <w:tr w:rsidR="000D1321" w14:paraId="003AA25F" w14:textId="77777777" w:rsidTr="00697B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9EDC00" w14:textId="77777777" w:rsidR="000D1321" w:rsidRDefault="000D1321" w:rsidP="00697B85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dep5</w:t>
            </w:r>
          </w:p>
        </w:tc>
        <w:tc>
          <w:tcPr>
            <w:tcW w:w="0" w:type="auto"/>
          </w:tcPr>
          <w:p w14:paraId="4C6ABD26" w14:textId="77777777" w:rsidR="000D1321" w:rsidRDefault="000D1321" w:rsidP="00697B8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0.830</w:t>
            </w:r>
          </w:p>
        </w:tc>
        <w:tc>
          <w:tcPr>
            <w:tcW w:w="0" w:type="auto"/>
          </w:tcPr>
          <w:p w14:paraId="35E729C8" w14:textId="77777777" w:rsidR="000D1321" w:rsidRDefault="000D1321" w:rsidP="00697B8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</w:tr>
      <w:tr w:rsidR="000D1321" w14:paraId="3C72DF7F" w14:textId="77777777" w:rsidTr="00697B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73B947" w14:textId="77777777" w:rsidR="000D1321" w:rsidRDefault="000D1321" w:rsidP="00697B85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dep6</w:t>
            </w:r>
          </w:p>
        </w:tc>
        <w:tc>
          <w:tcPr>
            <w:tcW w:w="0" w:type="auto"/>
            <w:shd w:val="clear" w:color="auto" w:fill="95DCF7" w:themeFill="accent4" w:themeFillTint="66"/>
          </w:tcPr>
          <w:p w14:paraId="4697BD6C" w14:textId="77777777" w:rsidR="000D1321" w:rsidRDefault="000D1321" w:rsidP="00697B8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0.053</w:t>
            </w:r>
          </w:p>
        </w:tc>
        <w:tc>
          <w:tcPr>
            <w:tcW w:w="0" w:type="auto"/>
            <w:shd w:val="clear" w:color="auto" w:fill="95DCF7" w:themeFill="accent4" w:themeFillTint="66"/>
          </w:tcPr>
          <w:p w14:paraId="464ABE49" w14:textId="77777777" w:rsidR="000D1321" w:rsidRDefault="000D1321" w:rsidP="00697B8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Trend-level</w:t>
            </w:r>
          </w:p>
        </w:tc>
      </w:tr>
      <w:tr w:rsidR="000D1321" w14:paraId="404F5E58" w14:textId="77777777" w:rsidTr="00697B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F4D0F9" w14:textId="77777777" w:rsidR="000D1321" w:rsidRDefault="000D1321" w:rsidP="00697B85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lastRenderedPageBreak/>
              <w:t>dep7</w:t>
            </w:r>
          </w:p>
        </w:tc>
        <w:tc>
          <w:tcPr>
            <w:tcW w:w="0" w:type="auto"/>
          </w:tcPr>
          <w:p w14:paraId="54019F05" w14:textId="77777777" w:rsidR="000D1321" w:rsidRDefault="000D1321" w:rsidP="00697B8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0.011</w:t>
            </w:r>
          </w:p>
        </w:tc>
        <w:tc>
          <w:tcPr>
            <w:tcW w:w="0" w:type="auto"/>
          </w:tcPr>
          <w:p w14:paraId="5D3E765B" w14:textId="77777777" w:rsidR="000D1321" w:rsidRDefault="000D1321" w:rsidP="00697B8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Significant</w:t>
            </w:r>
          </w:p>
        </w:tc>
      </w:tr>
    </w:tbl>
    <w:p w14:paraId="3FE33547" w14:textId="77777777" w:rsidR="000D1321" w:rsidRDefault="000D1321" w:rsidP="000D1321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0A7FC06F" w14:textId="77777777" w:rsidR="000D1321" w:rsidRDefault="000D1321" w:rsidP="000D1321">
      <w:pPr>
        <w:spacing w:line="48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NS = not significant.</w:t>
      </w:r>
    </w:p>
    <w:p w14:paraId="268B8E85" w14:textId="77777777" w:rsidR="000D1321" w:rsidRDefault="000D1321" w:rsidP="000D1321">
      <w:pPr>
        <w:pStyle w:val="NormalWeb"/>
        <w:spacing w:line="480" w:lineRule="auto"/>
      </w:pPr>
      <w:r>
        <w:rPr>
          <w:b/>
          <w:bCs/>
        </w:rPr>
        <w:t>Supp Figure 1.</w:t>
      </w:r>
      <w:r>
        <w:t> Edge weight accuracy: nonparametric bootstrap confidence intervals</w:t>
      </w:r>
    </w:p>
    <w:p w14:paraId="52E73B03" w14:textId="77777777" w:rsidR="000D1321" w:rsidRDefault="000D1321" w:rsidP="000D1321">
      <w:pPr>
        <w:pStyle w:val="NormalWeb"/>
        <w:spacing w:line="480" w:lineRule="auto"/>
      </w:pPr>
    </w:p>
    <w:p w14:paraId="0BCFD2DC" w14:textId="77777777" w:rsidR="000D1321" w:rsidRDefault="000D1321" w:rsidP="000D1321">
      <w:pPr>
        <w:pStyle w:val="NormalWeb"/>
        <w:spacing w:line="480" w:lineRule="auto"/>
      </w:pPr>
      <w:r>
        <w:rPr>
          <w:noProof/>
        </w:rPr>
        <w:drawing>
          <wp:inline distT="0" distB="0" distL="0" distR="0" wp14:anchorId="120BF26D" wp14:editId="6F5FF039">
            <wp:extent cx="5943600" cy="3354070"/>
            <wp:effectExtent l="95250" t="95250" r="95250" b="93980"/>
            <wp:docPr id="69746223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462237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407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3ED9038F" w14:textId="77777777" w:rsidR="000D1321" w:rsidRDefault="000D1321" w:rsidP="000D1321">
      <w:pPr>
        <w:spacing w:line="480" w:lineRule="auto"/>
        <w:rPr>
          <w:rFonts w:ascii="Times New Roman" w:hAnsi="Times New Roman" w:cs="Times New Roman"/>
        </w:rPr>
      </w:pPr>
    </w:p>
    <w:p w14:paraId="266A6349" w14:textId="77777777" w:rsidR="000D1321" w:rsidRDefault="000D1321" w:rsidP="000D1321">
      <w:pPr>
        <w:pStyle w:val="NormalWeb"/>
        <w:spacing w:line="480" w:lineRule="auto"/>
      </w:pPr>
    </w:p>
    <w:p w14:paraId="5A6FB54B" w14:textId="77777777" w:rsidR="000D1321" w:rsidRDefault="000D1321" w:rsidP="000D1321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0A8AECEB" w14:textId="77777777" w:rsidR="000D1321" w:rsidRDefault="000D1321" w:rsidP="000D1321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0EAFB1B7" w14:textId="77777777" w:rsidR="000D1321" w:rsidRDefault="000D1321" w:rsidP="000D1321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054171C1" w14:textId="77777777" w:rsidR="000D1321" w:rsidRDefault="000D1321" w:rsidP="000D1321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3AB5BC66" w14:textId="77777777" w:rsidR="000D1321" w:rsidRDefault="000D1321" w:rsidP="000D1321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6909733D" w14:textId="77777777" w:rsidR="000D1321" w:rsidRDefault="000D1321" w:rsidP="000D132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 Figure 2.</w:t>
      </w:r>
      <w:r>
        <w:rPr>
          <w:rFonts w:ascii="Times New Roman" w:hAnsi="Times New Roman" w:cs="Times New Roman"/>
        </w:rPr>
        <w:t> Age-based network comparison: node strength differences</w:t>
      </w:r>
    </w:p>
    <w:p w14:paraId="2A96D15D" w14:textId="77777777" w:rsidR="000D1321" w:rsidRDefault="000D1321" w:rsidP="000D1321">
      <w:pPr>
        <w:spacing w:line="480" w:lineRule="auto"/>
        <w:rPr>
          <w:rFonts w:ascii="Times New Roman" w:hAnsi="Times New Roman" w:cs="Times New Roman"/>
        </w:rPr>
      </w:pPr>
    </w:p>
    <w:p w14:paraId="76EAAD54" w14:textId="77777777" w:rsidR="000D1321" w:rsidRDefault="000D1321" w:rsidP="000D1321">
      <w:pPr>
        <w:pStyle w:val="NormalWeb"/>
        <w:spacing w:line="480" w:lineRule="auto"/>
      </w:pPr>
      <w:r>
        <w:rPr>
          <w:noProof/>
        </w:rPr>
        <w:drawing>
          <wp:inline distT="0" distB="0" distL="0" distR="0" wp14:anchorId="4E8FB67D" wp14:editId="7A58B5F2">
            <wp:extent cx="5943600" cy="3354070"/>
            <wp:effectExtent l="95250" t="95250" r="95250" b="93980"/>
            <wp:docPr id="44105104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051044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407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240879D6" w14:textId="77777777" w:rsidR="000D1321" w:rsidRDefault="000D1321" w:rsidP="000D1321">
      <w:pPr>
        <w:pStyle w:val="NormalWeb"/>
        <w:spacing w:line="480" w:lineRule="auto"/>
        <w:rPr>
          <w:b/>
          <w:bCs/>
        </w:rPr>
      </w:pPr>
    </w:p>
    <w:p w14:paraId="7436C634" w14:textId="77777777" w:rsidR="000D1321" w:rsidRDefault="000D1321" w:rsidP="000D1321">
      <w:pPr>
        <w:pStyle w:val="NormalWeb"/>
        <w:spacing w:line="480" w:lineRule="auto"/>
        <w:rPr>
          <w:b/>
          <w:bCs/>
        </w:rPr>
      </w:pPr>
    </w:p>
    <w:p w14:paraId="745EB352" w14:textId="77777777" w:rsidR="000D1321" w:rsidRDefault="000D1321" w:rsidP="000D1321">
      <w:pPr>
        <w:pStyle w:val="NormalWeb"/>
        <w:spacing w:line="480" w:lineRule="auto"/>
        <w:rPr>
          <w:b/>
          <w:bCs/>
        </w:rPr>
      </w:pPr>
    </w:p>
    <w:p w14:paraId="7012497F" w14:textId="77777777" w:rsidR="000D1321" w:rsidRDefault="000D1321" w:rsidP="000D1321">
      <w:pPr>
        <w:pStyle w:val="NormalWeb"/>
        <w:spacing w:line="480" w:lineRule="auto"/>
        <w:rPr>
          <w:b/>
          <w:bCs/>
        </w:rPr>
      </w:pPr>
    </w:p>
    <w:p w14:paraId="089A7EF5" w14:textId="77777777" w:rsidR="000D1321" w:rsidRDefault="000D1321" w:rsidP="000D1321">
      <w:pPr>
        <w:pStyle w:val="NormalWeb"/>
        <w:spacing w:line="480" w:lineRule="auto"/>
        <w:rPr>
          <w:b/>
          <w:bCs/>
        </w:rPr>
      </w:pPr>
    </w:p>
    <w:p w14:paraId="2A052D2F" w14:textId="77777777" w:rsidR="000D1321" w:rsidRDefault="000D1321" w:rsidP="000D1321">
      <w:pPr>
        <w:pStyle w:val="NormalWeb"/>
        <w:spacing w:line="480" w:lineRule="auto"/>
        <w:rPr>
          <w:b/>
          <w:bCs/>
        </w:rPr>
      </w:pPr>
    </w:p>
    <w:p w14:paraId="23A3360C" w14:textId="77777777" w:rsidR="000D1321" w:rsidRDefault="000D1321" w:rsidP="000D1321">
      <w:pPr>
        <w:pStyle w:val="NormalWeb"/>
        <w:spacing w:line="480" w:lineRule="auto"/>
        <w:rPr>
          <w:b/>
          <w:bCs/>
        </w:rPr>
      </w:pPr>
    </w:p>
    <w:p w14:paraId="475D3942" w14:textId="77777777" w:rsidR="000D1321" w:rsidRDefault="000D1321" w:rsidP="000D1321">
      <w:pPr>
        <w:pStyle w:val="NormalWeb"/>
        <w:spacing w:line="480" w:lineRule="auto"/>
        <w:rPr>
          <w:b/>
          <w:bCs/>
        </w:rPr>
      </w:pPr>
      <w:r>
        <w:rPr>
          <w:b/>
          <w:bCs/>
        </w:rPr>
        <w:t>Supp Figure 3: HADS Items Descriptive Statics</w:t>
      </w:r>
    </w:p>
    <w:p w14:paraId="5E6A7D14" w14:textId="77777777" w:rsidR="000D1321" w:rsidRDefault="000D1321" w:rsidP="000D1321">
      <w:pPr>
        <w:pStyle w:val="NormalWeb"/>
        <w:spacing w:line="480" w:lineRule="auto"/>
      </w:pPr>
      <w:r>
        <w:rPr>
          <w:noProof/>
        </w:rPr>
        <w:drawing>
          <wp:inline distT="0" distB="0" distL="0" distR="0" wp14:anchorId="3848EB44" wp14:editId="60766E56">
            <wp:extent cx="5943600" cy="3085465"/>
            <wp:effectExtent l="0" t="0" r="0" b="635"/>
            <wp:docPr id="112897602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64D5BE2" w14:textId="77777777" w:rsidR="000D1321" w:rsidRDefault="000D1321" w:rsidP="000D1321">
      <w:pPr>
        <w:pStyle w:val="NormalWeb"/>
        <w:spacing w:line="480" w:lineRule="auto"/>
        <w:rPr>
          <w:b/>
          <w:bCs/>
        </w:rPr>
      </w:pPr>
      <w:r>
        <w:rPr>
          <w:b/>
          <w:bCs/>
        </w:rPr>
        <w:t>Supp Figure 4: Centrality Indices</w:t>
      </w:r>
    </w:p>
    <w:p w14:paraId="50CAAAFE" w14:textId="77777777" w:rsidR="000D1321" w:rsidRDefault="000D1321" w:rsidP="000D1321">
      <w:pPr>
        <w:pStyle w:val="NormalWeb"/>
        <w:spacing w:line="480" w:lineRule="auto"/>
      </w:pPr>
      <w:r>
        <w:rPr>
          <w:noProof/>
        </w:rPr>
        <w:drawing>
          <wp:inline distT="0" distB="0" distL="0" distR="0" wp14:anchorId="3A73C2E4" wp14:editId="06088304">
            <wp:extent cx="4572000" cy="2743200"/>
            <wp:effectExtent l="0" t="0" r="0" b="0"/>
            <wp:docPr id="905955981" name="Chart 1"/>
            <wp:cNvGraphicFramePr>
              <a:graphicFrameLocks xmlns:a="http://schemas.openxmlformats.org/drawingml/2006/main" noGrp="1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955981" name="Chart 1"/>
                    <pic:cNvPicPr>
                      <a:picLocks noGrp="1" noChangeAspect="1" noMove="1" noResize="1" noEditPoints="1" noAdjustHandles="1" noChangeArrowheads="1" noChangeShapeType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EAD77" w14:textId="77777777" w:rsidR="000D1321" w:rsidRDefault="000D1321" w:rsidP="000D1321">
      <w:pPr>
        <w:pStyle w:val="NormalWeb"/>
        <w:spacing w:line="480" w:lineRule="auto"/>
        <w:rPr>
          <w:b/>
          <w:bCs/>
        </w:rPr>
      </w:pPr>
      <w:r>
        <w:rPr>
          <w:b/>
          <w:bCs/>
        </w:rPr>
        <w:t>Supp Figure 5: Bridge Centrality Metrics</w:t>
      </w:r>
    </w:p>
    <w:p w14:paraId="702163E0" w14:textId="77777777" w:rsidR="000D1321" w:rsidRDefault="000D1321" w:rsidP="000D1321">
      <w:pPr>
        <w:pStyle w:val="NormalWeb"/>
        <w:spacing w:line="480" w:lineRule="auto"/>
      </w:pPr>
      <w:r>
        <w:rPr>
          <w:noProof/>
        </w:rPr>
        <w:drawing>
          <wp:inline distT="0" distB="0" distL="0" distR="0" wp14:anchorId="0F96F04C" wp14:editId="2C8D3DCC">
            <wp:extent cx="4572000" cy="2743200"/>
            <wp:effectExtent l="0" t="0" r="0" b="0"/>
            <wp:docPr id="139645314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C018AAD" w14:textId="77777777" w:rsidR="000D1321" w:rsidRDefault="000D1321" w:rsidP="000D1321">
      <w:pPr>
        <w:pStyle w:val="NormalWeb"/>
        <w:spacing w:line="480" w:lineRule="auto"/>
        <w:rPr>
          <w:b/>
          <w:bCs/>
        </w:rPr>
      </w:pPr>
      <w:r>
        <w:rPr>
          <w:b/>
          <w:bCs/>
        </w:rPr>
        <w:t>Supp Figure 6: Network Stability and Accuracy Indices</w:t>
      </w:r>
    </w:p>
    <w:p w14:paraId="7231E3E3" w14:textId="77777777" w:rsidR="000D1321" w:rsidRDefault="000D1321" w:rsidP="000D1321">
      <w:pPr>
        <w:pStyle w:val="NormalWeb"/>
        <w:spacing w:line="480" w:lineRule="auto"/>
      </w:pPr>
      <w:r>
        <w:rPr>
          <w:noProof/>
        </w:rPr>
        <w:drawing>
          <wp:inline distT="0" distB="0" distL="0" distR="0" wp14:anchorId="418878B3" wp14:editId="2B8B50B5">
            <wp:extent cx="4572000" cy="2743200"/>
            <wp:effectExtent l="0" t="0" r="0" b="0"/>
            <wp:docPr id="657442068" name="Chart 1"/>
            <wp:cNvGraphicFramePr>
              <a:graphicFrameLocks xmlns:a="http://schemas.openxmlformats.org/drawingml/2006/main" noGrp="1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442068" name="Chart 1"/>
                    <pic:cNvPicPr>
                      <a:picLocks noGrp="1" noChangeAspect="1" noMove="1" noResize="1" noEditPoints="1" noAdjustHandles="1" noChangeArrowheads="1" noChangeShapeType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081E2" w14:textId="77777777" w:rsidR="000D1321" w:rsidRDefault="000D1321" w:rsidP="000D1321">
      <w:pPr>
        <w:pStyle w:val="NormalWeb"/>
        <w:spacing w:line="480" w:lineRule="auto"/>
        <w:rPr>
          <w:b/>
          <w:bCs/>
        </w:rPr>
      </w:pPr>
      <w:r>
        <w:rPr>
          <w:b/>
          <w:bCs/>
        </w:rPr>
        <w:t>Supp Figure 6: p value of HADS items</w:t>
      </w:r>
    </w:p>
    <w:p w14:paraId="5183B635" w14:textId="77777777" w:rsidR="000D1321" w:rsidRDefault="000D1321" w:rsidP="000D1321">
      <w:pPr>
        <w:pStyle w:val="NormalWeb"/>
        <w:spacing w:line="480" w:lineRule="auto"/>
      </w:pPr>
      <w:r>
        <w:rPr>
          <w:noProof/>
        </w:rPr>
        <w:drawing>
          <wp:inline distT="0" distB="0" distL="0" distR="0" wp14:anchorId="1AA3F5E4" wp14:editId="1F1CDFE8">
            <wp:extent cx="5943600" cy="2884170"/>
            <wp:effectExtent l="0" t="0" r="0" b="11430"/>
            <wp:docPr id="41241664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4F1F9E0" w14:textId="77777777" w:rsidR="000D1321" w:rsidRDefault="000D1321" w:rsidP="000D1321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62061B6B" w14:textId="77777777" w:rsidR="004E780C" w:rsidRDefault="004E780C"/>
    <w:sectPr w:rsidR="004E7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321"/>
    <w:rsid w:val="000D1321"/>
    <w:rsid w:val="002978F5"/>
    <w:rsid w:val="003852CF"/>
    <w:rsid w:val="004E780C"/>
    <w:rsid w:val="00957A3E"/>
    <w:rsid w:val="00F5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A44A0"/>
  <w15:chartTrackingRefBased/>
  <w15:docId w15:val="{E6D28F0E-D068-4BFD-B082-C70CBA04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321"/>
  </w:style>
  <w:style w:type="paragraph" w:styleId="Heading1">
    <w:name w:val="heading 1"/>
    <w:basedOn w:val="Normal"/>
    <w:next w:val="Normal"/>
    <w:link w:val="Heading1Char"/>
    <w:uiPriority w:val="9"/>
    <w:qFormat/>
    <w:rsid w:val="000D1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3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3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3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3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3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3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3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3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3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3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3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3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3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321"/>
    <w:rPr>
      <w:b/>
      <w:bCs/>
      <w:smallCaps/>
      <w:color w:val="0F4761" w:themeColor="accent1" w:themeShade="BF"/>
      <w:spacing w:val="5"/>
    </w:rPr>
  </w:style>
  <w:style w:type="table" w:customStyle="1" w:styleId="GridTable5Dark-Accent41">
    <w:name w:val="Grid Table 5 Dark - Accent 41"/>
    <w:basedOn w:val="TableNormal"/>
    <w:uiPriority w:val="50"/>
    <w:qFormat/>
    <w:rsid w:val="000D1321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paragraph" w:styleId="NormalWeb">
    <w:name w:val="Normal (Web)"/>
    <w:basedOn w:val="Normal"/>
    <w:uiPriority w:val="99"/>
    <w:unhideWhenUsed/>
    <w:qFormat/>
    <w:rsid w:val="000D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12" Type="http://schemas.openxmlformats.org/officeDocument/2006/relationships/chart" Target="charts/chart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microsoft.com/office/2007/relationships/hdphoto" Target="media/hdphoto1.wdp"/><Relationship Id="rId10" Type="http://schemas.openxmlformats.org/officeDocument/2006/relationships/chart" Target="charts/chart2.xml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WAT%20LAPTOP\Documents\HAD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HADS Items Discriptive Statics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Mean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2"/>
                </a:solidFill>
                <a:round/>
              </a:ln>
              <a:effectLst/>
            </c:spPr>
            <c:trendlineType val="linear"/>
            <c:dispRSqr val="0"/>
            <c:dispEq val="0"/>
          </c:trendline>
          <c:errBars>
            <c:errBarType val="both"/>
            <c:errValType val="stdErr"/>
            <c:noEndCap val="0"/>
            <c:spPr>
              <a:noFill/>
              <a:ln w="9525">
                <a:solidFill>
                  <a:schemeClr val="tx1">
                    <a:lumMod val="50000"/>
                    <a:lumOff val="50000"/>
                  </a:schemeClr>
                </a:solidFill>
                <a:round/>
              </a:ln>
              <a:effectLst/>
            </c:spPr>
          </c:errBars>
          <c:cat>
            <c:strRef>
              <c:f>Sheet1!$A$2:$A$15</c:f>
              <c:strCache>
                <c:ptCount val="14"/>
                <c:pt idx="0">
                  <c:v>anx1</c:v>
                </c:pt>
                <c:pt idx="1">
                  <c:v>anx2</c:v>
                </c:pt>
                <c:pt idx="2">
                  <c:v>anx3</c:v>
                </c:pt>
                <c:pt idx="3">
                  <c:v>anx4</c:v>
                </c:pt>
                <c:pt idx="4">
                  <c:v>anx5</c:v>
                </c:pt>
                <c:pt idx="5">
                  <c:v>anx6</c:v>
                </c:pt>
                <c:pt idx="6">
                  <c:v>anx7</c:v>
                </c:pt>
                <c:pt idx="7">
                  <c:v>dep1</c:v>
                </c:pt>
                <c:pt idx="8">
                  <c:v>dep2</c:v>
                </c:pt>
                <c:pt idx="9">
                  <c:v>dep3</c:v>
                </c:pt>
                <c:pt idx="10">
                  <c:v>dep4</c:v>
                </c:pt>
                <c:pt idx="11">
                  <c:v>dep5</c:v>
                </c:pt>
                <c:pt idx="12">
                  <c:v>dep6</c:v>
                </c:pt>
                <c:pt idx="13">
                  <c:v>dep7</c:v>
                </c:pt>
              </c:strCache>
            </c:strRef>
          </c:cat>
          <c:val>
            <c:numRef>
              <c:f>Sheet1!$B$2:$B$15</c:f>
              <c:numCache>
                <c:formatCode>General</c:formatCode>
                <c:ptCount val="14"/>
                <c:pt idx="0">
                  <c:v>0.92</c:v>
                </c:pt>
                <c:pt idx="1">
                  <c:v>0.88</c:v>
                </c:pt>
                <c:pt idx="2">
                  <c:v>0.91</c:v>
                </c:pt>
                <c:pt idx="3">
                  <c:v>1.42</c:v>
                </c:pt>
                <c:pt idx="4">
                  <c:v>0.63</c:v>
                </c:pt>
                <c:pt idx="5">
                  <c:v>0.97</c:v>
                </c:pt>
                <c:pt idx="6">
                  <c:v>0.89</c:v>
                </c:pt>
                <c:pt idx="7">
                  <c:v>0.82</c:v>
                </c:pt>
                <c:pt idx="8">
                  <c:v>0.76</c:v>
                </c:pt>
                <c:pt idx="9">
                  <c:v>0.84</c:v>
                </c:pt>
                <c:pt idx="10">
                  <c:v>1.58</c:v>
                </c:pt>
                <c:pt idx="11">
                  <c:v>0.69</c:v>
                </c:pt>
                <c:pt idx="12">
                  <c:v>0.88</c:v>
                </c:pt>
                <c:pt idx="13">
                  <c:v>0.91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961-42B9-ABF4-9C38BCBA175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SD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>
                <a:solidFill>
                  <a:schemeClr val="tx1">
                    <a:lumMod val="50000"/>
                    <a:lumOff val="50000"/>
                  </a:schemeClr>
                </a:solidFill>
                <a:round/>
              </a:ln>
              <a:effectLst/>
            </c:spPr>
          </c:errBars>
          <c:cat>
            <c:strRef>
              <c:f>Sheet1!$A$2:$A$15</c:f>
              <c:strCache>
                <c:ptCount val="14"/>
                <c:pt idx="0">
                  <c:v>anx1</c:v>
                </c:pt>
                <c:pt idx="1">
                  <c:v>anx2</c:v>
                </c:pt>
                <c:pt idx="2">
                  <c:v>anx3</c:v>
                </c:pt>
                <c:pt idx="3">
                  <c:v>anx4</c:v>
                </c:pt>
                <c:pt idx="4">
                  <c:v>anx5</c:v>
                </c:pt>
                <c:pt idx="5">
                  <c:v>anx6</c:v>
                </c:pt>
                <c:pt idx="6">
                  <c:v>anx7</c:v>
                </c:pt>
                <c:pt idx="7">
                  <c:v>dep1</c:v>
                </c:pt>
                <c:pt idx="8">
                  <c:v>dep2</c:v>
                </c:pt>
                <c:pt idx="9">
                  <c:v>dep3</c:v>
                </c:pt>
                <c:pt idx="10">
                  <c:v>dep4</c:v>
                </c:pt>
                <c:pt idx="11">
                  <c:v>dep5</c:v>
                </c:pt>
                <c:pt idx="12">
                  <c:v>dep6</c:v>
                </c:pt>
                <c:pt idx="13">
                  <c:v>dep7</c:v>
                </c:pt>
              </c:strCache>
            </c:strRef>
          </c:cat>
          <c:val>
            <c:numRef>
              <c:f>Sheet1!$C$2:$C$15</c:f>
              <c:numCache>
                <c:formatCode>General</c:formatCode>
                <c:ptCount val="14"/>
                <c:pt idx="0">
                  <c:v>0.96</c:v>
                </c:pt>
                <c:pt idx="1">
                  <c:v>0.94</c:v>
                </c:pt>
                <c:pt idx="2">
                  <c:v>0.98</c:v>
                </c:pt>
                <c:pt idx="3">
                  <c:v>1.02</c:v>
                </c:pt>
                <c:pt idx="4">
                  <c:v>0.88</c:v>
                </c:pt>
                <c:pt idx="5">
                  <c:v>1.01</c:v>
                </c:pt>
                <c:pt idx="6">
                  <c:v>0.99</c:v>
                </c:pt>
                <c:pt idx="7">
                  <c:v>0.91</c:v>
                </c:pt>
                <c:pt idx="8">
                  <c:v>0.88</c:v>
                </c:pt>
                <c:pt idx="9">
                  <c:v>0.93</c:v>
                </c:pt>
                <c:pt idx="10">
                  <c:v>1.04</c:v>
                </c:pt>
                <c:pt idx="11">
                  <c:v>0.86</c:v>
                </c:pt>
                <c:pt idx="12">
                  <c:v>0.95</c:v>
                </c:pt>
                <c:pt idx="13">
                  <c:v>0.97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961-42B9-ABF4-9C38BCBA1750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Minimum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>
                <a:solidFill>
                  <a:schemeClr val="tx1">
                    <a:lumMod val="50000"/>
                    <a:lumOff val="50000"/>
                  </a:schemeClr>
                </a:solidFill>
                <a:round/>
              </a:ln>
              <a:effectLst/>
            </c:spPr>
          </c:errBars>
          <c:cat>
            <c:strRef>
              <c:f>Sheet1!$A$2:$A$15</c:f>
              <c:strCache>
                <c:ptCount val="14"/>
                <c:pt idx="0">
                  <c:v>anx1</c:v>
                </c:pt>
                <c:pt idx="1">
                  <c:v>anx2</c:v>
                </c:pt>
                <c:pt idx="2">
                  <c:v>anx3</c:v>
                </c:pt>
                <c:pt idx="3">
                  <c:v>anx4</c:v>
                </c:pt>
                <c:pt idx="4">
                  <c:v>anx5</c:v>
                </c:pt>
                <c:pt idx="5">
                  <c:v>anx6</c:v>
                </c:pt>
                <c:pt idx="6">
                  <c:v>anx7</c:v>
                </c:pt>
                <c:pt idx="7">
                  <c:v>dep1</c:v>
                </c:pt>
                <c:pt idx="8">
                  <c:v>dep2</c:v>
                </c:pt>
                <c:pt idx="9">
                  <c:v>dep3</c:v>
                </c:pt>
                <c:pt idx="10">
                  <c:v>dep4</c:v>
                </c:pt>
                <c:pt idx="11">
                  <c:v>dep5</c:v>
                </c:pt>
                <c:pt idx="12">
                  <c:v>dep6</c:v>
                </c:pt>
                <c:pt idx="13">
                  <c:v>dep7</c:v>
                </c:pt>
              </c:strCache>
            </c:strRef>
          </c:cat>
          <c:val>
            <c:numRef>
              <c:f>Sheet1!$D$2:$D$15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961-42B9-ABF4-9C38BCBA1750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Maximum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>
                <a:solidFill>
                  <a:schemeClr val="tx1">
                    <a:lumMod val="50000"/>
                    <a:lumOff val="50000"/>
                  </a:schemeClr>
                </a:solidFill>
                <a:round/>
              </a:ln>
              <a:effectLst/>
            </c:spPr>
          </c:errBars>
          <c:cat>
            <c:strRef>
              <c:f>Sheet1!$A$2:$A$15</c:f>
              <c:strCache>
                <c:ptCount val="14"/>
                <c:pt idx="0">
                  <c:v>anx1</c:v>
                </c:pt>
                <c:pt idx="1">
                  <c:v>anx2</c:v>
                </c:pt>
                <c:pt idx="2">
                  <c:v>anx3</c:v>
                </c:pt>
                <c:pt idx="3">
                  <c:v>anx4</c:v>
                </c:pt>
                <c:pt idx="4">
                  <c:v>anx5</c:v>
                </c:pt>
                <c:pt idx="5">
                  <c:v>anx6</c:v>
                </c:pt>
                <c:pt idx="6">
                  <c:v>anx7</c:v>
                </c:pt>
                <c:pt idx="7">
                  <c:v>dep1</c:v>
                </c:pt>
                <c:pt idx="8">
                  <c:v>dep2</c:v>
                </c:pt>
                <c:pt idx="9">
                  <c:v>dep3</c:v>
                </c:pt>
                <c:pt idx="10">
                  <c:v>dep4</c:v>
                </c:pt>
                <c:pt idx="11">
                  <c:v>dep5</c:v>
                </c:pt>
                <c:pt idx="12">
                  <c:v>dep6</c:v>
                </c:pt>
                <c:pt idx="13">
                  <c:v>dep7</c:v>
                </c:pt>
              </c:strCache>
            </c:strRef>
          </c:cat>
          <c:val>
            <c:numRef>
              <c:f>Sheet1!$E$2:$E$15</c:f>
              <c:numCache>
                <c:formatCode>General</c:formatCode>
                <c:ptCount val="14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3</c:v>
                </c:pt>
                <c:pt idx="11">
                  <c:v>3</c:v>
                </c:pt>
                <c:pt idx="12">
                  <c:v>3</c:v>
                </c:pt>
                <c:pt idx="1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961-42B9-ABF4-9C38BCBA17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9"/>
        <c:axId val="545013456"/>
        <c:axId val="545011656"/>
      </c:barChart>
      <c:catAx>
        <c:axId val="545013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5011656"/>
        <c:crosses val="autoZero"/>
        <c:auto val="1"/>
        <c:lblAlgn val="ctr"/>
        <c:lblOffset val="100"/>
        <c:noMultiLvlLbl val="0"/>
      </c:catAx>
      <c:valAx>
        <c:axId val="545011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501345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515cb05-1553-4728-88d7-e179e2e1c25d}"/>
      </c:ext>
    </c:extLst>
  </c:chart>
  <c:spPr>
    <a:solidFill>
      <a:schemeClr val="accent4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defRPr lang="en-US" sz="1600" b="1" i="0" u="none" strike="noStrike" kern="1200" cap="none" spc="0" normalizeH="0" baseline="0">
                <a:solidFill>
                  <a:sysClr val="windowText" lastClr="000000">
                    <a:lumMod val="50000"/>
                    <a:lumOff val="50000"/>
                  </a:sysClr>
                </a:solidFill>
                <a:latin typeface="+mj-lt"/>
                <a:ea typeface="+mj-ea"/>
                <a:cs typeface="+mj-cs"/>
              </a:defRPr>
            </a:pPr>
            <a:r>
              <a:rPr lang="en-US" sz="1800" b="1">
                <a:solidFill>
                  <a:sysClr val="windowText" lastClr="000000"/>
                </a:solidFill>
                <a:effectLst/>
              </a:rPr>
              <a:t>Bridge Centrality Metrics </a:t>
            </a:r>
            <a:endParaRPr lang="en-US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defRPr lang="en-US" sz="1600" b="1" i="0" u="none" strike="noStrike" kern="1200" cap="none" spc="0" normalizeH="0" baseline="0">
              <a:solidFill>
                <a:sysClr val="windowText" lastClr="000000">
                  <a:lumMod val="50000"/>
                  <a:lumOff val="50000"/>
                </a:sys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Sheet1!$B$32</c:f>
              <c:strCache>
                <c:ptCount val="1"/>
                <c:pt idx="0">
                  <c:v>Bridge Strength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Sheet1!$A$33:$A$46</c:f>
              <c:strCache>
                <c:ptCount val="14"/>
                <c:pt idx="0">
                  <c:v>anx1</c:v>
                </c:pt>
                <c:pt idx="1">
                  <c:v>anx2</c:v>
                </c:pt>
                <c:pt idx="2">
                  <c:v>anx3</c:v>
                </c:pt>
                <c:pt idx="3">
                  <c:v>anx4</c:v>
                </c:pt>
                <c:pt idx="4">
                  <c:v>anx5</c:v>
                </c:pt>
                <c:pt idx="5">
                  <c:v>anx6</c:v>
                </c:pt>
                <c:pt idx="6">
                  <c:v>anx7</c:v>
                </c:pt>
                <c:pt idx="7">
                  <c:v>dep1</c:v>
                </c:pt>
                <c:pt idx="8">
                  <c:v>dep2</c:v>
                </c:pt>
                <c:pt idx="9">
                  <c:v>dep3</c:v>
                </c:pt>
                <c:pt idx="10">
                  <c:v>dep4</c:v>
                </c:pt>
                <c:pt idx="11">
                  <c:v>dep5</c:v>
                </c:pt>
                <c:pt idx="12">
                  <c:v>dep6</c:v>
                </c:pt>
                <c:pt idx="13">
                  <c:v>dep7</c:v>
                </c:pt>
              </c:strCache>
            </c:strRef>
          </c:cat>
          <c:val>
            <c:numRef>
              <c:f>Sheet1!$B$33:$B$46</c:f>
              <c:numCache>
                <c:formatCode>General</c:formatCode>
                <c:ptCount val="14"/>
                <c:pt idx="0">
                  <c:v>7.1999999999999995E-2</c:v>
                </c:pt>
                <c:pt idx="1">
                  <c:v>0.106</c:v>
                </c:pt>
                <c:pt idx="2">
                  <c:v>6.9000000000000006E-2</c:v>
                </c:pt>
                <c:pt idx="3">
                  <c:v>0.51600000000000001</c:v>
                </c:pt>
                <c:pt idx="4">
                  <c:v>0.13900000000000001</c:v>
                </c:pt>
                <c:pt idx="5">
                  <c:v>0.28299999999999997</c:v>
                </c:pt>
                <c:pt idx="6">
                  <c:v>0.215</c:v>
                </c:pt>
                <c:pt idx="7">
                  <c:v>0.189</c:v>
                </c:pt>
                <c:pt idx="8">
                  <c:v>8.2000000000000003E-2</c:v>
                </c:pt>
                <c:pt idx="9">
                  <c:v>0.19400000000000001</c:v>
                </c:pt>
                <c:pt idx="10">
                  <c:v>0.42899999999999999</c:v>
                </c:pt>
                <c:pt idx="11">
                  <c:v>0.17299999999999999</c:v>
                </c:pt>
                <c:pt idx="12">
                  <c:v>0.17799999999999999</c:v>
                </c:pt>
                <c:pt idx="13">
                  <c:v>0.155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FF-41CF-9BD4-1D695B7E92CE}"/>
            </c:ext>
          </c:extLst>
        </c:ser>
        <c:ser>
          <c:idx val="1"/>
          <c:order val="1"/>
          <c:tx>
            <c:strRef>
              <c:f>Sheet1!$C$32</c:f>
              <c:strCache>
                <c:ptCount val="1"/>
                <c:pt idx="0">
                  <c:v>Bridge EI (1-step)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2"/>
                </a:solidFill>
              </a:ln>
              <a:effectLst/>
            </c:spPr>
            <c:trendlineType val="linear"/>
            <c:dispRSqr val="0"/>
            <c:dispEq val="0"/>
          </c:trendline>
          <c:cat>
            <c:strRef>
              <c:f>Sheet1!$A$33:$A$46</c:f>
              <c:strCache>
                <c:ptCount val="14"/>
                <c:pt idx="0">
                  <c:v>anx1</c:v>
                </c:pt>
                <c:pt idx="1">
                  <c:v>anx2</c:v>
                </c:pt>
                <c:pt idx="2">
                  <c:v>anx3</c:v>
                </c:pt>
                <c:pt idx="3">
                  <c:v>anx4</c:v>
                </c:pt>
                <c:pt idx="4">
                  <c:v>anx5</c:v>
                </c:pt>
                <c:pt idx="5">
                  <c:v>anx6</c:v>
                </c:pt>
                <c:pt idx="6">
                  <c:v>anx7</c:v>
                </c:pt>
                <c:pt idx="7">
                  <c:v>dep1</c:v>
                </c:pt>
                <c:pt idx="8">
                  <c:v>dep2</c:v>
                </c:pt>
                <c:pt idx="9">
                  <c:v>dep3</c:v>
                </c:pt>
                <c:pt idx="10">
                  <c:v>dep4</c:v>
                </c:pt>
                <c:pt idx="11">
                  <c:v>dep5</c:v>
                </c:pt>
                <c:pt idx="12">
                  <c:v>dep6</c:v>
                </c:pt>
                <c:pt idx="13">
                  <c:v>dep7</c:v>
                </c:pt>
              </c:strCache>
            </c:strRef>
          </c:cat>
          <c:val>
            <c:numRef>
              <c:f>Sheet1!$C$33:$C$46</c:f>
              <c:numCache>
                <c:formatCode>General</c:formatCode>
                <c:ptCount val="14"/>
                <c:pt idx="0">
                  <c:v>7.1999999999999995E-2</c:v>
                </c:pt>
                <c:pt idx="1">
                  <c:v>0.106</c:v>
                </c:pt>
                <c:pt idx="2">
                  <c:v>2.1000000000000001E-2</c:v>
                </c:pt>
                <c:pt idx="3">
                  <c:v>0.51600000000000001</c:v>
                </c:pt>
                <c:pt idx="4">
                  <c:v>0.13900000000000001</c:v>
                </c:pt>
                <c:pt idx="5">
                  <c:v>0.13600000000000001</c:v>
                </c:pt>
                <c:pt idx="6">
                  <c:v>0.111</c:v>
                </c:pt>
                <c:pt idx="7">
                  <c:v>0.189</c:v>
                </c:pt>
                <c:pt idx="8">
                  <c:v>8.2000000000000003E-2</c:v>
                </c:pt>
                <c:pt idx="9">
                  <c:v>0.19400000000000001</c:v>
                </c:pt>
                <c:pt idx="10">
                  <c:v>0.42899999999999999</c:v>
                </c:pt>
                <c:pt idx="11">
                  <c:v>0</c:v>
                </c:pt>
                <c:pt idx="12">
                  <c:v>0.17799999999999999</c:v>
                </c:pt>
                <c:pt idx="13">
                  <c:v>0.155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6FF-41CF-9BD4-1D695B7E92CE}"/>
            </c:ext>
          </c:extLst>
        </c:ser>
        <c:ser>
          <c:idx val="2"/>
          <c:order val="2"/>
          <c:tx>
            <c:strRef>
              <c:f>Sheet1!$D$32</c:f>
              <c:strCache>
                <c:ptCount val="1"/>
                <c:pt idx="0">
                  <c:v>Bridge EI (2-step)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Sheet1!$A$33:$A$46</c:f>
              <c:strCache>
                <c:ptCount val="14"/>
                <c:pt idx="0">
                  <c:v>anx1</c:v>
                </c:pt>
                <c:pt idx="1">
                  <c:v>anx2</c:v>
                </c:pt>
                <c:pt idx="2">
                  <c:v>anx3</c:v>
                </c:pt>
                <c:pt idx="3">
                  <c:v>anx4</c:v>
                </c:pt>
                <c:pt idx="4">
                  <c:v>anx5</c:v>
                </c:pt>
                <c:pt idx="5">
                  <c:v>anx6</c:v>
                </c:pt>
                <c:pt idx="6">
                  <c:v>anx7</c:v>
                </c:pt>
                <c:pt idx="7">
                  <c:v>dep1</c:v>
                </c:pt>
                <c:pt idx="8">
                  <c:v>dep2</c:v>
                </c:pt>
                <c:pt idx="9">
                  <c:v>dep3</c:v>
                </c:pt>
                <c:pt idx="10">
                  <c:v>dep4</c:v>
                </c:pt>
                <c:pt idx="11">
                  <c:v>dep5</c:v>
                </c:pt>
                <c:pt idx="12">
                  <c:v>dep6</c:v>
                </c:pt>
                <c:pt idx="13">
                  <c:v>dep7</c:v>
                </c:pt>
              </c:strCache>
            </c:strRef>
          </c:cat>
          <c:val>
            <c:numRef>
              <c:f>Sheet1!$D$33:$D$46</c:f>
              <c:numCache>
                <c:formatCode>General</c:formatCode>
                <c:ptCount val="14"/>
                <c:pt idx="0">
                  <c:v>0.23899999999999999</c:v>
                </c:pt>
                <c:pt idx="1">
                  <c:v>0.26700000000000002</c:v>
                </c:pt>
                <c:pt idx="2">
                  <c:v>0.1</c:v>
                </c:pt>
                <c:pt idx="3">
                  <c:v>0.91400000000000003</c:v>
                </c:pt>
                <c:pt idx="4">
                  <c:v>0.36299999999999999</c:v>
                </c:pt>
                <c:pt idx="5">
                  <c:v>0.22700000000000001</c:v>
                </c:pt>
                <c:pt idx="6">
                  <c:v>0.185</c:v>
                </c:pt>
                <c:pt idx="7">
                  <c:v>0.40500000000000003</c:v>
                </c:pt>
                <c:pt idx="8">
                  <c:v>0.27800000000000002</c:v>
                </c:pt>
                <c:pt idx="9">
                  <c:v>0.379</c:v>
                </c:pt>
                <c:pt idx="10">
                  <c:v>0.76400000000000001</c:v>
                </c:pt>
                <c:pt idx="11">
                  <c:v>0</c:v>
                </c:pt>
                <c:pt idx="12">
                  <c:v>0.34399999999999997</c:v>
                </c:pt>
                <c:pt idx="13">
                  <c:v>0.32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6FF-41CF-9BD4-1D695B7E92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655407296"/>
        <c:axId val="655408016"/>
      </c:barChart>
      <c:catAx>
        <c:axId val="6554072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cap="none" spc="0" normalizeH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5408016"/>
        <c:crosses val="autoZero"/>
        <c:auto val="1"/>
        <c:lblAlgn val="ctr"/>
        <c:lblOffset val="100"/>
        <c:noMultiLvlLbl val="0"/>
      </c:catAx>
      <c:valAx>
        <c:axId val="655408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5407296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69348b8f-2687-47de-a6a9-01be307ba50c}"/>
      </c:ext>
    </c:extLst>
  </c:chart>
  <c:spPr>
    <a:solidFill>
      <a:schemeClr val="accent4">
        <a:lumMod val="20000"/>
        <a:lumOff val="80000"/>
      </a:schemeClr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lang="en-US"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600" b="1" i="0" u="none" strike="noStrike" kern="1200" cap="none" spc="0" normalizeH="0" baseline="0">
                <a:solidFill>
                  <a:schemeClr val="tx1"/>
                </a:solidFill>
                <a:latin typeface="+mj-lt"/>
                <a:ea typeface="+mj-ea"/>
                <a:cs typeface="+mj-cs"/>
              </a:defRPr>
            </a:pPr>
            <a:r>
              <a:rPr lang="en-US">
                <a:solidFill>
                  <a:schemeClr val="tx1"/>
                </a:solidFill>
              </a:rPr>
              <a:t>p-value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600" b="1" i="0" u="none" strike="noStrike" kern="1200" cap="none" spc="0" normalizeH="0" baseline="0">
              <a:solidFill>
                <a:schemeClr val="tx1"/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[HADS.xlsx]Sheet1!$B$55</c:f>
              <c:strCache>
                <c:ptCount val="1"/>
                <c:pt idx="0">
                  <c:v>p-value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1"/>
                </a:solidFill>
              </a:ln>
              <a:effectLst/>
            </c:spPr>
            <c:trendlineType val="linear"/>
            <c:dispRSqr val="0"/>
            <c:dispEq val="0"/>
          </c:trendline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dk1">
                    <a:lumMod val="50000"/>
                    <a:lumOff val="50000"/>
                  </a:schemeClr>
                </a:solidFill>
                <a:round/>
              </a:ln>
              <a:effectLst/>
            </c:spPr>
          </c:errBars>
          <c:cat>
            <c:strRef>
              <c:f>[HADS.xlsx]Sheet1!$A$56:$A$69</c:f>
              <c:strCache>
                <c:ptCount val="14"/>
                <c:pt idx="0">
                  <c:v>anx1</c:v>
                </c:pt>
                <c:pt idx="1">
                  <c:v>anx2</c:v>
                </c:pt>
                <c:pt idx="2">
                  <c:v>anx3</c:v>
                </c:pt>
                <c:pt idx="3">
                  <c:v>anx4</c:v>
                </c:pt>
                <c:pt idx="4">
                  <c:v>anx5</c:v>
                </c:pt>
                <c:pt idx="5">
                  <c:v>anx6</c:v>
                </c:pt>
                <c:pt idx="6">
                  <c:v>anx7</c:v>
                </c:pt>
                <c:pt idx="7">
                  <c:v>dep1</c:v>
                </c:pt>
                <c:pt idx="8">
                  <c:v>dep2</c:v>
                </c:pt>
                <c:pt idx="9">
                  <c:v>dep3</c:v>
                </c:pt>
                <c:pt idx="10">
                  <c:v>dep4</c:v>
                </c:pt>
                <c:pt idx="11">
                  <c:v>dep5</c:v>
                </c:pt>
                <c:pt idx="12">
                  <c:v>dep6</c:v>
                </c:pt>
                <c:pt idx="13">
                  <c:v>dep7</c:v>
                </c:pt>
              </c:strCache>
            </c:strRef>
          </c:cat>
          <c:val>
            <c:numRef>
              <c:f>[HADS.xlsx]Sheet1!$B$56:$B$69</c:f>
              <c:numCache>
                <c:formatCode>General</c:formatCode>
                <c:ptCount val="14"/>
                <c:pt idx="0">
                  <c:v>0.59699999999999998</c:v>
                </c:pt>
                <c:pt idx="1">
                  <c:v>0.83099999999999996</c:v>
                </c:pt>
                <c:pt idx="2">
                  <c:v>0.4</c:v>
                </c:pt>
                <c:pt idx="3">
                  <c:v>8.3000000000000004E-2</c:v>
                </c:pt>
                <c:pt idx="4">
                  <c:v>0.71</c:v>
                </c:pt>
                <c:pt idx="5">
                  <c:v>0.14699999999999999</c:v>
                </c:pt>
                <c:pt idx="6">
                  <c:v>0.115</c:v>
                </c:pt>
                <c:pt idx="7">
                  <c:v>0.111</c:v>
                </c:pt>
                <c:pt idx="8">
                  <c:v>0.13</c:v>
                </c:pt>
                <c:pt idx="9">
                  <c:v>0.72599999999999998</c:v>
                </c:pt>
                <c:pt idx="10">
                  <c:v>0.61399999999999999</c:v>
                </c:pt>
                <c:pt idx="11">
                  <c:v>0.83</c:v>
                </c:pt>
                <c:pt idx="12">
                  <c:v>5.2999999999999999E-2</c:v>
                </c:pt>
                <c:pt idx="13">
                  <c:v>1.0999999999999999E-2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11A-4B13-BD12-6DC961883CE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67"/>
        <c:overlap val="-43"/>
        <c:axId val="664580920"/>
        <c:axId val="664578400"/>
      </c:barChart>
      <c:catAx>
        <c:axId val="6645809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64578400"/>
        <c:crosses val="autoZero"/>
        <c:auto val="1"/>
        <c:lblAlgn val="ctr"/>
        <c:lblOffset val="100"/>
        <c:noMultiLvlLbl val="0"/>
      </c:catAx>
      <c:valAx>
        <c:axId val="664578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6458092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lang="en-US" sz="8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40883c15-34f4-4616-9135-3607d2d8b456}"/>
      </c:ext>
    </c:extLst>
  </c:chart>
  <c:spPr>
    <a:solidFill>
      <a:schemeClr val="accent4">
        <a:lumMod val="20000"/>
        <a:lumOff val="80000"/>
      </a:schemeClr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lang="en-US"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2026-05-12T09:45:00Z</dcterms:created>
  <dcterms:modified xsi:type="dcterms:W3CDTF">2026-05-12T09:46:00Z</dcterms:modified>
</cp:coreProperties>
</file>