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37F0" w14:textId="77777777" w:rsidR="003B316C" w:rsidRDefault="003B316C" w:rsidP="003B316C">
      <w:pPr>
        <w:rPr>
          <w:rFonts w:ascii="Times New Roman" w:hAnsi="Times New Roman" w:cs="Times New Roman"/>
        </w:rPr>
      </w:pPr>
    </w:p>
    <w:p w14:paraId="3571D6D1" w14:textId="77777777" w:rsidR="003B316C" w:rsidRDefault="003B316C" w:rsidP="003B31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114300" distR="114300" wp14:anchorId="7289A066" wp14:editId="24DB50FB">
            <wp:extent cx="4216400" cy="3149600"/>
            <wp:effectExtent l="0" t="0" r="0" b="0"/>
            <wp:docPr id="5" name="图片 5" descr="bootstrapped confidence interv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ootstrapped confidence interval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AE797" w14:textId="77777777" w:rsidR="003B316C" w:rsidRDefault="003B316C" w:rsidP="003B316C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Figure S1</w:t>
      </w:r>
      <w:r>
        <w:rPr>
          <w:rFonts w:ascii="Times New Roman" w:hAnsi="Times New Roman" w:cs="Times New Roman"/>
          <w:sz w:val="24"/>
          <w:szCs w:val="32"/>
        </w:rPr>
        <w:t>. Bootstrapped confidence intervals of edge weights</w:t>
      </w:r>
    </w:p>
    <w:p w14:paraId="33A379A0" w14:textId="77777777" w:rsidR="003B316C" w:rsidRDefault="003B316C" w:rsidP="003B31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114300" distR="114300" wp14:anchorId="0CBE84A1" wp14:editId="03F2C6FE">
            <wp:extent cx="4216400" cy="4216400"/>
            <wp:effectExtent l="0" t="0" r="0" b="0"/>
            <wp:docPr id="6" name="图片 6" descr="edge weight differ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dge weight differenc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CD03" w14:textId="77777777" w:rsidR="003B316C" w:rsidRDefault="003B316C" w:rsidP="003B316C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Figure S2. Estimation of edge weight difference by bootstrapped difference test</w:t>
      </w:r>
    </w:p>
    <w:p w14:paraId="722EB66A" w14:textId="77777777" w:rsidR="003B316C" w:rsidRDefault="003B316C" w:rsidP="003B31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13C8C216" wp14:editId="17CA883B">
            <wp:extent cx="4216400" cy="4216400"/>
            <wp:effectExtent l="0" t="0" r="0" b="0"/>
            <wp:docPr id="8" name="图片 8" descr="expectedInfluence differ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xpectedInfluence differenc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907E8" w14:textId="77777777" w:rsidR="003B316C" w:rsidRDefault="003B316C" w:rsidP="003B316C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Figure S3. Bootstrapped stability test for expected influence.</w:t>
      </w:r>
    </w:p>
    <w:p w14:paraId="2C510B73" w14:textId="77777777" w:rsidR="003B316C" w:rsidRDefault="003B316C" w:rsidP="003B31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944BC1" w14:textId="77777777" w:rsidR="003B316C" w:rsidRDefault="003B316C" w:rsidP="003B31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3A912E4" wp14:editId="48467D5C">
            <wp:extent cx="4438650" cy="3149600"/>
            <wp:effectExtent l="0" t="0" r="6350" b="0"/>
            <wp:docPr id="10" name="图片 10" descr="D边强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边强度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FF1C" w14:textId="77777777" w:rsidR="003B316C" w:rsidRDefault="003B316C" w:rsidP="003B316C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Figure S4</w:t>
      </w:r>
      <w:r>
        <w:rPr>
          <w:rFonts w:ascii="Times New Roman" w:hAnsi="Times New Roman" w:cs="Times New Roman"/>
          <w:sz w:val="24"/>
          <w:szCs w:val="32"/>
        </w:rPr>
        <w:t xml:space="preserve">. Directed Acyclic Graphs (DAG). Edge thickness signifies the magnitude of the Bayesian Information Criterion (BIC). </w:t>
      </w:r>
    </w:p>
    <w:p w14:paraId="34630ABA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6C"/>
    <w:rsid w:val="00066677"/>
    <w:rsid w:val="00153A17"/>
    <w:rsid w:val="001A37F3"/>
    <w:rsid w:val="003A4E89"/>
    <w:rsid w:val="003B316C"/>
    <w:rsid w:val="00556784"/>
    <w:rsid w:val="00887F95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D02D9"/>
  <w15:chartTrackingRefBased/>
  <w15:docId w15:val="{74CDD79D-4F53-47C0-9925-AA9E137F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16C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16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16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16C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16C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16C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16C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16C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16C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16C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1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1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16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3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16C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3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16C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3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16C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31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16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1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1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2026-08-03T14:56:00Z</dcterms:created>
  <dcterms:modified xsi:type="dcterms:W3CDTF">2026-08-03T14:57:00Z</dcterms:modified>
</cp:coreProperties>
</file>