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51456">
      <w:pPr>
        <w:spacing w:line="360" w:lineRule="auto"/>
        <w:rPr>
          <w:rFonts w:ascii="Times New Roman" w:hAnsi="Times New Roman"/>
          <w:b/>
          <w:bCs/>
          <w:sz w:val="24"/>
        </w:rPr>
      </w:pPr>
      <w:bookmarkStart w:id="0" w:name="_GoBack"/>
      <w:bookmarkEnd w:id="0"/>
      <w:r>
        <w:rPr>
          <w:rFonts w:hint="eastAsia" w:ascii="Times New Roman" w:hAnsi="Times New Roman"/>
          <w:b/>
          <w:bCs/>
          <w:sz w:val="24"/>
        </w:rPr>
        <w:t>Supplementary Materials</w:t>
      </w:r>
    </w:p>
    <w:p w14:paraId="4559EB80">
      <w:pPr>
        <w:spacing w:line="360" w:lineRule="auto"/>
        <w:rPr>
          <w:rFonts w:ascii="Times New Roman" w:hAnsi="Times New Roman"/>
          <w:sz w:val="24"/>
        </w:rPr>
      </w:pPr>
      <w:r>
        <w:rPr>
          <w:rFonts w:ascii="Times New Roman" w:hAnsi="Times New Roman"/>
          <w:sz w:val="24"/>
        </w:rPr>
        <w:t>Pub</w:t>
      </w:r>
      <w:r>
        <w:rPr>
          <w:rFonts w:hint="eastAsia" w:ascii="Times New Roman" w:hAnsi="Times New Roman"/>
          <w:sz w:val="24"/>
        </w:rPr>
        <w:t>M</w:t>
      </w:r>
      <w:r>
        <w:rPr>
          <w:rFonts w:ascii="Times New Roman" w:hAnsi="Times New Roman"/>
          <w:sz w:val="24"/>
        </w:rPr>
        <w:t>ed</w:t>
      </w:r>
      <w:r>
        <w:rPr>
          <w:rFonts w:hint="eastAsia" w:ascii="Times New Roman" w:hAnsi="Times New Roman"/>
          <w:sz w:val="24"/>
        </w:rPr>
        <w:t xml:space="preserve"> search</w:t>
      </w:r>
      <w:r>
        <w:rPr>
          <w:rFonts w:ascii="Times New Roman" w:hAnsi="Times New Roman"/>
          <w:sz w:val="24"/>
        </w:rPr>
        <w:t>：</w:t>
      </w:r>
    </w:p>
    <w:p w14:paraId="25AC798C">
      <w:pPr>
        <w:spacing w:line="360" w:lineRule="auto"/>
        <w:rPr>
          <w:rFonts w:ascii="Times New Roman" w:hAnsi="Times New Roman"/>
          <w:sz w:val="24"/>
        </w:rPr>
      </w:pPr>
      <w:r>
        <w:rPr>
          <w:rFonts w:ascii="Times New Roman" w:hAnsi="Times New Roman"/>
          <w:sz w:val="24"/>
        </w:rPr>
        <w:t>((Atherosclerosis[Mesh])OR(Atheroscleroses[Title/Abstract])OR(Atherogenesis[Title/Abstract]) OR (Coronary artery disease[Mesh]) OR (Artery Disease, Coronary[Title/Abstract]) OR (Artery Diseases, Coronary[Title/Abstract]) OR (Coronary Artery Diseases[Title/Abstract]) OR (Coronary Arteriosclerosis[Title/Abstract]) OR (Arterioscleroses, Coronary</w:t>
      </w:r>
      <w:r>
        <w:rPr>
          <w:rFonts w:hint="eastAsia" w:ascii="Times New Roman" w:hAnsi="Times New Roman"/>
          <w:sz w:val="24"/>
        </w:rPr>
        <w:t xml:space="preserve"> </w:t>
      </w:r>
      <w:r>
        <w:rPr>
          <w:rFonts w:ascii="Times New Roman" w:hAnsi="Times New Roman"/>
          <w:sz w:val="24"/>
        </w:rPr>
        <w:t>[Title/Abstract]) OR (Coronary Arterioscleroses</w:t>
      </w:r>
      <w:r>
        <w:rPr>
          <w:rFonts w:hint="eastAsia" w:ascii="Times New Roman" w:hAnsi="Times New Roman"/>
          <w:sz w:val="24"/>
        </w:rPr>
        <w:t xml:space="preserve"> </w:t>
      </w:r>
      <w:r>
        <w:rPr>
          <w:rFonts w:ascii="Times New Roman" w:hAnsi="Times New Roman"/>
          <w:sz w:val="24"/>
        </w:rPr>
        <w:t>[Title/Abstract]) OR (Arteriosclerosis, Coronary[Title/Abstract]) OR (Atherosclerosis, Coronary[Title/Abstract]) OR (Atheroscleroses, Coronary[Title/Abstract]) OR (Coronary Atheroscleroses</w:t>
      </w:r>
      <w:r>
        <w:rPr>
          <w:rFonts w:hint="eastAsia" w:ascii="Times New Roman" w:hAnsi="Times New Roman"/>
          <w:sz w:val="24"/>
        </w:rPr>
        <w:t xml:space="preserve"> </w:t>
      </w:r>
      <w:r>
        <w:rPr>
          <w:rFonts w:ascii="Times New Roman" w:hAnsi="Times New Roman"/>
          <w:sz w:val="24"/>
        </w:rPr>
        <w:t>[Title/Abstract]) OR (Coronary Atherosclerosis[Title/Abstract]) OR (Left Main Coronary Artery Disease[Title/Abstract]) OR (Left Main Coronary Disease[Title/Abstract]) OR (Left Main Disease[Title/Abstract]) OR (Left Main Diseases[Title/Abstract])) AND ((Risk prediction model[Title/Abstract]) OR (Prediction model[Title/Abstract]) OR (Risk prediction[Title/Abstract]) OR (Risk factors[Title/Abstract]) OR (Risk assessment[Title/Abstract]) OR (Risk score[Title/Abstract]) OR (Prediction tool[Title/Abstract]) OR (Nomogram[Title/Abstract])) AND ((Case-control studies[Title/Abstract]) OR (Case-control study[Title/Abstract]) OR (Study,</w:t>
      </w:r>
      <w:r>
        <w:rPr>
          <w:rFonts w:hint="eastAsia" w:ascii="Times New Roman" w:hAnsi="Times New Roman"/>
          <w:sz w:val="24"/>
        </w:rPr>
        <w:t xml:space="preserve"> </w:t>
      </w:r>
      <w:r>
        <w:rPr>
          <w:rFonts w:ascii="Times New Roman" w:hAnsi="Times New Roman"/>
          <w:sz w:val="24"/>
        </w:rPr>
        <w:t>case-control[Title/Abstract]) OR (Studies,</w:t>
      </w:r>
      <w:r>
        <w:rPr>
          <w:rFonts w:hint="eastAsia" w:ascii="Times New Roman" w:hAnsi="Times New Roman"/>
          <w:sz w:val="24"/>
        </w:rPr>
        <w:t xml:space="preserve"> </w:t>
      </w:r>
      <w:r>
        <w:rPr>
          <w:rFonts w:ascii="Times New Roman" w:hAnsi="Times New Roman"/>
          <w:sz w:val="24"/>
        </w:rPr>
        <w:t>case-control[Title/Abstract]) OR (Case-comparison studies[Title/Abstract]) OR (Case-comparison study[Title/Abstract]) OR (Study,</w:t>
      </w:r>
      <w:r>
        <w:rPr>
          <w:rFonts w:hint="eastAsia" w:ascii="Times New Roman" w:hAnsi="Times New Roman"/>
          <w:sz w:val="24"/>
        </w:rPr>
        <w:t xml:space="preserve"> </w:t>
      </w:r>
      <w:r>
        <w:rPr>
          <w:rFonts w:ascii="Times New Roman" w:hAnsi="Times New Roman"/>
          <w:sz w:val="24"/>
        </w:rPr>
        <w:t>case-comparison[Title/Abstract]) OR (Studies,</w:t>
      </w:r>
      <w:r>
        <w:rPr>
          <w:rFonts w:hint="eastAsia" w:ascii="Times New Roman" w:hAnsi="Times New Roman"/>
          <w:sz w:val="24"/>
        </w:rPr>
        <w:t xml:space="preserve"> </w:t>
      </w:r>
      <w:r>
        <w:rPr>
          <w:rFonts w:ascii="Times New Roman" w:hAnsi="Times New Roman"/>
          <w:sz w:val="24"/>
        </w:rPr>
        <w:t>case-comparison[Title/Abstract]) OR (Case control studies[Title/Abstract]) OR (Case control study[Title/Abstract]) OR (Study,</w:t>
      </w:r>
      <w:r>
        <w:rPr>
          <w:rFonts w:hint="eastAsia" w:ascii="Times New Roman" w:hAnsi="Times New Roman"/>
          <w:sz w:val="24"/>
        </w:rPr>
        <w:t xml:space="preserve"> </w:t>
      </w:r>
      <w:r>
        <w:rPr>
          <w:rFonts w:ascii="Times New Roman" w:hAnsi="Times New Roman"/>
          <w:sz w:val="24"/>
        </w:rPr>
        <w:t>case control[Title/Abstract]) OR (Studies,</w:t>
      </w:r>
      <w:r>
        <w:rPr>
          <w:rFonts w:hint="eastAsia" w:ascii="Times New Roman" w:hAnsi="Times New Roman"/>
          <w:sz w:val="24"/>
        </w:rPr>
        <w:t xml:space="preserve"> </w:t>
      </w:r>
      <w:r>
        <w:rPr>
          <w:rFonts w:ascii="Times New Roman" w:hAnsi="Times New Roman"/>
          <w:sz w:val="24"/>
        </w:rPr>
        <w:t>case control[Title/Abstract]) OR (Case comparison studies[Title/Abstract]) OR (Case comparison study[Title/Abstract]) OR (Study,</w:t>
      </w:r>
      <w:r>
        <w:rPr>
          <w:rFonts w:hint="eastAsia" w:ascii="Times New Roman" w:hAnsi="Times New Roman"/>
          <w:sz w:val="24"/>
        </w:rPr>
        <w:t xml:space="preserve"> </w:t>
      </w:r>
      <w:r>
        <w:rPr>
          <w:rFonts w:ascii="Times New Roman" w:hAnsi="Times New Roman"/>
          <w:sz w:val="24"/>
        </w:rPr>
        <w:t>case comparison[Title/Abstract]) OR (Studies,</w:t>
      </w:r>
      <w:r>
        <w:rPr>
          <w:rFonts w:hint="eastAsia" w:ascii="Times New Roman" w:hAnsi="Times New Roman"/>
          <w:sz w:val="24"/>
        </w:rPr>
        <w:t xml:space="preserve"> </w:t>
      </w:r>
      <w:r>
        <w:rPr>
          <w:rFonts w:ascii="Times New Roman" w:hAnsi="Times New Roman"/>
          <w:sz w:val="24"/>
        </w:rPr>
        <w:t>case comparison[Title/Abstract]) OR (Cohort study[Title/Abstract]) OR (Cohort studies[Title/Abstract]) OR (Study,</w:t>
      </w:r>
      <w:r>
        <w:rPr>
          <w:rFonts w:hint="eastAsia" w:ascii="Times New Roman" w:hAnsi="Times New Roman"/>
          <w:sz w:val="24"/>
        </w:rPr>
        <w:t xml:space="preserve"> </w:t>
      </w:r>
      <w:r>
        <w:rPr>
          <w:rFonts w:ascii="Times New Roman" w:hAnsi="Times New Roman"/>
          <w:sz w:val="24"/>
        </w:rPr>
        <w:t>cohort[Title/Abstract]) OR (Studies,</w:t>
      </w:r>
      <w:r>
        <w:rPr>
          <w:rFonts w:hint="eastAsia" w:ascii="Times New Roman" w:hAnsi="Times New Roman"/>
          <w:sz w:val="24"/>
        </w:rPr>
        <w:t xml:space="preserve"> </w:t>
      </w:r>
      <w:r>
        <w:rPr>
          <w:rFonts w:ascii="Times New Roman" w:hAnsi="Times New Roman"/>
          <w:sz w:val="24"/>
        </w:rPr>
        <w:t>cohort[Title/Abstract]))</w:t>
      </w:r>
    </w:p>
    <w:p w14:paraId="64BFC6D9">
      <w:pPr>
        <w:spacing w:line="360" w:lineRule="auto"/>
        <w:rPr>
          <w:rFonts w:ascii="Times New Roman" w:hAnsi="Times New Roman"/>
          <w:sz w:val="24"/>
        </w:rPr>
      </w:pPr>
    </w:p>
    <w:p w14:paraId="2C3C6E9D">
      <w:pPr>
        <w:spacing w:line="360" w:lineRule="auto"/>
        <w:rPr>
          <w:rFonts w:ascii="Times New Roman" w:hAnsi="Times New Roman"/>
          <w:sz w:val="24"/>
        </w:rPr>
      </w:pPr>
      <w:r>
        <w:rPr>
          <w:rFonts w:ascii="Times New Roman" w:hAnsi="Times New Roman"/>
          <w:sz w:val="24"/>
        </w:rPr>
        <w:t>Embase</w:t>
      </w:r>
      <w:r>
        <w:rPr>
          <w:rFonts w:hint="eastAsia" w:ascii="Times New Roman" w:hAnsi="Times New Roman"/>
          <w:sz w:val="24"/>
        </w:rPr>
        <w:t xml:space="preserve"> search</w:t>
      </w:r>
      <w:r>
        <w:rPr>
          <w:rFonts w:ascii="Times New Roman" w:hAnsi="Times New Roman"/>
          <w:sz w:val="24"/>
        </w:rPr>
        <w:t>：</w:t>
      </w:r>
    </w:p>
    <w:p w14:paraId="256C5993">
      <w:pPr>
        <w:spacing w:line="360" w:lineRule="auto"/>
        <w:rPr>
          <w:rFonts w:ascii="Times New Roman" w:hAnsi="Times New Roman"/>
          <w:sz w:val="24"/>
        </w:rPr>
      </w:pPr>
      <w:r>
        <w:rPr>
          <w:rFonts w:ascii="Times New Roman" w:hAnsi="Times New Roman"/>
          <w:sz w:val="24"/>
        </w:rPr>
        <w:t>(('coronary artery disease'/exp OR 'atherosclerosis'/exp) OR ('Atherosclerosis':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'Atheroscleroses':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'Atherogenesis':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artery disease':</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'Artery Disease,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'Artery Diseases,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Artery Diseases':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Arteriosclerosis':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'Arterioscleroses,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Arterioscleroses':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'Arteriosclerosis,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'Atherosclerosis,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'Atheroscleroses, Coronary':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Atheroscleroses'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'Coronary Atherosclerosis':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'Left Main Coronary Artery Disease':</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'Left Main Coronary Disease':</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'Left Main Disease':</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'Left Main Diseases':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AND ('Risk prediction model':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'Prediction model':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'Risk prediction':</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'Risk factors':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'Risk assessment':</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'Risk score':</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'Prediction tool':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'Nomogram':</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AND ('Case-control studies':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'Case-control study':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'Study,</w:t>
      </w:r>
      <w:r>
        <w:rPr>
          <w:rFonts w:hint="eastAsia" w:ascii="Times New Roman" w:hAnsi="Times New Roman"/>
          <w:sz w:val="24"/>
        </w:rPr>
        <w:t xml:space="preserve"> </w:t>
      </w:r>
      <w:r>
        <w:rPr>
          <w:rFonts w:ascii="Times New Roman" w:hAnsi="Times New Roman"/>
          <w:sz w:val="24"/>
        </w:rPr>
        <w:t>case-control'</w:t>
      </w:r>
      <w:r>
        <w:rPr>
          <w:rFonts w:hint="eastAsia" w:ascii="Times New Roman" w:hAnsi="Times New Roman"/>
          <w:sz w:val="24"/>
        </w:rPr>
        <w:t xml:space="preserve"> </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'Studies,</w:t>
      </w:r>
      <w:r>
        <w:rPr>
          <w:rFonts w:hint="eastAsia" w:ascii="Times New Roman" w:hAnsi="Times New Roman"/>
          <w:sz w:val="24"/>
        </w:rPr>
        <w:t xml:space="preserve"> </w:t>
      </w:r>
      <w:r>
        <w:rPr>
          <w:rFonts w:ascii="Times New Roman" w:hAnsi="Times New Roman"/>
          <w:sz w:val="24"/>
        </w:rPr>
        <w:t>case-control':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'Case-comparison studies':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'Case-comparison study':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'Study,</w:t>
      </w:r>
      <w:r>
        <w:rPr>
          <w:rFonts w:hint="eastAsia" w:ascii="Times New Roman" w:hAnsi="Times New Roman"/>
          <w:sz w:val="24"/>
        </w:rPr>
        <w:t xml:space="preserve"> </w:t>
      </w:r>
      <w:r>
        <w:rPr>
          <w:rFonts w:ascii="Times New Roman" w:hAnsi="Times New Roman"/>
          <w:sz w:val="24"/>
        </w:rPr>
        <w:t>case-comparison':</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'Studies,</w:t>
      </w:r>
      <w:r>
        <w:rPr>
          <w:rFonts w:hint="eastAsia" w:ascii="Times New Roman" w:hAnsi="Times New Roman"/>
          <w:sz w:val="24"/>
        </w:rPr>
        <w:t xml:space="preserve"> </w:t>
      </w:r>
      <w:r>
        <w:rPr>
          <w:rFonts w:ascii="Times New Roman" w:hAnsi="Times New Roman"/>
          <w:sz w:val="24"/>
        </w:rPr>
        <w:t>case-comparison':</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 control studies':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 control study':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'Study,</w:t>
      </w:r>
      <w:r>
        <w:rPr>
          <w:rFonts w:hint="eastAsia" w:ascii="Times New Roman" w:hAnsi="Times New Roman"/>
          <w:sz w:val="24"/>
        </w:rPr>
        <w:t xml:space="preserve"> </w:t>
      </w:r>
      <w:r>
        <w:rPr>
          <w:rFonts w:ascii="Times New Roman" w:hAnsi="Times New Roman"/>
          <w:sz w:val="24"/>
        </w:rPr>
        <w:t>case control':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'Studies,</w:t>
      </w:r>
      <w:r>
        <w:rPr>
          <w:rFonts w:hint="eastAsia" w:ascii="Times New Roman" w:hAnsi="Times New Roman"/>
          <w:sz w:val="24"/>
        </w:rPr>
        <w:t xml:space="preserve"> </w:t>
      </w:r>
      <w:r>
        <w:rPr>
          <w:rFonts w:ascii="Times New Roman" w:hAnsi="Times New Roman"/>
          <w:sz w:val="24"/>
        </w:rPr>
        <w:t>case control':</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 comparison studies':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'Case comparison study':</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'Study,</w:t>
      </w:r>
      <w:r>
        <w:rPr>
          <w:rFonts w:hint="eastAsia" w:ascii="Times New Roman" w:hAnsi="Times New Roman"/>
          <w:sz w:val="24"/>
        </w:rPr>
        <w:t xml:space="preserve"> </w:t>
      </w:r>
      <w:r>
        <w:rPr>
          <w:rFonts w:ascii="Times New Roman" w:hAnsi="Times New Roman"/>
          <w:sz w:val="24"/>
        </w:rPr>
        <w:t>case comparison':</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'Studies,</w:t>
      </w:r>
      <w:r>
        <w:rPr>
          <w:rFonts w:hint="eastAsia" w:ascii="Times New Roman" w:hAnsi="Times New Roman"/>
          <w:sz w:val="24"/>
        </w:rPr>
        <w:t xml:space="preserve"> </w:t>
      </w:r>
      <w:r>
        <w:rPr>
          <w:rFonts w:ascii="Times New Roman" w:hAnsi="Times New Roman"/>
          <w:sz w:val="24"/>
        </w:rPr>
        <w:t>case comparison':</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'Cohort study'</w:t>
      </w:r>
      <w:r>
        <w:rPr>
          <w:rFonts w:hint="eastAsia" w:ascii="Times New Roman" w:hAnsi="Times New Roman"/>
          <w:sz w:val="24"/>
        </w:rPr>
        <w:t xml:space="preserve"> </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'Cohort studies':</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'Study,</w:t>
      </w:r>
      <w:r>
        <w:rPr>
          <w:rFonts w:hint="eastAsia" w:ascii="Times New Roman" w:hAnsi="Times New Roman"/>
          <w:sz w:val="24"/>
        </w:rPr>
        <w:t xml:space="preserve"> </w:t>
      </w:r>
      <w:r>
        <w:rPr>
          <w:rFonts w:ascii="Times New Roman" w:hAnsi="Times New Roman"/>
          <w:sz w:val="24"/>
        </w:rPr>
        <w:t>cohort':</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ti OR 'Studies,</w:t>
      </w:r>
      <w:r>
        <w:rPr>
          <w:rFonts w:hint="eastAsia" w:ascii="Times New Roman" w:hAnsi="Times New Roman"/>
          <w:sz w:val="24"/>
        </w:rPr>
        <w:t xml:space="preserve"> </w:t>
      </w:r>
      <w:r>
        <w:rPr>
          <w:rFonts w:ascii="Times New Roman" w:hAnsi="Times New Roman"/>
          <w:sz w:val="24"/>
        </w:rPr>
        <w:t>cohort':</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 xml:space="preserve">ti) </w:t>
      </w:r>
    </w:p>
    <w:p w14:paraId="48B51C64">
      <w:pPr>
        <w:spacing w:line="360" w:lineRule="auto"/>
        <w:jc w:val="left"/>
        <w:rPr>
          <w:rFonts w:ascii="Times New Roman" w:hAnsi="Times New Roman"/>
          <w:sz w:val="24"/>
        </w:rPr>
      </w:pPr>
    </w:p>
    <w:p w14:paraId="670F06D0">
      <w:pPr>
        <w:spacing w:line="360" w:lineRule="auto"/>
        <w:jc w:val="left"/>
        <w:rPr>
          <w:rFonts w:ascii="Times New Roman" w:hAnsi="Times New Roman"/>
          <w:sz w:val="24"/>
        </w:rPr>
      </w:pPr>
      <w:r>
        <w:rPr>
          <w:rFonts w:hint="eastAsia" w:ascii="Times New Roman" w:hAnsi="Times New Roman"/>
          <w:sz w:val="24"/>
        </w:rPr>
        <w:t>Web of Science search:</w:t>
      </w:r>
    </w:p>
    <w:p w14:paraId="46853546">
      <w:pPr>
        <w:spacing w:line="360" w:lineRule="auto"/>
        <w:jc w:val="left"/>
        <w:rPr>
          <w:rFonts w:ascii="Times New Roman" w:hAnsi="Times New Roman"/>
          <w:sz w:val="24"/>
        </w:rPr>
      </w:pPr>
      <w:r>
        <w:rPr>
          <w:rFonts w:ascii="Times New Roman" w:hAnsi="Times New Roman"/>
          <w:sz w:val="24"/>
        </w:rPr>
        <w:t>((Atheroscleroses)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(Atherogenesis)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(Artery Disease,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(Artery Diseases,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(Coronary Artery Diseases)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(Coronary Arteriosclerosis)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(Arterioscleroses,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(Coronary Arterioscleroses)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(Arteriosclerosis,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(Atherosclerosis,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(Atheroscleroses, Coronary)</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(Coronary Atheroscleroses)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(Coronary Atherosclerosis)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(Left Main Coronary Artery Disease)</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(Left Main Coronary Disease)</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(Left Main Disease)</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(Left Main Diseases)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AND ((Risk prediction model)</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(Prediction model)</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(Risk prediction)</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(Risk factors)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(Risk assessment)</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(Risk score)</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(Prediction tool)</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(Nomogram)</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(model)</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(risk)</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(predict)</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(prediction)</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(diagnostic)</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 OR (diagnosis)</w:t>
      </w:r>
      <w:r>
        <w:rPr>
          <w:rFonts w:hint="eastAsia" w:ascii="Times New Roman" w:hAnsi="Times New Roman"/>
          <w:sz w:val="24"/>
        </w:rPr>
        <w:t xml:space="preserve"> </w:t>
      </w:r>
      <w:r>
        <w:rPr>
          <w:rFonts w:ascii="Times New Roman" w:hAnsi="Times New Roman"/>
          <w:sz w:val="24"/>
        </w:rPr>
        <w:t>ti,</w:t>
      </w:r>
      <w:r>
        <w:rPr>
          <w:rFonts w:hint="eastAsia" w:ascii="Times New Roman" w:hAnsi="Times New Roman"/>
          <w:sz w:val="24"/>
        </w:rPr>
        <w:t xml:space="preserve"> </w:t>
      </w:r>
      <w:r>
        <w:rPr>
          <w:rFonts w:ascii="Times New Roman" w:hAnsi="Times New Roman"/>
          <w:sz w:val="24"/>
        </w:rPr>
        <w:t>ab,</w:t>
      </w:r>
      <w:r>
        <w:rPr>
          <w:rFonts w:hint="eastAsia" w:ascii="Times New Roman" w:hAnsi="Times New Roman"/>
          <w:sz w:val="24"/>
        </w:rPr>
        <w:t xml:space="preserve"> </w:t>
      </w:r>
      <w:r>
        <w:rPr>
          <w:rFonts w:ascii="Times New Roman" w:hAnsi="Times New Roman"/>
          <w:sz w:val="24"/>
        </w:rPr>
        <w:t>kw)</w:t>
      </w:r>
    </w:p>
    <w:p w14:paraId="7F59A4DA">
      <w:pPr>
        <w:spacing w:line="360" w:lineRule="auto"/>
        <w:jc w:val="left"/>
        <w:rPr>
          <w:rFonts w:ascii="Times New Roman" w:hAnsi="Times New Roman"/>
          <w:sz w:val="24"/>
        </w:rPr>
      </w:pPr>
    </w:p>
    <w:p w14:paraId="2D164B03">
      <w:pPr>
        <w:jc w:val="center"/>
        <w:rPr>
          <w:rFonts w:ascii="Times New Roman" w:hAnsi="Times New Roman"/>
          <w:b/>
          <w:bCs/>
          <w:sz w:val="24"/>
        </w:rPr>
      </w:pPr>
      <w:r>
        <w:rPr>
          <w:rFonts w:hint="eastAsia" w:ascii="Times New Roman" w:hAnsi="Times New Roman"/>
          <w:b/>
          <w:bCs/>
          <w:sz w:val="24"/>
        </w:rPr>
        <w:drawing>
          <wp:inline distT="0" distB="0" distL="114300" distR="114300">
            <wp:extent cx="4953000" cy="3599815"/>
            <wp:effectExtent l="0" t="0" r="0" b="12065"/>
            <wp:docPr id="6" name="图片 6" descr="漏斗图-58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漏斗图-58汇总"/>
                    <pic:cNvPicPr>
                      <a:picLocks noChangeAspect="1"/>
                    </pic:cNvPicPr>
                  </pic:nvPicPr>
                  <pic:blipFill>
                    <a:blip r:embed="rId4"/>
                    <a:stretch>
                      <a:fillRect/>
                    </a:stretch>
                  </pic:blipFill>
                  <pic:spPr>
                    <a:xfrm>
                      <a:off x="0" y="0"/>
                      <a:ext cx="4953000" cy="3599815"/>
                    </a:xfrm>
                    <a:prstGeom prst="rect">
                      <a:avLst/>
                    </a:prstGeom>
                  </pic:spPr>
                </pic:pic>
              </a:graphicData>
            </a:graphic>
          </wp:inline>
        </w:drawing>
      </w:r>
    </w:p>
    <w:p w14:paraId="4B4889D5">
      <w:pPr>
        <w:spacing w:line="360" w:lineRule="auto"/>
        <w:jc w:val="left"/>
        <w:rPr>
          <w:rFonts w:ascii="Times New Roman" w:hAnsi="Times New Roman"/>
          <w:b/>
          <w:bCs/>
          <w:sz w:val="24"/>
        </w:rPr>
      </w:pPr>
      <w:r>
        <w:rPr>
          <w:rFonts w:hint="eastAsia" w:ascii="Times New Roman" w:hAnsi="Times New Roman"/>
          <w:sz w:val="24"/>
        </w:rPr>
        <w:t>Figure S1 Meta-analysis and heterogeneity assessment of 58 articles (funnel plot)</w:t>
      </w:r>
    </w:p>
    <w:p w14:paraId="38DC7EC1">
      <w:pPr>
        <w:rPr>
          <w:rFonts w:ascii="Times New Roman" w:hAnsi="Times New Roman"/>
          <w:b/>
          <w:bCs/>
          <w:sz w:val="24"/>
        </w:rPr>
      </w:pPr>
    </w:p>
    <w:p w14:paraId="7DF78BCD">
      <w:pPr>
        <w:jc w:val="center"/>
        <w:rPr>
          <w:rFonts w:ascii="Times New Roman" w:hAnsi="Times New Roman"/>
          <w:b/>
          <w:bCs/>
          <w:sz w:val="24"/>
        </w:rPr>
      </w:pPr>
      <w:r>
        <w:rPr>
          <w:rFonts w:hint="eastAsia" w:ascii="Times New Roman" w:hAnsi="Times New Roman"/>
          <w:b/>
          <w:bCs/>
          <w:sz w:val="24"/>
        </w:rPr>
        <w:drawing>
          <wp:inline distT="0" distB="0" distL="114300" distR="114300">
            <wp:extent cx="4305300" cy="4414520"/>
            <wp:effectExtent l="0" t="0" r="7620" b="5080"/>
            <wp:docPr id="3" name="图片 3" descr="森林图-仅做内部验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森林图-仅做内部验证_00"/>
                    <pic:cNvPicPr>
                      <a:picLocks noChangeAspect="1"/>
                    </pic:cNvPicPr>
                  </pic:nvPicPr>
                  <pic:blipFill>
                    <a:blip r:embed="rId5"/>
                    <a:stretch>
                      <a:fillRect/>
                    </a:stretch>
                  </pic:blipFill>
                  <pic:spPr>
                    <a:xfrm>
                      <a:off x="0" y="0"/>
                      <a:ext cx="4305300" cy="4414520"/>
                    </a:xfrm>
                    <a:prstGeom prst="rect">
                      <a:avLst/>
                    </a:prstGeom>
                  </pic:spPr>
                </pic:pic>
              </a:graphicData>
            </a:graphic>
          </wp:inline>
        </w:drawing>
      </w:r>
    </w:p>
    <w:p w14:paraId="1CBB2193">
      <w:pPr>
        <w:spacing w:line="360" w:lineRule="auto"/>
        <w:jc w:val="left"/>
        <w:rPr>
          <w:rFonts w:ascii="Times New Roman" w:hAnsi="Times New Roman"/>
          <w:sz w:val="24"/>
        </w:rPr>
      </w:pPr>
      <w:r>
        <w:rPr>
          <w:rFonts w:hint="eastAsia" w:ascii="Times New Roman" w:hAnsi="Times New Roman"/>
          <w:sz w:val="24"/>
        </w:rPr>
        <w:t>Figure S2 Meta-analysis and heterogeneity assessment of 38 articles with internal validation (forest plot)</w:t>
      </w:r>
    </w:p>
    <w:p w14:paraId="5203BFAB">
      <w:pPr>
        <w:rPr>
          <w:rFonts w:ascii="Times New Roman" w:hAnsi="Times New Roman"/>
          <w:b/>
          <w:bCs/>
          <w:sz w:val="24"/>
        </w:rPr>
      </w:pPr>
    </w:p>
    <w:p w14:paraId="74DCF6F5">
      <w:pPr>
        <w:jc w:val="center"/>
        <w:rPr>
          <w:rFonts w:ascii="Times New Roman" w:hAnsi="Times New Roman"/>
          <w:b/>
          <w:bCs/>
          <w:sz w:val="24"/>
        </w:rPr>
      </w:pPr>
      <w:r>
        <w:rPr>
          <w:rFonts w:hint="eastAsia" w:ascii="Times New Roman" w:hAnsi="Times New Roman"/>
          <w:b/>
          <w:bCs/>
          <w:sz w:val="24"/>
        </w:rPr>
        <w:drawing>
          <wp:inline distT="0" distB="0" distL="114300" distR="114300">
            <wp:extent cx="4110990" cy="2988310"/>
            <wp:effectExtent l="0" t="0" r="3810" b="13970"/>
            <wp:docPr id="8" name="图片 8" descr="漏斗图-仅做内部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漏斗图-仅做内部验证"/>
                    <pic:cNvPicPr>
                      <a:picLocks noChangeAspect="1"/>
                    </pic:cNvPicPr>
                  </pic:nvPicPr>
                  <pic:blipFill>
                    <a:blip r:embed="rId6"/>
                    <a:stretch>
                      <a:fillRect/>
                    </a:stretch>
                  </pic:blipFill>
                  <pic:spPr>
                    <a:xfrm>
                      <a:off x="0" y="0"/>
                      <a:ext cx="4110990" cy="2988310"/>
                    </a:xfrm>
                    <a:prstGeom prst="rect">
                      <a:avLst/>
                    </a:prstGeom>
                  </pic:spPr>
                </pic:pic>
              </a:graphicData>
            </a:graphic>
          </wp:inline>
        </w:drawing>
      </w:r>
    </w:p>
    <w:p w14:paraId="5BFB0E29">
      <w:pPr>
        <w:spacing w:line="360" w:lineRule="auto"/>
        <w:jc w:val="left"/>
        <w:rPr>
          <w:rFonts w:ascii="Times New Roman" w:hAnsi="Times New Roman"/>
          <w:sz w:val="24"/>
        </w:rPr>
      </w:pPr>
      <w:r>
        <w:rPr>
          <w:rFonts w:hint="eastAsia" w:ascii="Times New Roman" w:hAnsi="Times New Roman"/>
          <w:sz w:val="24"/>
        </w:rPr>
        <w:t>Figure S3 Meta-analysis and heterogeneity assessment of 38 articles with internal validation (funnel plot)</w:t>
      </w:r>
    </w:p>
    <w:p w14:paraId="495B3028">
      <w:pPr>
        <w:rPr>
          <w:rFonts w:ascii="Times New Roman" w:hAnsi="Times New Roman"/>
          <w:b/>
          <w:bCs/>
          <w:sz w:val="24"/>
        </w:rPr>
      </w:pPr>
    </w:p>
    <w:p w14:paraId="4A5352A3">
      <w:pPr>
        <w:jc w:val="center"/>
        <w:rPr>
          <w:rFonts w:ascii="Times New Roman" w:hAnsi="Times New Roman"/>
          <w:b/>
          <w:bCs/>
          <w:sz w:val="24"/>
        </w:rPr>
      </w:pPr>
      <w:r>
        <w:rPr>
          <w:rFonts w:hint="eastAsia" w:ascii="Times New Roman" w:hAnsi="Times New Roman"/>
          <w:b/>
          <w:bCs/>
          <w:sz w:val="24"/>
        </w:rPr>
        <w:drawing>
          <wp:inline distT="0" distB="0" distL="114300" distR="114300">
            <wp:extent cx="4438015" cy="3650615"/>
            <wp:effectExtent l="0" t="0" r="12065" b="6985"/>
            <wp:docPr id="4" name="图片 4" descr="森林图-同时外部验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森林图-同时外部验证_00"/>
                    <pic:cNvPicPr>
                      <a:picLocks noChangeAspect="1"/>
                    </pic:cNvPicPr>
                  </pic:nvPicPr>
                  <pic:blipFill>
                    <a:blip r:embed="rId7"/>
                    <a:stretch>
                      <a:fillRect/>
                    </a:stretch>
                  </pic:blipFill>
                  <pic:spPr>
                    <a:xfrm>
                      <a:off x="0" y="0"/>
                      <a:ext cx="4438015" cy="3650615"/>
                    </a:xfrm>
                    <a:prstGeom prst="rect">
                      <a:avLst/>
                    </a:prstGeom>
                  </pic:spPr>
                </pic:pic>
              </a:graphicData>
            </a:graphic>
          </wp:inline>
        </w:drawing>
      </w:r>
    </w:p>
    <w:p w14:paraId="79960476">
      <w:pPr>
        <w:spacing w:line="360" w:lineRule="auto"/>
        <w:jc w:val="left"/>
        <w:rPr>
          <w:rFonts w:ascii="Times New Roman" w:hAnsi="Times New Roman"/>
          <w:sz w:val="24"/>
        </w:rPr>
      </w:pPr>
      <w:r>
        <w:rPr>
          <w:rFonts w:hint="eastAsia" w:ascii="Times New Roman" w:hAnsi="Times New Roman"/>
          <w:sz w:val="24"/>
        </w:rPr>
        <w:t>Figure S4 Meta-analysis and heterogeneity assessment of 17 articles with simultaneous internal and external validation (forest plot)</w:t>
      </w:r>
    </w:p>
    <w:p w14:paraId="0B362D7D">
      <w:pPr>
        <w:rPr>
          <w:rFonts w:ascii="Times New Roman" w:hAnsi="Times New Roman"/>
          <w:b/>
          <w:bCs/>
          <w:sz w:val="24"/>
        </w:rPr>
      </w:pPr>
    </w:p>
    <w:p w14:paraId="387BC963">
      <w:pPr>
        <w:jc w:val="center"/>
        <w:rPr>
          <w:rFonts w:ascii="Times New Roman" w:hAnsi="Times New Roman"/>
          <w:b/>
          <w:bCs/>
          <w:sz w:val="24"/>
        </w:rPr>
      </w:pPr>
      <w:r>
        <w:rPr>
          <w:rFonts w:hint="eastAsia" w:ascii="Times New Roman" w:hAnsi="Times New Roman"/>
          <w:b/>
          <w:bCs/>
          <w:sz w:val="24"/>
        </w:rPr>
        <w:drawing>
          <wp:inline distT="0" distB="0" distL="114300" distR="114300">
            <wp:extent cx="4473575" cy="3251835"/>
            <wp:effectExtent l="0" t="0" r="6985" b="9525"/>
            <wp:docPr id="10" name="图片 10" descr="漏斗图-同时外部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漏斗图-同时外部验证"/>
                    <pic:cNvPicPr>
                      <a:picLocks noChangeAspect="1"/>
                    </pic:cNvPicPr>
                  </pic:nvPicPr>
                  <pic:blipFill>
                    <a:blip r:embed="rId8"/>
                    <a:stretch>
                      <a:fillRect/>
                    </a:stretch>
                  </pic:blipFill>
                  <pic:spPr>
                    <a:xfrm>
                      <a:off x="0" y="0"/>
                      <a:ext cx="4473575" cy="3251835"/>
                    </a:xfrm>
                    <a:prstGeom prst="rect">
                      <a:avLst/>
                    </a:prstGeom>
                  </pic:spPr>
                </pic:pic>
              </a:graphicData>
            </a:graphic>
          </wp:inline>
        </w:drawing>
      </w:r>
    </w:p>
    <w:p w14:paraId="7FE99E8C">
      <w:pPr>
        <w:spacing w:line="360" w:lineRule="auto"/>
        <w:jc w:val="left"/>
        <w:rPr>
          <w:rFonts w:ascii="Times New Roman" w:hAnsi="Times New Roman"/>
          <w:sz w:val="24"/>
        </w:rPr>
      </w:pPr>
      <w:r>
        <w:rPr>
          <w:rFonts w:hint="eastAsia" w:ascii="Times New Roman" w:hAnsi="Times New Roman"/>
          <w:sz w:val="24"/>
        </w:rPr>
        <w:t>Figure S5 Meta-analysis and heterogeneity assessment of 17 articles with simultaneous internal and external validation (funnel plot)</w:t>
      </w:r>
    </w:p>
    <w:p w14:paraId="40745AEB">
      <w:pPr>
        <w:rPr>
          <w:rFonts w:ascii="Times New Roman" w:hAnsi="Times New Roman"/>
          <w:b/>
          <w:bCs/>
          <w:sz w:val="24"/>
        </w:rPr>
      </w:pPr>
    </w:p>
    <w:p w14:paraId="4AD0BF2A">
      <w:pPr>
        <w:jc w:val="center"/>
        <w:rPr>
          <w:rFonts w:ascii="Times New Roman" w:hAnsi="Times New Roman"/>
          <w:b/>
          <w:bCs/>
          <w:sz w:val="24"/>
        </w:rPr>
      </w:pPr>
      <w:r>
        <w:rPr>
          <w:rFonts w:hint="eastAsia" w:ascii="Times New Roman" w:hAnsi="Times New Roman"/>
          <w:b/>
          <w:bCs/>
          <w:sz w:val="24"/>
        </w:rPr>
        <w:drawing>
          <wp:inline distT="0" distB="0" distL="114300" distR="114300">
            <wp:extent cx="4500880" cy="3271520"/>
            <wp:effectExtent l="0" t="0" r="10160" b="5080"/>
            <wp:docPr id="7" name="图片 7" descr="稳定期4篇文献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稳定期4篇文献漏斗图"/>
                    <pic:cNvPicPr>
                      <a:picLocks noChangeAspect="1"/>
                    </pic:cNvPicPr>
                  </pic:nvPicPr>
                  <pic:blipFill>
                    <a:blip r:embed="rId9"/>
                    <a:stretch>
                      <a:fillRect/>
                    </a:stretch>
                  </pic:blipFill>
                  <pic:spPr>
                    <a:xfrm>
                      <a:off x="0" y="0"/>
                      <a:ext cx="4500880" cy="3271520"/>
                    </a:xfrm>
                    <a:prstGeom prst="rect">
                      <a:avLst/>
                    </a:prstGeom>
                  </pic:spPr>
                </pic:pic>
              </a:graphicData>
            </a:graphic>
          </wp:inline>
        </w:drawing>
      </w:r>
    </w:p>
    <w:p w14:paraId="45428746">
      <w:pPr>
        <w:spacing w:line="360" w:lineRule="auto"/>
        <w:jc w:val="left"/>
        <w:rPr>
          <w:rFonts w:ascii="Times New Roman" w:hAnsi="Times New Roman"/>
          <w:sz w:val="24"/>
        </w:rPr>
      </w:pPr>
      <w:r>
        <w:rPr>
          <w:rFonts w:hint="eastAsia" w:ascii="Times New Roman" w:hAnsi="Times New Roman"/>
          <w:sz w:val="24"/>
        </w:rPr>
        <w:t>Figure S6 Meta-analysis and heterogeneity assessment of 4 articles with chronic ischemic syndrome (funnel plot)</w:t>
      </w:r>
    </w:p>
    <w:p w14:paraId="244C5A2E">
      <w:pPr>
        <w:spacing w:line="360" w:lineRule="auto"/>
        <w:jc w:val="left"/>
        <w:rPr>
          <w:rFonts w:ascii="Times New Roman" w:hAnsi="Times New Roman"/>
          <w:sz w:val="24"/>
        </w:rPr>
      </w:pPr>
    </w:p>
    <w:p w14:paraId="202C50B5">
      <w:pPr>
        <w:spacing w:line="360" w:lineRule="auto"/>
        <w:jc w:val="center"/>
        <w:rPr>
          <w:rFonts w:ascii="Times New Roman" w:hAnsi="Times New Roman"/>
          <w:sz w:val="24"/>
        </w:rPr>
      </w:pPr>
      <w:r>
        <w:rPr>
          <w:rFonts w:hint="eastAsia" w:ascii="Times New Roman" w:hAnsi="Times New Roman"/>
          <w:sz w:val="24"/>
        </w:rPr>
        <w:drawing>
          <wp:inline distT="0" distB="0" distL="114300" distR="114300">
            <wp:extent cx="4925695" cy="3580765"/>
            <wp:effectExtent l="0" t="0" r="12065" b="635"/>
            <wp:docPr id="11" name="图片 11" descr="急性期8篇文献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急性期8篇文献漏斗图"/>
                    <pic:cNvPicPr>
                      <a:picLocks noChangeAspect="1"/>
                    </pic:cNvPicPr>
                  </pic:nvPicPr>
                  <pic:blipFill>
                    <a:blip r:embed="rId10"/>
                    <a:stretch>
                      <a:fillRect/>
                    </a:stretch>
                  </pic:blipFill>
                  <pic:spPr>
                    <a:xfrm>
                      <a:off x="0" y="0"/>
                      <a:ext cx="4925695" cy="3580765"/>
                    </a:xfrm>
                    <a:prstGeom prst="rect">
                      <a:avLst/>
                    </a:prstGeom>
                  </pic:spPr>
                </pic:pic>
              </a:graphicData>
            </a:graphic>
          </wp:inline>
        </w:drawing>
      </w:r>
    </w:p>
    <w:p w14:paraId="5F20F9DB">
      <w:pPr>
        <w:spacing w:line="360" w:lineRule="auto"/>
        <w:jc w:val="left"/>
        <w:rPr>
          <w:rFonts w:ascii="Times New Roman" w:hAnsi="Times New Roman"/>
          <w:sz w:val="24"/>
        </w:rPr>
      </w:pPr>
      <w:r>
        <w:rPr>
          <w:rFonts w:hint="eastAsia" w:ascii="Times New Roman" w:hAnsi="Times New Roman"/>
          <w:sz w:val="24"/>
        </w:rPr>
        <w:t>Figure S7 Meta-analysis and heterogeneity assessment of 8 articles with acute coronary syndrome (funnel plot)</w:t>
      </w:r>
    </w:p>
    <w:p w14:paraId="0F1E390D">
      <w:pPr>
        <w:rPr>
          <w:rFonts w:ascii="Times New Roman" w:hAnsi="Times New Roman"/>
          <w:b/>
          <w:bCs/>
          <w:sz w:val="24"/>
        </w:rPr>
      </w:pPr>
    </w:p>
    <w:p w14:paraId="157F702E">
      <w:pPr>
        <w:jc w:val="center"/>
        <w:rPr>
          <w:rFonts w:ascii="Times New Roman" w:hAnsi="Times New Roman"/>
          <w:b/>
          <w:bCs/>
          <w:sz w:val="24"/>
        </w:rPr>
      </w:pPr>
      <w:r>
        <w:rPr>
          <w:rFonts w:hint="eastAsia" w:ascii="Times New Roman" w:hAnsi="Times New Roman"/>
          <w:b/>
          <w:bCs/>
          <w:sz w:val="24"/>
        </w:rPr>
        <w:drawing>
          <wp:inline distT="0" distB="0" distL="114300" distR="114300">
            <wp:extent cx="4947920" cy="3596005"/>
            <wp:effectExtent l="0" t="0" r="5080" b="635"/>
            <wp:docPr id="13" name="图片 13" descr="FRS-3篇-旧模型-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RS-3篇-旧模型-漏斗图"/>
                    <pic:cNvPicPr>
                      <a:picLocks noChangeAspect="1"/>
                    </pic:cNvPicPr>
                  </pic:nvPicPr>
                  <pic:blipFill>
                    <a:blip r:embed="rId11"/>
                    <a:stretch>
                      <a:fillRect/>
                    </a:stretch>
                  </pic:blipFill>
                  <pic:spPr>
                    <a:xfrm>
                      <a:off x="0" y="0"/>
                      <a:ext cx="4947920" cy="3596005"/>
                    </a:xfrm>
                    <a:prstGeom prst="rect">
                      <a:avLst/>
                    </a:prstGeom>
                  </pic:spPr>
                </pic:pic>
              </a:graphicData>
            </a:graphic>
          </wp:inline>
        </w:drawing>
      </w:r>
    </w:p>
    <w:p w14:paraId="54FF60FD">
      <w:pPr>
        <w:spacing w:line="360" w:lineRule="auto"/>
        <w:jc w:val="left"/>
        <w:rPr>
          <w:rFonts w:ascii="Times New Roman" w:hAnsi="Times New Roman"/>
          <w:sz w:val="24"/>
        </w:rPr>
      </w:pPr>
      <w:r>
        <w:rPr>
          <w:rFonts w:hint="eastAsia" w:ascii="Times New Roman" w:hAnsi="Times New Roman"/>
          <w:sz w:val="24"/>
        </w:rPr>
        <w:t>Figure S8 Meta-analysis and heterogeneity assessment of 3 articles with Framingham risk score (funnel plot)</w:t>
      </w:r>
    </w:p>
    <w:p w14:paraId="6438A04D">
      <w:pPr>
        <w:spacing w:line="360" w:lineRule="auto"/>
        <w:jc w:val="left"/>
        <w:rPr>
          <w:rFonts w:ascii="Times New Roman" w:hAnsi="Times New Roman"/>
          <w:sz w:val="24"/>
        </w:rPr>
      </w:pPr>
    </w:p>
    <w:p w14:paraId="6B6A945E">
      <w:pPr>
        <w:jc w:val="center"/>
        <w:rPr>
          <w:rFonts w:ascii="Times New Roman" w:hAnsi="Times New Roman"/>
          <w:b/>
          <w:bCs/>
          <w:sz w:val="24"/>
        </w:rPr>
      </w:pPr>
      <w:r>
        <w:rPr>
          <w:rFonts w:hint="eastAsia" w:ascii="Times New Roman" w:hAnsi="Times New Roman"/>
          <w:b/>
          <w:bCs/>
          <w:sz w:val="24"/>
        </w:rPr>
        <w:drawing>
          <wp:inline distT="0" distB="0" distL="114300" distR="114300">
            <wp:extent cx="4606925" cy="3348990"/>
            <wp:effectExtent l="0" t="0" r="10795" b="3810"/>
            <wp:docPr id="15" name="图片 15" descr="FRS-3篇-新模型-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RS-3篇-新模型-漏斗图"/>
                    <pic:cNvPicPr>
                      <a:picLocks noChangeAspect="1"/>
                    </pic:cNvPicPr>
                  </pic:nvPicPr>
                  <pic:blipFill>
                    <a:blip r:embed="rId12"/>
                    <a:stretch>
                      <a:fillRect/>
                    </a:stretch>
                  </pic:blipFill>
                  <pic:spPr>
                    <a:xfrm>
                      <a:off x="0" y="0"/>
                      <a:ext cx="4606925" cy="3348990"/>
                    </a:xfrm>
                    <a:prstGeom prst="rect">
                      <a:avLst/>
                    </a:prstGeom>
                  </pic:spPr>
                </pic:pic>
              </a:graphicData>
            </a:graphic>
          </wp:inline>
        </w:drawing>
      </w:r>
    </w:p>
    <w:p w14:paraId="72CAD7A7">
      <w:pPr>
        <w:spacing w:line="360" w:lineRule="auto"/>
        <w:jc w:val="left"/>
        <w:rPr>
          <w:rFonts w:ascii="Times New Roman" w:hAnsi="Times New Roman"/>
          <w:sz w:val="24"/>
        </w:rPr>
      </w:pPr>
      <w:r>
        <w:rPr>
          <w:rFonts w:hint="eastAsia" w:ascii="Times New Roman" w:hAnsi="Times New Roman"/>
          <w:sz w:val="24"/>
        </w:rPr>
        <w:t>Figure S9 Meta-analysis and heterogeneity assessment of 3 articles with modified Framingham risk score (funnel plot)</w:t>
      </w:r>
    </w:p>
    <w:p w14:paraId="6AC00518">
      <w:pPr>
        <w:spacing w:line="360" w:lineRule="auto"/>
        <w:jc w:val="left"/>
        <w:rPr>
          <w:rFonts w:ascii="Times New Roman" w:hAnsi="Times New Roman"/>
          <w:sz w:val="24"/>
        </w:rPr>
      </w:pPr>
    </w:p>
    <w:p w14:paraId="63906B6B">
      <w:pPr>
        <w:jc w:val="center"/>
        <w:rPr>
          <w:rFonts w:ascii="Times New Roman" w:hAnsi="Times New Roman"/>
          <w:b/>
          <w:bCs/>
          <w:sz w:val="24"/>
        </w:rPr>
      </w:pPr>
      <w:r>
        <w:rPr>
          <w:rFonts w:hint="eastAsia" w:ascii="Times New Roman" w:hAnsi="Times New Roman"/>
          <w:b/>
          <w:bCs/>
          <w:sz w:val="24"/>
        </w:rPr>
        <w:drawing>
          <wp:inline distT="0" distB="0" distL="114300" distR="114300">
            <wp:extent cx="4333240" cy="3148965"/>
            <wp:effectExtent l="0" t="0" r="10160" b="5715"/>
            <wp:docPr id="17" name="图片 17" descr="建模方法-机器学习-8篇-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建模方法-机器学习-8篇-漏斗图"/>
                    <pic:cNvPicPr>
                      <a:picLocks noChangeAspect="1"/>
                    </pic:cNvPicPr>
                  </pic:nvPicPr>
                  <pic:blipFill>
                    <a:blip r:embed="rId13"/>
                    <a:stretch>
                      <a:fillRect/>
                    </a:stretch>
                  </pic:blipFill>
                  <pic:spPr>
                    <a:xfrm>
                      <a:off x="0" y="0"/>
                      <a:ext cx="4333240" cy="3148965"/>
                    </a:xfrm>
                    <a:prstGeom prst="rect">
                      <a:avLst/>
                    </a:prstGeom>
                  </pic:spPr>
                </pic:pic>
              </a:graphicData>
            </a:graphic>
          </wp:inline>
        </w:drawing>
      </w:r>
    </w:p>
    <w:p w14:paraId="3675D1D2">
      <w:pPr>
        <w:spacing w:line="360" w:lineRule="auto"/>
        <w:jc w:val="left"/>
        <w:rPr>
          <w:rFonts w:ascii="Times New Roman" w:hAnsi="Times New Roman"/>
          <w:sz w:val="24"/>
        </w:rPr>
      </w:pPr>
      <w:r>
        <w:rPr>
          <w:rFonts w:hint="eastAsia" w:ascii="Times New Roman" w:hAnsi="Times New Roman"/>
          <w:sz w:val="24"/>
        </w:rPr>
        <w:t>Figure S10 Meta-analysis and heterogeneity assessment of 8 articles using machine-learning to build models (funnel plot)</w:t>
      </w:r>
    </w:p>
    <w:p w14:paraId="60FF38FB">
      <w:pPr>
        <w:spacing w:line="360" w:lineRule="auto"/>
        <w:jc w:val="left"/>
        <w:rPr>
          <w:rFonts w:ascii="Times New Roman" w:hAnsi="Times New Roman"/>
          <w:sz w:val="24"/>
        </w:rPr>
      </w:pPr>
    </w:p>
    <w:p w14:paraId="3A39F144">
      <w:pPr>
        <w:jc w:val="center"/>
        <w:rPr>
          <w:rFonts w:ascii="Times New Roman" w:hAnsi="Times New Roman"/>
          <w:b/>
          <w:bCs/>
          <w:sz w:val="24"/>
        </w:rPr>
      </w:pPr>
      <w:r>
        <w:rPr>
          <w:rFonts w:hint="eastAsia" w:ascii="Times New Roman" w:hAnsi="Times New Roman"/>
          <w:b/>
          <w:bCs/>
          <w:sz w:val="24"/>
        </w:rPr>
        <w:drawing>
          <wp:inline distT="0" distB="0" distL="114300" distR="114300">
            <wp:extent cx="4476115" cy="3253105"/>
            <wp:effectExtent l="0" t="0" r="4445" b="8255"/>
            <wp:docPr id="19" name="图片 19" descr="建模方法-传统合并-25篇-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建模方法-传统合并-25篇-漏斗图"/>
                    <pic:cNvPicPr>
                      <a:picLocks noChangeAspect="1"/>
                    </pic:cNvPicPr>
                  </pic:nvPicPr>
                  <pic:blipFill>
                    <a:blip r:embed="rId14"/>
                    <a:stretch>
                      <a:fillRect/>
                    </a:stretch>
                  </pic:blipFill>
                  <pic:spPr>
                    <a:xfrm>
                      <a:off x="0" y="0"/>
                      <a:ext cx="4476115" cy="3253105"/>
                    </a:xfrm>
                    <a:prstGeom prst="rect">
                      <a:avLst/>
                    </a:prstGeom>
                  </pic:spPr>
                </pic:pic>
              </a:graphicData>
            </a:graphic>
          </wp:inline>
        </w:drawing>
      </w:r>
    </w:p>
    <w:p w14:paraId="5BE98FC0">
      <w:pPr>
        <w:spacing w:line="360" w:lineRule="auto"/>
        <w:jc w:val="left"/>
        <w:rPr>
          <w:rFonts w:ascii="Times New Roman" w:hAnsi="Times New Roman"/>
          <w:sz w:val="24"/>
        </w:rPr>
      </w:pPr>
      <w:r>
        <w:rPr>
          <w:rFonts w:hint="eastAsia" w:ascii="Times New Roman" w:hAnsi="Times New Roman"/>
          <w:sz w:val="24"/>
        </w:rPr>
        <w:t>Figure S11 Meta-analysis and heterogeneity assessment of 25 articles using traditional methods to build models (funnel plot)</w:t>
      </w:r>
    </w:p>
    <w:p w14:paraId="2A3C8E9F">
      <w:pPr>
        <w:rPr>
          <w:rFonts w:ascii="Times New Roman" w:hAnsi="Times New Roman"/>
          <w:b/>
          <w:bCs/>
          <w:sz w:val="24"/>
        </w:rPr>
      </w:pPr>
    </w:p>
    <w:p w14:paraId="70382361">
      <w:pPr>
        <w:jc w:val="center"/>
        <w:rPr>
          <w:rFonts w:ascii="Times New Roman" w:hAnsi="Times New Roman"/>
          <w:b/>
          <w:bCs/>
          <w:sz w:val="24"/>
        </w:rPr>
      </w:pPr>
      <w:r>
        <w:rPr>
          <w:rFonts w:hint="eastAsia" w:ascii="Times New Roman" w:hAnsi="Times New Roman"/>
          <w:b/>
          <w:bCs/>
          <w:sz w:val="24"/>
        </w:rPr>
        <w:drawing>
          <wp:inline distT="0" distB="0" distL="114300" distR="114300">
            <wp:extent cx="4699000" cy="3415665"/>
            <wp:effectExtent l="0" t="0" r="10160" b="13335"/>
            <wp:docPr id="21" name="图片 21" descr="队列研究-28篇-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队列研究-28篇-漏斗图"/>
                    <pic:cNvPicPr>
                      <a:picLocks noChangeAspect="1"/>
                    </pic:cNvPicPr>
                  </pic:nvPicPr>
                  <pic:blipFill>
                    <a:blip r:embed="rId15"/>
                    <a:stretch>
                      <a:fillRect/>
                    </a:stretch>
                  </pic:blipFill>
                  <pic:spPr>
                    <a:xfrm>
                      <a:off x="0" y="0"/>
                      <a:ext cx="4699000" cy="3415665"/>
                    </a:xfrm>
                    <a:prstGeom prst="rect">
                      <a:avLst/>
                    </a:prstGeom>
                  </pic:spPr>
                </pic:pic>
              </a:graphicData>
            </a:graphic>
          </wp:inline>
        </w:drawing>
      </w:r>
    </w:p>
    <w:p w14:paraId="34B2343A">
      <w:pPr>
        <w:spacing w:line="360" w:lineRule="auto"/>
        <w:jc w:val="left"/>
        <w:rPr>
          <w:rFonts w:ascii="Times New Roman" w:hAnsi="Times New Roman"/>
          <w:sz w:val="24"/>
        </w:rPr>
      </w:pPr>
      <w:r>
        <w:rPr>
          <w:rFonts w:hint="eastAsia" w:ascii="Times New Roman" w:hAnsi="Times New Roman"/>
          <w:sz w:val="24"/>
        </w:rPr>
        <w:t>Figure S12 Meta-analysis and heterogeneity assessment of 28 cohort studies (funnel plot)</w:t>
      </w:r>
    </w:p>
    <w:p w14:paraId="338A75CE">
      <w:pPr>
        <w:rPr>
          <w:rFonts w:ascii="Times New Roman" w:hAnsi="Times New Roman"/>
          <w:b/>
          <w:bCs/>
          <w:sz w:val="24"/>
        </w:rPr>
      </w:pPr>
    </w:p>
    <w:p w14:paraId="61D6266B">
      <w:pPr>
        <w:jc w:val="center"/>
        <w:rPr>
          <w:rFonts w:ascii="Times New Roman" w:hAnsi="Times New Roman"/>
          <w:sz w:val="24"/>
        </w:rPr>
      </w:pPr>
      <w:r>
        <w:rPr>
          <w:rFonts w:hint="eastAsia" w:ascii="Times New Roman" w:hAnsi="Times New Roman"/>
          <w:sz w:val="24"/>
        </w:rPr>
        <w:drawing>
          <wp:inline distT="0" distB="0" distL="114300" distR="114300">
            <wp:extent cx="4935855" cy="3587750"/>
            <wp:effectExtent l="0" t="0" r="1905" b="8890"/>
            <wp:docPr id="23" name="图片 23" descr="病例对照研究-19篇-漏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病例对照研究-19篇-漏斗图"/>
                    <pic:cNvPicPr>
                      <a:picLocks noChangeAspect="1"/>
                    </pic:cNvPicPr>
                  </pic:nvPicPr>
                  <pic:blipFill>
                    <a:blip r:embed="rId16"/>
                    <a:stretch>
                      <a:fillRect/>
                    </a:stretch>
                  </pic:blipFill>
                  <pic:spPr>
                    <a:xfrm>
                      <a:off x="0" y="0"/>
                      <a:ext cx="4935855" cy="3587750"/>
                    </a:xfrm>
                    <a:prstGeom prst="rect">
                      <a:avLst/>
                    </a:prstGeom>
                  </pic:spPr>
                </pic:pic>
              </a:graphicData>
            </a:graphic>
          </wp:inline>
        </w:drawing>
      </w:r>
    </w:p>
    <w:p w14:paraId="6F8CB4C1">
      <w:pPr>
        <w:spacing w:line="360" w:lineRule="auto"/>
        <w:jc w:val="left"/>
        <w:rPr>
          <w:rFonts w:ascii="Times New Roman" w:hAnsi="Times New Roman"/>
          <w:sz w:val="24"/>
        </w:rPr>
      </w:pPr>
      <w:r>
        <w:rPr>
          <w:rFonts w:hint="eastAsia" w:ascii="Times New Roman" w:hAnsi="Times New Roman"/>
          <w:sz w:val="24"/>
        </w:rPr>
        <w:t>Figure S13 Meta-analysis and heterogeneity assessment of 19 case-control studies (funnel plot)</w:t>
      </w:r>
    </w:p>
    <w:p w14:paraId="03FF40CF">
      <w:pPr>
        <w:spacing w:line="360" w:lineRule="auto"/>
        <w:jc w:val="left"/>
        <w:rPr>
          <w:rFonts w:ascii="Times New Roman" w:hAnsi="Times New Roman"/>
          <w:sz w:val="24"/>
        </w:rPr>
      </w:pPr>
    </w:p>
    <w:p w14:paraId="7265FFDE">
      <w:pPr>
        <w:spacing w:line="360" w:lineRule="auto"/>
        <w:rPr>
          <w:rFonts w:ascii="Times New Roman" w:hAnsi="Times New Roman"/>
          <w:sz w:val="24"/>
        </w:rPr>
      </w:pPr>
      <w:r>
        <w:rPr>
          <w:rFonts w:hint="eastAsia" w:ascii="Times New Roman" w:hAnsi="Times New Roman"/>
          <w:sz w:val="24"/>
        </w:rPr>
        <w:t>Table S1 Basic characteristics of the included studies</w:t>
      </w:r>
    </w:p>
    <w:tbl>
      <w:tblPr>
        <w:tblStyle w:val="2"/>
        <w:tblW w:w="4491" w:type="pct"/>
        <w:jc w:val="center"/>
        <w:tblBorders>
          <w:top w:val="single" w:color="auto" w:sz="4" w:space="0"/>
          <w:left w:val="none" w:color="auto" w:sz="4" w:space="0"/>
          <w:bottom w:val="singl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156"/>
        <w:gridCol w:w="570"/>
        <w:gridCol w:w="1097"/>
        <w:gridCol w:w="3150"/>
        <w:gridCol w:w="1303"/>
        <w:gridCol w:w="1246"/>
      </w:tblGrid>
      <w:tr w14:paraId="7638550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64" w:hRule="atLeast"/>
          <w:jc w:val="center"/>
        </w:trPr>
        <w:tc>
          <w:tcPr>
            <w:tcW w:w="637" w:type="pct"/>
            <w:tcBorders>
              <w:left w:val="nil"/>
              <w:bottom w:val="single" w:color="auto" w:sz="4" w:space="0"/>
              <w:right w:val="nil"/>
            </w:tcBorders>
            <w:noWrap/>
            <w:vAlign w:val="center"/>
          </w:tcPr>
          <w:p w14:paraId="4E15CA1B">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Author (Year)</w:t>
            </w:r>
          </w:p>
        </w:tc>
        <w:tc>
          <w:tcPr>
            <w:tcW w:w="341" w:type="pct"/>
            <w:tcBorders>
              <w:left w:val="nil"/>
              <w:bottom w:val="single" w:color="auto" w:sz="4" w:space="0"/>
              <w:right w:val="nil"/>
            </w:tcBorders>
            <w:noWrap/>
            <w:vAlign w:val="center"/>
          </w:tcPr>
          <w:p w14:paraId="34F73B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Country</w:t>
            </w:r>
          </w:p>
        </w:tc>
        <w:tc>
          <w:tcPr>
            <w:tcW w:w="620" w:type="pct"/>
            <w:tcBorders>
              <w:left w:val="nil"/>
              <w:bottom w:val="single" w:color="auto" w:sz="4" w:space="0"/>
              <w:right w:val="nil"/>
            </w:tcBorders>
            <w:noWrap/>
            <w:vAlign w:val="center"/>
          </w:tcPr>
          <w:p w14:paraId="0BAD12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Study design</w:t>
            </w:r>
          </w:p>
        </w:tc>
        <w:tc>
          <w:tcPr>
            <w:tcW w:w="1934" w:type="pct"/>
            <w:tcBorders>
              <w:left w:val="nil"/>
              <w:bottom w:val="single" w:color="auto" w:sz="4" w:space="0"/>
              <w:right w:val="nil"/>
            </w:tcBorders>
            <w:noWrap/>
            <w:vAlign w:val="center"/>
          </w:tcPr>
          <w:p w14:paraId="099F86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w:t>
            </w:r>
          </w:p>
        </w:tc>
        <w:tc>
          <w:tcPr>
            <w:tcW w:w="752" w:type="pct"/>
            <w:tcBorders>
              <w:left w:val="nil"/>
              <w:bottom w:val="single" w:color="auto" w:sz="4" w:space="0"/>
              <w:right w:val="nil"/>
            </w:tcBorders>
            <w:noWrap/>
            <w:vAlign w:val="center"/>
          </w:tcPr>
          <w:p w14:paraId="47E9F0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Data source</w:t>
            </w:r>
          </w:p>
        </w:tc>
        <w:tc>
          <w:tcPr>
            <w:tcW w:w="716" w:type="pct"/>
            <w:tcBorders>
              <w:left w:val="nil"/>
              <w:bottom w:val="single" w:color="auto" w:sz="4" w:space="0"/>
              <w:right w:val="nil"/>
            </w:tcBorders>
            <w:noWrap/>
            <w:vAlign w:val="center"/>
          </w:tcPr>
          <w:p w14:paraId="74BF9E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Cases/Sample size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w:t>
            </w:r>
          </w:p>
        </w:tc>
      </w:tr>
      <w:tr w14:paraId="7CFD720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single" w:color="auto" w:sz="4" w:space="0"/>
              <w:left w:val="nil"/>
              <w:bottom w:val="nil"/>
              <w:right w:val="nil"/>
            </w:tcBorders>
            <w:noWrap/>
            <w:vAlign w:val="center"/>
          </w:tcPr>
          <w:p w14:paraId="6A22CE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Yike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41" w:type="pct"/>
            <w:tcBorders>
              <w:top w:val="single" w:color="auto" w:sz="4" w:space="0"/>
              <w:left w:val="nil"/>
              <w:bottom w:val="nil"/>
              <w:right w:val="nil"/>
            </w:tcBorders>
            <w:vAlign w:val="center"/>
          </w:tcPr>
          <w:p w14:paraId="545040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single" w:color="auto" w:sz="4" w:space="0"/>
              <w:left w:val="nil"/>
              <w:bottom w:val="nil"/>
              <w:right w:val="nil"/>
            </w:tcBorders>
            <w:vAlign w:val="center"/>
          </w:tcPr>
          <w:p w14:paraId="25C560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single" w:color="auto" w:sz="4" w:space="0"/>
              <w:left w:val="nil"/>
              <w:bottom w:val="nil"/>
              <w:right w:val="nil"/>
            </w:tcBorders>
            <w:vAlign w:val="center"/>
          </w:tcPr>
          <w:p w14:paraId="2018ED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participants in the SHS study were American Indians from the southwestern USA and the Great Plains, while the participants in the WHI study were postmenopausal women and focused on health issues such as CVD.</w:t>
            </w:r>
          </w:p>
        </w:tc>
        <w:tc>
          <w:tcPr>
            <w:tcW w:w="752" w:type="pct"/>
            <w:tcBorders>
              <w:top w:val="single" w:color="auto" w:sz="4" w:space="0"/>
              <w:left w:val="nil"/>
              <w:bottom w:val="nil"/>
              <w:right w:val="nil"/>
            </w:tcBorders>
            <w:vAlign w:val="center"/>
          </w:tcPr>
          <w:p w14:paraId="774B39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SHS, WHI</w:t>
            </w:r>
          </w:p>
        </w:tc>
        <w:tc>
          <w:tcPr>
            <w:tcW w:w="716" w:type="pct"/>
            <w:tcBorders>
              <w:top w:val="single" w:color="auto" w:sz="4" w:space="0"/>
              <w:left w:val="nil"/>
              <w:bottom w:val="nil"/>
              <w:right w:val="nil"/>
            </w:tcBorders>
            <w:vAlign w:val="center"/>
          </w:tcPr>
          <w:p w14:paraId="1BF765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749/2321 (32.2%) , 706/2107(33.5%)</w:t>
            </w:r>
          </w:p>
        </w:tc>
      </w:tr>
      <w:tr w14:paraId="72EFAD10">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220B8B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Kuangmao Chiang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41" w:type="pct"/>
            <w:tcBorders>
              <w:top w:val="nil"/>
              <w:left w:val="nil"/>
              <w:bottom w:val="nil"/>
              <w:right w:val="nil"/>
            </w:tcBorders>
            <w:vAlign w:val="center"/>
          </w:tcPr>
          <w:p w14:paraId="2FEF85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China</w:t>
            </w:r>
          </w:p>
          <w:p w14:paraId="12DE51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(Taiwan)</w:t>
            </w:r>
          </w:p>
        </w:tc>
        <w:tc>
          <w:tcPr>
            <w:tcW w:w="620" w:type="pct"/>
            <w:tcBorders>
              <w:top w:val="nil"/>
              <w:left w:val="nil"/>
              <w:bottom w:val="nil"/>
              <w:right w:val="nil"/>
            </w:tcBorders>
            <w:vAlign w:val="center"/>
          </w:tcPr>
          <w:p w14:paraId="75D68C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Nested case-control study</w:t>
            </w:r>
          </w:p>
        </w:tc>
        <w:tc>
          <w:tcPr>
            <w:tcW w:w="1934" w:type="pct"/>
            <w:tcBorders>
              <w:top w:val="nil"/>
              <w:left w:val="nil"/>
              <w:bottom w:val="nil"/>
              <w:right w:val="nil"/>
            </w:tcBorders>
            <w:vAlign w:val="center"/>
          </w:tcPr>
          <w:p w14:paraId="42CE40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 in the study were 211 individuals aged 50 to 70 years without prior CAD at baseline, with 77 developing CAD during the follow-up period.</w:t>
            </w:r>
          </w:p>
        </w:tc>
        <w:tc>
          <w:tcPr>
            <w:tcW w:w="752" w:type="pct"/>
            <w:tcBorders>
              <w:top w:val="nil"/>
              <w:left w:val="nil"/>
              <w:bottom w:val="nil"/>
              <w:right w:val="nil"/>
            </w:tcBorders>
            <w:vAlign w:val="center"/>
          </w:tcPr>
          <w:p w14:paraId="7D7AED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NAHSIT</w:t>
            </w:r>
          </w:p>
        </w:tc>
        <w:tc>
          <w:tcPr>
            <w:tcW w:w="716" w:type="pct"/>
            <w:tcBorders>
              <w:top w:val="nil"/>
              <w:left w:val="nil"/>
              <w:bottom w:val="nil"/>
              <w:right w:val="nil"/>
            </w:tcBorders>
            <w:vAlign w:val="center"/>
          </w:tcPr>
          <w:p w14:paraId="6FF3B1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77/211 (36.5%)</w:t>
            </w:r>
          </w:p>
        </w:tc>
      </w:tr>
      <w:tr w14:paraId="3107279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6FCF31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Ekram W. Abd El-Wahab</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341" w:type="pct"/>
            <w:tcBorders>
              <w:top w:val="nil"/>
              <w:left w:val="nil"/>
              <w:bottom w:val="nil"/>
              <w:right w:val="nil"/>
            </w:tcBorders>
            <w:vAlign w:val="center"/>
          </w:tcPr>
          <w:p w14:paraId="7AA065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Egypt</w:t>
            </w:r>
          </w:p>
        </w:tc>
        <w:tc>
          <w:tcPr>
            <w:tcW w:w="620" w:type="pct"/>
            <w:tcBorders>
              <w:top w:val="nil"/>
              <w:left w:val="nil"/>
              <w:bottom w:val="nil"/>
              <w:right w:val="nil"/>
            </w:tcBorders>
            <w:vAlign w:val="center"/>
          </w:tcPr>
          <w:p w14:paraId="7675BF13">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Cross-sectional study</w:t>
            </w:r>
          </w:p>
        </w:tc>
        <w:tc>
          <w:tcPr>
            <w:tcW w:w="1934" w:type="pct"/>
            <w:tcBorders>
              <w:top w:val="nil"/>
              <w:left w:val="nil"/>
              <w:bottom w:val="nil"/>
              <w:right w:val="nil"/>
            </w:tcBorders>
            <w:vAlign w:val="center"/>
          </w:tcPr>
          <w:p w14:paraId="1E303B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 in this study are adults over the age of 35, presenting with suspected CHD, and are recruited from the emergency department of a health insurance hospital in Alexandria, Egypt, for a cross-sectional screening survey.</w:t>
            </w:r>
          </w:p>
        </w:tc>
        <w:tc>
          <w:tcPr>
            <w:tcW w:w="752" w:type="pct"/>
            <w:tcBorders>
              <w:top w:val="nil"/>
              <w:left w:val="nil"/>
              <w:bottom w:val="nil"/>
              <w:right w:val="nil"/>
            </w:tcBorders>
            <w:vAlign w:val="center"/>
          </w:tcPr>
          <w:p w14:paraId="3B5C2B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Emergency department of a health insurance hospital in Alexandria, Egypt</w:t>
            </w:r>
          </w:p>
        </w:tc>
        <w:tc>
          <w:tcPr>
            <w:tcW w:w="716" w:type="pct"/>
            <w:tcBorders>
              <w:top w:val="nil"/>
              <w:left w:val="nil"/>
              <w:bottom w:val="nil"/>
              <w:right w:val="nil"/>
            </w:tcBorders>
            <w:vAlign w:val="center"/>
          </w:tcPr>
          <w:p w14:paraId="59EE96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130/350 (37.0%)</w:t>
            </w:r>
          </w:p>
        </w:tc>
      </w:tr>
      <w:tr w14:paraId="58960AAE">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7A8675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Dingyu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41" w:type="pct"/>
            <w:tcBorders>
              <w:top w:val="nil"/>
              <w:left w:val="nil"/>
              <w:bottom w:val="nil"/>
              <w:right w:val="nil"/>
            </w:tcBorders>
            <w:vAlign w:val="center"/>
          </w:tcPr>
          <w:p w14:paraId="135722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10D318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0D4CF5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study included 576 CAD cases and 452 control subjects from the First Affiliated Hospital of Xinjiang Medical University.</w:t>
            </w:r>
          </w:p>
        </w:tc>
        <w:tc>
          <w:tcPr>
            <w:tcW w:w="752" w:type="pct"/>
            <w:tcBorders>
              <w:top w:val="nil"/>
              <w:left w:val="nil"/>
              <w:bottom w:val="nil"/>
              <w:right w:val="nil"/>
            </w:tcBorders>
            <w:vAlign w:val="center"/>
          </w:tcPr>
          <w:p w14:paraId="5C75AA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First Affiliated Hospital of Xinjiang Medical University</w:t>
            </w:r>
          </w:p>
        </w:tc>
        <w:tc>
          <w:tcPr>
            <w:tcW w:w="716" w:type="pct"/>
            <w:tcBorders>
              <w:top w:val="nil"/>
              <w:left w:val="nil"/>
              <w:bottom w:val="nil"/>
              <w:right w:val="nil"/>
            </w:tcBorders>
            <w:vAlign w:val="center"/>
          </w:tcPr>
          <w:p w14:paraId="292056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576/1028 (56.0%)</w:t>
            </w:r>
          </w:p>
        </w:tc>
      </w:tr>
      <w:tr w14:paraId="1819F43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0F24A0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Zuqiang Fu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41" w:type="pct"/>
            <w:tcBorders>
              <w:top w:val="nil"/>
              <w:left w:val="nil"/>
              <w:bottom w:val="nil"/>
              <w:right w:val="nil"/>
            </w:tcBorders>
            <w:vAlign w:val="center"/>
          </w:tcPr>
          <w:p w14:paraId="0B28B9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346203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2F398D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Models were constructed and selected in a case-control study consisting of patients with CAD and matched controls, and performance was verified in a validation cohort without CAD at baseline.</w:t>
            </w:r>
          </w:p>
        </w:tc>
        <w:tc>
          <w:tcPr>
            <w:tcW w:w="752" w:type="pct"/>
            <w:tcBorders>
              <w:top w:val="nil"/>
              <w:left w:val="nil"/>
              <w:bottom w:val="nil"/>
              <w:right w:val="nil"/>
            </w:tcBorders>
            <w:vAlign w:val="center"/>
          </w:tcPr>
          <w:p w14:paraId="4DFDA9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w:t>
            </w:r>
          </w:p>
        </w:tc>
        <w:tc>
          <w:tcPr>
            <w:tcW w:w="716" w:type="pct"/>
            <w:tcBorders>
              <w:top w:val="nil"/>
              <w:left w:val="nil"/>
              <w:bottom w:val="nil"/>
              <w:right w:val="nil"/>
            </w:tcBorders>
            <w:vAlign w:val="center"/>
          </w:tcPr>
          <w:p w14:paraId="175E4F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5513/118120 (4.7%)</w:t>
            </w:r>
          </w:p>
        </w:tc>
      </w:tr>
      <w:tr w14:paraId="7673675E">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36B9F5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Wafa Omer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341" w:type="pct"/>
            <w:tcBorders>
              <w:top w:val="nil"/>
              <w:left w:val="nil"/>
              <w:bottom w:val="nil"/>
              <w:right w:val="nil"/>
            </w:tcBorders>
            <w:noWrap/>
            <w:vAlign w:val="center"/>
          </w:tcPr>
          <w:p w14:paraId="17140E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Pakistan</w:t>
            </w:r>
          </w:p>
        </w:tc>
        <w:tc>
          <w:tcPr>
            <w:tcW w:w="620" w:type="pct"/>
            <w:tcBorders>
              <w:top w:val="nil"/>
              <w:left w:val="nil"/>
              <w:bottom w:val="nil"/>
              <w:right w:val="nil"/>
            </w:tcBorders>
            <w:noWrap/>
            <w:vAlign w:val="center"/>
          </w:tcPr>
          <w:p w14:paraId="778C67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60789E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Three hundred forty subjects with &gt;70% stenosis in at least one coronary vessel on angiography were labeled as PCAD cases and compared with 310 angio-negative controls.</w:t>
            </w:r>
          </w:p>
        </w:tc>
        <w:tc>
          <w:tcPr>
            <w:tcW w:w="752" w:type="pct"/>
            <w:tcBorders>
              <w:top w:val="nil"/>
              <w:left w:val="nil"/>
              <w:bottom w:val="nil"/>
              <w:right w:val="nil"/>
            </w:tcBorders>
            <w:noWrap/>
            <w:vAlign w:val="center"/>
          </w:tcPr>
          <w:p w14:paraId="0E68C7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AFIC</w:t>
            </w:r>
          </w:p>
        </w:tc>
        <w:tc>
          <w:tcPr>
            <w:tcW w:w="716" w:type="pct"/>
            <w:tcBorders>
              <w:top w:val="nil"/>
              <w:left w:val="nil"/>
              <w:bottom w:val="nil"/>
              <w:right w:val="nil"/>
            </w:tcBorders>
            <w:noWrap/>
            <w:vAlign w:val="center"/>
          </w:tcPr>
          <w:p w14:paraId="64BB09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340/650(52.3%)</w:t>
            </w:r>
          </w:p>
        </w:tc>
      </w:tr>
      <w:tr w14:paraId="79D8584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44516A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Isaac Subirana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41" w:type="pct"/>
            <w:tcBorders>
              <w:top w:val="nil"/>
              <w:left w:val="nil"/>
              <w:bottom w:val="nil"/>
              <w:right w:val="nil"/>
            </w:tcBorders>
            <w:noWrap/>
            <w:vAlign w:val="center"/>
          </w:tcPr>
          <w:p w14:paraId="0280B2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Spain</w:t>
            </w:r>
          </w:p>
        </w:tc>
        <w:tc>
          <w:tcPr>
            <w:tcW w:w="620" w:type="pct"/>
            <w:tcBorders>
              <w:top w:val="nil"/>
              <w:left w:val="nil"/>
              <w:bottom w:val="nil"/>
              <w:right w:val="nil"/>
            </w:tcBorders>
            <w:noWrap/>
            <w:vAlign w:val="center"/>
          </w:tcPr>
          <w:p w14:paraId="1E3AE1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53DF65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total of 105 patients with confirmed CAD at follow-up and 638 controls were randomly selected from a cohort aged 35 to 74 years without CVD at baseline.</w:t>
            </w:r>
          </w:p>
        </w:tc>
        <w:tc>
          <w:tcPr>
            <w:tcW w:w="752" w:type="pct"/>
            <w:tcBorders>
              <w:top w:val="nil"/>
              <w:left w:val="nil"/>
              <w:bottom w:val="nil"/>
              <w:right w:val="nil"/>
            </w:tcBorders>
            <w:noWrap/>
            <w:vAlign w:val="center"/>
          </w:tcPr>
          <w:p w14:paraId="3C4EAA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REGICOR population-cohorts</w:t>
            </w:r>
          </w:p>
        </w:tc>
        <w:tc>
          <w:tcPr>
            <w:tcW w:w="716" w:type="pct"/>
            <w:tcBorders>
              <w:top w:val="nil"/>
              <w:left w:val="nil"/>
              <w:bottom w:val="nil"/>
              <w:right w:val="nil"/>
            </w:tcBorders>
            <w:noWrap/>
            <w:vAlign w:val="center"/>
          </w:tcPr>
          <w:p w14:paraId="30FD20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105/743(14.1%)</w:t>
            </w:r>
          </w:p>
        </w:tc>
      </w:tr>
      <w:tr w14:paraId="4B6A35F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noWrap/>
            <w:vAlign w:val="center"/>
          </w:tcPr>
          <w:p w14:paraId="7BBFC6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Jinyu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41" w:type="pct"/>
            <w:tcBorders>
              <w:top w:val="nil"/>
              <w:left w:val="nil"/>
              <w:bottom w:val="nil"/>
              <w:right w:val="nil"/>
            </w:tcBorders>
            <w:noWrap/>
            <w:vAlign w:val="center"/>
          </w:tcPr>
          <w:p w14:paraId="071CEE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7C0057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343621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Based on CCTA, the presence of at least one significant coronary artery stenosis of &gt;50% luminal diameter was diagnosed as CAD and included in the case group. The control participants did not have any of the following conditions related to CAD: a positive family history, stable or UA, myocardial infarction, evidence of CAD by ECG and angiography, abnormality of regional wall motion, or relevant valvular abnormalities based on echocardiography. CAD patients and controls were matched for age and sex.</w:t>
            </w:r>
          </w:p>
        </w:tc>
        <w:tc>
          <w:tcPr>
            <w:tcW w:w="752" w:type="pct"/>
            <w:tcBorders>
              <w:top w:val="nil"/>
              <w:left w:val="nil"/>
              <w:bottom w:val="nil"/>
              <w:right w:val="nil"/>
            </w:tcBorders>
            <w:vAlign w:val="center"/>
          </w:tcPr>
          <w:p w14:paraId="1BA4A2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First Affiliated Hospital of Xinjiang Medical University, Cardiovascular Risk Survey</w:t>
            </w:r>
          </w:p>
        </w:tc>
        <w:tc>
          <w:tcPr>
            <w:tcW w:w="716" w:type="pct"/>
            <w:tcBorders>
              <w:top w:val="nil"/>
              <w:left w:val="nil"/>
              <w:bottom w:val="nil"/>
              <w:right w:val="nil"/>
            </w:tcBorders>
            <w:noWrap/>
            <w:vAlign w:val="center"/>
          </w:tcPr>
          <w:p w14:paraId="160B52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567/1022(55.5%)</w:t>
            </w:r>
          </w:p>
        </w:tc>
      </w:tr>
      <w:tr w14:paraId="1426BD1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44A47F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Symen Ligthart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(2014)</w:t>
            </w:r>
          </w:p>
        </w:tc>
        <w:tc>
          <w:tcPr>
            <w:tcW w:w="341" w:type="pct"/>
            <w:tcBorders>
              <w:top w:val="nil"/>
              <w:left w:val="nil"/>
              <w:bottom w:val="nil"/>
              <w:right w:val="nil"/>
            </w:tcBorders>
            <w:noWrap/>
            <w:vAlign w:val="center"/>
          </w:tcPr>
          <w:p w14:paraId="75BC0B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Netherlands</w:t>
            </w:r>
          </w:p>
        </w:tc>
        <w:tc>
          <w:tcPr>
            <w:tcW w:w="620" w:type="pct"/>
            <w:tcBorders>
              <w:top w:val="nil"/>
              <w:left w:val="nil"/>
              <w:bottom w:val="nil"/>
              <w:right w:val="nil"/>
            </w:tcBorders>
            <w:noWrap/>
            <w:vAlign w:val="center"/>
          </w:tcPr>
          <w:p w14:paraId="4A0931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5DC1C6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total of 971 participants were randomly selected for the study, 132 participants with a history of CHD were excluded, and 839 participants were finally included in the analysis. Follow-up was 10.6 years.</w:t>
            </w:r>
          </w:p>
        </w:tc>
        <w:tc>
          <w:tcPr>
            <w:tcW w:w="752" w:type="pct"/>
            <w:tcBorders>
              <w:top w:val="nil"/>
              <w:left w:val="nil"/>
              <w:bottom w:val="nil"/>
              <w:right w:val="nil"/>
            </w:tcBorders>
            <w:noWrap/>
            <w:vAlign w:val="center"/>
          </w:tcPr>
          <w:p w14:paraId="6DDAB5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RS</w:t>
            </w:r>
          </w:p>
        </w:tc>
        <w:tc>
          <w:tcPr>
            <w:tcW w:w="716" w:type="pct"/>
            <w:tcBorders>
              <w:top w:val="nil"/>
              <w:left w:val="nil"/>
              <w:bottom w:val="nil"/>
              <w:right w:val="nil"/>
            </w:tcBorders>
            <w:noWrap/>
            <w:vAlign w:val="center"/>
          </w:tcPr>
          <w:p w14:paraId="7A6873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99/839(11.8%)</w:t>
            </w:r>
          </w:p>
        </w:tc>
      </w:tr>
      <w:tr w14:paraId="7A21A544">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noWrap/>
            <w:vAlign w:val="center"/>
          </w:tcPr>
          <w:p w14:paraId="2D3040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Joseph F. Polak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41" w:type="pct"/>
            <w:tcBorders>
              <w:top w:val="nil"/>
              <w:left w:val="nil"/>
              <w:bottom w:val="nil"/>
              <w:right w:val="nil"/>
            </w:tcBorders>
            <w:noWrap/>
            <w:vAlign w:val="center"/>
          </w:tcPr>
          <w:p w14:paraId="2F2049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noWrap/>
            <w:vAlign w:val="center"/>
          </w:tcPr>
          <w:p w14:paraId="049E77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4E4ACC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multiethnic population of 6814 men and women aged 45–84 years enrolled between July 2000 and August 2002 at six sites in the USA. The MESA cohort includes whites, African-American, Hispanic, and Chinese participants.</w:t>
            </w:r>
          </w:p>
        </w:tc>
        <w:tc>
          <w:tcPr>
            <w:tcW w:w="752" w:type="pct"/>
            <w:tcBorders>
              <w:top w:val="nil"/>
              <w:left w:val="nil"/>
              <w:bottom w:val="nil"/>
              <w:right w:val="nil"/>
            </w:tcBorders>
            <w:noWrap/>
            <w:vAlign w:val="center"/>
          </w:tcPr>
          <w:p w14:paraId="2684BD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MESA</w:t>
            </w:r>
          </w:p>
        </w:tc>
        <w:tc>
          <w:tcPr>
            <w:tcW w:w="716" w:type="pct"/>
            <w:tcBorders>
              <w:top w:val="nil"/>
              <w:left w:val="nil"/>
              <w:bottom w:val="nil"/>
              <w:right w:val="nil"/>
            </w:tcBorders>
            <w:noWrap/>
            <w:vAlign w:val="center"/>
          </w:tcPr>
          <w:p w14:paraId="4D70C4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484/6606(7.3%)</w:t>
            </w:r>
          </w:p>
        </w:tc>
      </w:tr>
      <w:tr w14:paraId="6A386930">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77CE1C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Carla Debernardi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41" w:type="pct"/>
            <w:tcBorders>
              <w:top w:val="nil"/>
              <w:left w:val="nil"/>
              <w:bottom w:val="nil"/>
              <w:right w:val="nil"/>
            </w:tcBorders>
            <w:noWrap/>
            <w:vAlign w:val="center"/>
          </w:tcPr>
          <w:p w14:paraId="391A3D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Italy</w:t>
            </w:r>
          </w:p>
        </w:tc>
        <w:tc>
          <w:tcPr>
            <w:tcW w:w="620" w:type="pct"/>
            <w:tcBorders>
              <w:top w:val="nil"/>
              <w:left w:val="nil"/>
              <w:bottom w:val="nil"/>
              <w:right w:val="nil"/>
            </w:tcBorders>
            <w:vAlign w:val="center"/>
          </w:tcPr>
          <w:p w14:paraId="3EA55A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Nested case-control study</w:t>
            </w:r>
          </w:p>
        </w:tc>
        <w:tc>
          <w:tcPr>
            <w:tcW w:w="1934" w:type="pct"/>
            <w:tcBorders>
              <w:top w:val="nil"/>
              <w:left w:val="nil"/>
              <w:bottom w:val="nil"/>
              <w:right w:val="nil"/>
            </w:tcBorders>
            <w:noWrap/>
            <w:vAlign w:val="center"/>
          </w:tcPr>
          <w:p w14:paraId="6884B9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study included 576 participants in the EPICOR study and 3359 participants in the ATVB study.</w:t>
            </w:r>
          </w:p>
        </w:tc>
        <w:tc>
          <w:tcPr>
            <w:tcW w:w="752" w:type="pct"/>
            <w:tcBorders>
              <w:top w:val="nil"/>
              <w:left w:val="nil"/>
              <w:bottom w:val="nil"/>
              <w:right w:val="nil"/>
            </w:tcBorders>
            <w:vAlign w:val="center"/>
          </w:tcPr>
          <w:p w14:paraId="46C097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EPICOR Study, ATVB</w:t>
            </w:r>
          </w:p>
        </w:tc>
        <w:tc>
          <w:tcPr>
            <w:tcW w:w="716" w:type="pct"/>
            <w:tcBorders>
              <w:top w:val="nil"/>
              <w:left w:val="nil"/>
              <w:bottom w:val="nil"/>
              <w:right w:val="nil"/>
            </w:tcBorders>
            <w:vAlign w:val="center"/>
          </w:tcPr>
          <w:p w14:paraId="659397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286/576(49.7%), 1691/3359(50.3%)</w:t>
            </w:r>
          </w:p>
        </w:tc>
      </w:tr>
      <w:tr w14:paraId="258DEB9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11284D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Estefanía Nuneza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41" w:type="pct"/>
            <w:tcBorders>
              <w:top w:val="nil"/>
              <w:left w:val="nil"/>
              <w:bottom w:val="nil"/>
              <w:right w:val="nil"/>
            </w:tcBorders>
            <w:noWrap/>
            <w:vAlign w:val="center"/>
          </w:tcPr>
          <w:p w14:paraId="5234D2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Spain</w:t>
            </w:r>
          </w:p>
        </w:tc>
        <w:tc>
          <w:tcPr>
            <w:tcW w:w="620" w:type="pct"/>
            <w:tcBorders>
              <w:top w:val="nil"/>
              <w:left w:val="nil"/>
              <w:bottom w:val="nil"/>
              <w:right w:val="nil"/>
            </w:tcBorders>
            <w:vAlign w:val="center"/>
          </w:tcPr>
          <w:p w14:paraId="4F8B9A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Nested case-control study</w:t>
            </w:r>
          </w:p>
        </w:tc>
        <w:tc>
          <w:tcPr>
            <w:tcW w:w="1934" w:type="pct"/>
            <w:tcBorders>
              <w:top w:val="nil"/>
              <w:left w:val="nil"/>
              <w:bottom w:val="nil"/>
              <w:right w:val="nil"/>
            </w:tcBorders>
            <w:vAlign w:val="center"/>
          </w:tcPr>
          <w:p w14:paraId="39C124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 were from the PESA study, AWHS study, and ILERVAS study, with PESA study participants set as nested case-controls for internal validation.</w:t>
            </w:r>
          </w:p>
        </w:tc>
        <w:tc>
          <w:tcPr>
            <w:tcW w:w="752" w:type="pct"/>
            <w:tcBorders>
              <w:top w:val="nil"/>
              <w:left w:val="nil"/>
              <w:bottom w:val="nil"/>
              <w:right w:val="nil"/>
            </w:tcBorders>
            <w:vAlign w:val="center"/>
          </w:tcPr>
          <w:p w14:paraId="41993A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PESA, AWHS, ILERVAS study</w:t>
            </w:r>
          </w:p>
        </w:tc>
        <w:tc>
          <w:tcPr>
            <w:tcW w:w="716" w:type="pct"/>
            <w:tcBorders>
              <w:top w:val="nil"/>
              <w:left w:val="nil"/>
              <w:bottom w:val="nil"/>
              <w:right w:val="nil"/>
            </w:tcBorders>
            <w:vAlign w:val="center"/>
          </w:tcPr>
          <w:p w14:paraId="2E76FB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222/444(50.0%) , 175/350(50.0%) , 1595/2999(53.2%)</w:t>
            </w:r>
          </w:p>
        </w:tc>
      </w:tr>
      <w:tr w14:paraId="61A57EBA">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509329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Shuna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41" w:type="pct"/>
            <w:tcBorders>
              <w:top w:val="nil"/>
              <w:left w:val="nil"/>
              <w:bottom w:val="nil"/>
              <w:right w:val="nil"/>
            </w:tcBorders>
            <w:noWrap/>
            <w:vAlign w:val="center"/>
          </w:tcPr>
          <w:p w14:paraId="389F04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476A5D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56876E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participants in this case-control study were enrolled from the Affiliated Union Hospital and the First Affiliated Hospital of Fujian Medical University between October 2014 and August 2019. A total of 4392 participants confirmed their participation by signing an informed consent form.</w:t>
            </w:r>
          </w:p>
        </w:tc>
        <w:tc>
          <w:tcPr>
            <w:tcW w:w="752" w:type="pct"/>
            <w:tcBorders>
              <w:top w:val="nil"/>
              <w:left w:val="nil"/>
              <w:bottom w:val="nil"/>
              <w:right w:val="nil"/>
            </w:tcBorders>
            <w:vAlign w:val="center"/>
          </w:tcPr>
          <w:p w14:paraId="24A195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Affiliated Union Hospital and the First Affiliated Hospital of Fujian Medical University</w:t>
            </w:r>
          </w:p>
        </w:tc>
        <w:tc>
          <w:tcPr>
            <w:tcW w:w="716" w:type="pct"/>
            <w:tcBorders>
              <w:top w:val="nil"/>
              <w:left w:val="nil"/>
              <w:bottom w:val="nil"/>
              <w:right w:val="nil"/>
            </w:tcBorders>
            <w:noWrap/>
            <w:vAlign w:val="center"/>
          </w:tcPr>
          <w:p w14:paraId="65F777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1578/4392(35.9%)</w:t>
            </w:r>
          </w:p>
        </w:tc>
      </w:tr>
      <w:tr w14:paraId="3DF09B9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24FB88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Pengfei Wei et al.(2024)</w:t>
            </w:r>
          </w:p>
        </w:tc>
        <w:tc>
          <w:tcPr>
            <w:tcW w:w="341" w:type="pct"/>
            <w:tcBorders>
              <w:top w:val="nil"/>
              <w:left w:val="nil"/>
              <w:bottom w:val="nil"/>
              <w:right w:val="nil"/>
            </w:tcBorders>
            <w:noWrap/>
            <w:vAlign w:val="center"/>
          </w:tcPr>
          <w:p w14:paraId="60A401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0EE180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7C0C68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All cases were newly diagnosed with CAD, admitted to the Yixing People's Hospital from February 2009 to December 2021 and aged 35–80 years at admission. The cohort studies were conducted in Yixing City, Jurong City and Suqian City, and baseline data were collected from 2009 to 2019.</w:t>
            </w:r>
          </w:p>
        </w:tc>
        <w:tc>
          <w:tcPr>
            <w:tcW w:w="752" w:type="pct"/>
            <w:tcBorders>
              <w:top w:val="nil"/>
              <w:left w:val="nil"/>
              <w:bottom w:val="nil"/>
              <w:right w:val="nil"/>
            </w:tcBorders>
            <w:noWrap/>
            <w:vAlign w:val="center"/>
          </w:tcPr>
          <w:p w14:paraId="030D00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Yixing People's Hospital</w:t>
            </w:r>
          </w:p>
        </w:tc>
        <w:tc>
          <w:tcPr>
            <w:tcW w:w="716" w:type="pct"/>
            <w:tcBorders>
              <w:top w:val="nil"/>
              <w:left w:val="nil"/>
              <w:bottom w:val="nil"/>
              <w:right w:val="nil"/>
            </w:tcBorders>
            <w:noWrap/>
            <w:vAlign w:val="center"/>
          </w:tcPr>
          <w:p w14:paraId="24DC99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3139/6409(49.0%)</w:t>
            </w:r>
          </w:p>
        </w:tc>
      </w:tr>
      <w:tr w14:paraId="480CCB4D">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528D27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341" w:type="pct"/>
            <w:tcBorders>
              <w:top w:val="nil"/>
              <w:left w:val="nil"/>
              <w:bottom w:val="nil"/>
              <w:right w:val="nil"/>
            </w:tcBorders>
            <w:noWrap/>
            <w:vAlign w:val="center"/>
          </w:tcPr>
          <w:p w14:paraId="0C1EFC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1BBA53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560F13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This three-stage case-control study, involving 3112 CAD patients and 3182 controls, was retrospectively collected from three clinical centers: the development cohort with 2014 CAD cases and 2018 controls from Wuhan Asia Heart Hospital, the validation cohort 1 with 837 CAD cases and 876 controls from Zhongnan Hospital of Wuhan University and the validation cohort 2 with 261 CAD cases and 258 controls from Shandong Provincial Hospital.</w:t>
            </w:r>
          </w:p>
        </w:tc>
        <w:tc>
          <w:tcPr>
            <w:tcW w:w="752" w:type="pct"/>
            <w:tcBorders>
              <w:top w:val="nil"/>
              <w:left w:val="nil"/>
              <w:bottom w:val="nil"/>
              <w:right w:val="nil"/>
            </w:tcBorders>
            <w:vAlign w:val="center"/>
          </w:tcPr>
          <w:p w14:paraId="1B7A28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Wuhan Asia Heart Hospital, Wuhan University Zhongnan Hospital, Shandong Provincial Hospital</w:t>
            </w:r>
          </w:p>
        </w:tc>
        <w:tc>
          <w:tcPr>
            <w:tcW w:w="716" w:type="pct"/>
            <w:tcBorders>
              <w:top w:val="nil"/>
              <w:left w:val="nil"/>
              <w:bottom w:val="nil"/>
              <w:right w:val="nil"/>
            </w:tcBorders>
            <w:vAlign w:val="center"/>
          </w:tcPr>
          <w:p w14:paraId="388100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2014/4032(50.0%) , 837/1713(48.9%) , 261/519(50.3%)</w:t>
            </w:r>
          </w:p>
        </w:tc>
      </w:tr>
      <w:tr w14:paraId="7C310794">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2DE02E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41" w:type="pct"/>
            <w:tcBorders>
              <w:top w:val="nil"/>
              <w:left w:val="nil"/>
              <w:bottom w:val="nil"/>
              <w:right w:val="nil"/>
            </w:tcBorders>
            <w:vAlign w:val="center"/>
          </w:tcPr>
          <w:p w14:paraId="0C7602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264274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5E7B2A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total of 139 ASCVD patients were recruited from Zhongnan Hospital of Wuhan University between December 2018 and July 2019.</w:t>
            </w:r>
          </w:p>
        </w:tc>
        <w:tc>
          <w:tcPr>
            <w:tcW w:w="752" w:type="pct"/>
            <w:tcBorders>
              <w:top w:val="nil"/>
              <w:left w:val="nil"/>
              <w:bottom w:val="nil"/>
              <w:right w:val="nil"/>
            </w:tcBorders>
            <w:vAlign w:val="center"/>
          </w:tcPr>
          <w:p w14:paraId="361AB4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Zhongnan Hospital of Wuhan University</w:t>
            </w:r>
          </w:p>
        </w:tc>
        <w:tc>
          <w:tcPr>
            <w:tcW w:w="716" w:type="pct"/>
            <w:tcBorders>
              <w:top w:val="nil"/>
              <w:left w:val="nil"/>
              <w:bottom w:val="nil"/>
              <w:right w:val="nil"/>
            </w:tcBorders>
            <w:vAlign w:val="center"/>
          </w:tcPr>
          <w:p w14:paraId="398346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139/285 (48.8%)</w:t>
            </w:r>
          </w:p>
        </w:tc>
      </w:tr>
      <w:tr w14:paraId="2E90EE7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7FFCA6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41" w:type="pct"/>
            <w:tcBorders>
              <w:top w:val="nil"/>
              <w:left w:val="nil"/>
              <w:bottom w:val="nil"/>
              <w:right w:val="nil"/>
            </w:tcBorders>
            <w:vAlign w:val="center"/>
          </w:tcPr>
          <w:p w14:paraId="1A7994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4547F9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752B08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2085 individuals from FHS.</w:t>
            </w:r>
          </w:p>
        </w:tc>
        <w:tc>
          <w:tcPr>
            <w:tcW w:w="752" w:type="pct"/>
            <w:tcBorders>
              <w:top w:val="nil"/>
              <w:left w:val="nil"/>
              <w:bottom w:val="nil"/>
              <w:right w:val="nil"/>
            </w:tcBorders>
            <w:vAlign w:val="center"/>
          </w:tcPr>
          <w:p w14:paraId="0EFD4B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FHS</w:t>
            </w:r>
          </w:p>
        </w:tc>
        <w:tc>
          <w:tcPr>
            <w:tcW w:w="716" w:type="pct"/>
            <w:tcBorders>
              <w:top w:val="nil"/>
              <w:left w:val="nil"/>
              <w:bottom w:val="nil"/>
              <w:right w:val="nil"/>
            </w:tcBorders>
            <w:vAlign w:val="center"/>
          </w:tcPr>
          <w:p w14:paraId="263732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 199/1563 (12.7%), validation 67/522(12.8%)</w:t>
            </w:r>
          </w:p>
        </w:tc>
      </w:tr>
      <w:tr w14:paraId="2AB2903B">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091829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Iain S. Forrest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41" w:type="pct"/>
            <w:tcBorders>
              <w:top w:val="nil"/>
              <w:left w:val="nil"/>
              <w:bottom w:val="nil"/>
              <w:right w:val="nil"/>
            </w:tcBorders>
            <w:noWrap/>
            <w:vAlign w:val="center"/>
          </w:tcPr>
          <w:p w14:paraId="7EF5A7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noWrap/>
            <w:vAlign w:val="center"/>
          </w:tcPr>
          <w:p w14:paraId="313121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44DA5B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 were selected with the same criteria in BioMe and UKB. Cases of CAD were identified by the presence of CAD diagnosis codes</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 xml:space="preserve"> while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controls had the absence of all CAD diagnosis codes.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BioMe is used for model training and internal validation, and UKB is used for external validation.</w:t>
            </w:r>
          </w:p>
        </w:tc>
        <w:tc>
          <w:tcPr>
            <w:tcW w:w="752" w:type="pct"/>
            <w:tcBorders>
              <w:top w:val="nil"/>
              <w:left w:val="nil"/>
              <w:bottom w:val="nil"/>
              <w:right w:val="nil"/>
            </w:tcBorders>
            <w:noWrap/>
            <w:vAlign w:val="center"/>
          </w:tcPr>
          <w:p w14:paraId="07FDF8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BioMe, UKB</w:t>
            </w:r>
          </w:p>
        </w:tc>
        <w:tc>
          <w:tcPr>
            <w:tcW w:w="716" w:type="pct"/>
            <w:tcBorders>
              <w:top w:val="nil"/>
              <w:left w:val="nil"/>
              <w:bottom w:val="nil"/>
              <w:right w:val="nil"/>
            </w:tcBorders>
            <w:vAlign w:val="center"/>
          </w:tcPr>
          <w:p w14:paraId="3530C2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5130/35749(14.4%), 8128/60186(13.5%)</w:t>
            </w:r>
          </w:p>
        </w:tc>
      </w:tr>
      <w:tr w14:paraId="5CF1D4E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noWrap/>
            <w:vAlign w:val="center"/>
          </w:tcPr>
          <w:p w14:paraId="1F53FF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Nicola Gaibazzi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341" w:type="pct"/>
            <w:tcBorders>
              <w:top w:val="nil"/>
              <w:left w:val="nil"/>
              <w:bottom w:val="nil"/>
              <w:right w:val="nil"/>
            </w:tcBorders>
            <w:noWrap/>
            <w:vAlign w:val="center"/>
          </w:tcPr>
          <w:p w14:paraId="74826E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Italy</w:t>
            </w:r>
          </w:p>
        </w:tc>
        <w:tc>
          <w:tcPr>
            <w:tcW w:w="620" w:type="pct"/>
            <w:tcBorders>
              <w:top w:val="nil"/>
              <w:left w:val="nil"/>
              <w:bottom w:val="nil"/>
              <w:right w:val="nil"/>
            </w:tcBorders>
            <w:noWrap/>
            <w:vAlign w:val="center"/>
          </w:tcPr>
          <w:p w14:paraId="4AE721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1FF30D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Involved eight Italian cente</w:t>
            </w:r>
            <w:r>
              <w:rPr>
                <w:rFonts w:hint="eastAsia" w:ascii="Times New Roman" w:hAnsi="Times New Roman" w:eastAsia="宋体" w:cs="Times New Roman"/>
                <w:color w:val="000000"/>
                <w:kern w:val="0"/>
                <w:sz w:val="20"/>
                <w:szCs w:val="20"/>
                <w:lang w:bidi="ar"/>
              </w:rPr>
              <w:t>r</w:t>
            </w:r>
            <w:r>
              <w:rPr>
                <w:rFonts w:ascii="Times New Roman" w:hAnsi="Times New Roman" w:eastAsia="宋体" w:cs="Times New Roman"/>
                <w:color w:val="000000"/>
                <w:kern w:val="0"/>
                <w:sz w:val="20"/>
                <w:szCs w:val="20"/>
                <w:lang w:bidi="ar"/>
              </w:rPr>
              <w:t>s, between June 2012 and July 2013, and enrolled 457 patients scheduled for clinically indicated CCTA. Inclusion criteria were a history of any type of chest pain of recent onset in patients with risk factors and/or a positive (or inconclusive in high-risk subject</w:t>
            </w:r>
            <w:r>
              <w:rPr>
                <w:rFonts w:hint="eastAsia" w:ascii="Times New Roman" w:hAnsi="Times New Roman" w:eastAsia="宋体" w:cs="Times New Roman"/>
                <w:color w:val="000000"/>
                <w:kern w:val="0"/>
                <w:sz w:val="20"/>
                <w:szCs w:val="20"/>
                <w:lang w:bidi="ar"/>
              </w:rPr>
              <w:t>s</w:t>
            </w:r>
            <w:r>
              <w:rPr>
                <w:rFonts w:ascii="Times New Roman" w:hAnsi="Times New Roman" w:eastAsia="宋体" w:cs="Times New Roman"/>
                <w:color w:val="000000"/>
                <w:kern w:val="0"/>
                <w:sz w:val="20"/>
                <w:szCs w:val="20"/>
                <w:lang w:bidi="ar"/>
              </w:rPr>
              <w:t>)</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stress test for ischaemia. Exclusion criteria were known CAD, previous acute coronary syndrome or coronary revascularization, known cardiomyopathy or reduced, more than mild valvular disease, atrial fibrillation or other sustained arrhythmias, pregnancy/lactation, and a technically poor acoustic window.</w:t>
            </w:r>
          </w:p>
        </w:tc>
        <w:tc>
          <w:tcPr>
            <w:tcW w:w="752" w:type="pct"/>
            <w:tcBorders>
              <w:top w:val="nil"/>
              <w:left w:val="nil"/>
              <w:bottom w:val="nil"/>
              <w:right w:val="nil"/>
            </w:tcBorders>
            <w:vAlign w:val="center"/>
          </w:tcPr>
          <w:p w14:paraId="4A5CE0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Niguarda Ca’ Granda Hospital and Milano-Bicocca University; Spedali Civili Cardiology and Internal Medicine, University Medical Centre, Brescia; University of Messina Hospital; Parma University Hospital; Hospital dell’Angelo’, Mestre-Venice; S. Giovanni-Addolorata Hospital, Roma</w:t>
            </w:r>
          </w:p>
        </w:tc>
        <w:tc>
          <w:tcPr>
            <w:tcW w:w="716" w:type="pct"/>
            <w:tcBorders>
              <w:top w:val="nil"/>
              <w:left w:val="nil"/>
              <w:bottom w:val="nil"/>
              <w:right w:val="nil"/>
            </w:tcBorders>
            <w:noWrap/>
            <w:vAlign w:val="center"/>
          </w:tcPr>
          <w:p w14:paraId="682134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267/445(60.0%)</w:t>
            </w:r>
          </w:p>
        </w:tc>
      </w:tr>
      <w:tr w14:paraId="1D4B775D">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4480DD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Yujia Yang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41" w:type="pct"/>
            <w:tcBorders>
              <w:top w:val="nil"/>
              <w:left w:val="nil"/>
              <w:bottom w:val="nil"/>
              <w:right w:val="nil"/>
            </w:tcBorders>
            <w:noWrap/>
            <w:vAlign w:val="center"/>
          </w:tcPr>
          <w:p w14:paraId="1EB324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5997B1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2B8349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case–control study was conducted on a cohort with 221 CAD patients and 187 non-CAD individuals, confirmed by CCTA, who were consecutively enrolled from January 2013 to March 2014.</w:t>
            </w:r>
          </w:p>
        </w:tc>
        <w:tc>
          <w:tcPr>
            <w:tcW w:w="752" w:type="pct"/>
            <w:tcBorders>
              <w:top w:val="nil"/>
              <w:left w:val="nil"/>
              <w:bottom w:val="nil"/>
              <w:right w:val="nil"/>
            </w:tcBorders>
            <w:noWrap/>
            <w:vAlign w:val="center"/>
          </w:tcPr>
          <w:p w14:paraId="66A13D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716" w:type="pct"/>
            <w:tcBorders>
              <w:top w:val="nil"/>
              <w:left w:val="nil"/>
              <w:bottom w:val="nil"/>
              <w:right w:val="nil"/>
            </w:tcBorders>
            <w:noWrap/>
            <w:vAlign w:val="center"/>
          </w:tcPr>
          <w:p w14:paraId="52B8F9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221/408(54.2%)</w:t>
            </w:r>
          </w:p>
        </w:tc>
      </w:tr>
      <w:tr w14:paraId="4B946FAA">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noWrap/>
            <w:vAlign w:val="center"/>
          </w:tcPr>
          <w:p w14:paraId="732EE1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Chiara Caselli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41" w:type="pct"/>
            <w:tcBorders>
              <w:top w:val="nil"/>
              <w:left w:val="nil"/>
              <w:bottom w:val="nil"/>
              <w:right w:val="nil"/>
            </w:tcBorders>
            <w:noWrap/>
            <w:vAlign w:val="center"/>
          </w:tcPr>
          <w:p w14:paraId="687BDD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Italy</w:t>
            </w:r>
          </w:p>
        </w:tc>
        <w:tc>
          <w:tcPr>
            <w:tcW w:w="620" w:type="pct"/>
            <w:tcBorders>
              <w:top w:val="nil"/>
              <w:left w:val="nil"/>
              <w:bottom w:val="nil"/>
              <w:right w:val="nil"/>
            </w:tcBorders>
            <w:noWrap/>
            <w:vAlign w:val="center"/>
          </w:tcPr>
          <w:p w14:paraId="72E2D4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02FF62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Plasma samples were collected at a central core laboratory in 619 of the 697 (89%) patients enrolled in the EVINCI study. Of these 619 patients, 50 were excluded from the analysis because of inadequate quality of the biological samples, and 42 patients were excluded because they did not complete the study protocol. Thus, 527 participants were eligible for the present investigation.186 consecutive patients with suspected CAD who were hospitalized between January 2000 and October 2005 and fulfilled the inclusion and exclusion criteria of the EVINCI study were selected from the whole population for model validation.</w:t>
            </w:r>
          </w:p>
        </w:tc>
        <w:tc>
          <w:tcPr>
            <w:tcW w:w="752" w:type="pct"/>
            <w:tcBorders>
              <w:top w:val="nil"/>
              <w:left w:val="nil"/>
              <w:bottom w:val="nil"/>
              <w:right w:val="nil"/>
            </w:tcBorders>
            <w:vAlign w:val="center"/>
          </w:tcPr>
          <w:p w14:paraId="1A6A43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EVINCI trial, National Research Council Institute of Clinical Physiology/Fondazione Toscana G. Monasterio of Pisa, and registered in a dedicated database</w:t>
            </w:r>
          </w:p>
        </w:tc>
        <w:tc>
          <w:tcPr>
            <w:tcW w:w="716" w:type="pct"/>
            <w:tcBorders>
              <w:top w:val="nil"/>
              <w:left w:val="nil"/>
              <w:bottom w:val="nil"/>
              <w:right w:val="nil"/>
            </w:tcBorders>
            <w:vAlign w:val="center"/>
          </w:tcPr>
          <w:p w14:paraId="799CA8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 xml:space="preserve">80/527(15.2%), </w:t>
            </w:r>
          </w:p>
          <w:p w14:paraId="09F9B4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75/186(40.3%)</w:t>
            </w:r>
          </w:p>
        </w:tc>
      </w:tr>
      <w:tr w14:paraId="4482FDC7">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noWrap/>
            <w:vAlign w:val="center"/>
          </w:tcPr>
          <w:p w14:paraId="188CB6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Jayashree Shanker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341" w:type="pct"/>
            <w:tcBorders>
              <w:top w:val="nil"/>
              <w:left w:val="nil"/>
              <w:bottom w:val="nil"/>
              <w:right w:val="nil"/>
            </w:tcBorders>
            <w:noWrap/>
            <w:vAlign w:val="center"/>
          </w:tcPr>
          <w:p w14:paraId="693E91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India</w:t>
            </w:r>
          </w:p>
        </w:tc>
        <w:tc>
          <w:tcPr>
            <w:tcW w:w="620" w:type="pct"/>
            <w:tcBorders>
              <w:top w:val="nil"/>
              <w:left w:val="nil"/>
              <w:bottom w:val="nil"/>
              <w:right w:val="nil"/>
            </w:tcBorders>
            <w:noWrap/>
            <w:vAlign w:val="center"/>
          </w:tcPr>
          <w:p w14:paraId="207296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67151F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Participants were selected from the IARS cohort. These subjects were enrolled from March 2003 to April 2004 in Phase I of the IARS and comprise CAD patients, their affected and unaffected family members above 18 years of age.</w:t>
            </w:r>
          </w:p>
        </w:tc>
        <w:tc>
          <w:tcPr>
            <w:tcW w:w="752" w:type="pct"/>
            <w:tcBorders>
              <w:top w:val="nil"/>
              <w:left w:val="nil"/>
              <w:bottom w:val="nil"/>
              <w:right w:val="nil"/>
            </w:tcBorders>
            <w:noWrap/>
            <w:vAlign w:val="center"/>
          </w:tcPr>
          <w:p w14:paraId="306163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IARS</w:t>
            </w:r>
          </w:p>
        </w:tc>
        <w:tc>
          <w:tcPr>
            <w:tcW w:w="716" w:type="pct"/>
            <w:tcBorders>
              <w:top w:val="nil"/>
              <w:left w:val="nil"/>
              <w:bottom w:val="nil"/>
              <w:right w:val="nil"/>
            </w:tcBorders>
            <w:noWrap/>
            <w:vAlign w:val="center"/>
          </w:tcPr>
          <w:p w14:paraId="2331B1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287/764(37.6%)</w:t>
            </w:r>
          </w:p>
        </w:tc>
      </w:tr>
      <w:tr w14:paraId="753CE88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noWrap/>
            <w:vAlign w:val="center"/>
          </w:tcPr>
          <w:p w14:paraId="704E95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George Hindy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41" w:type="pct"/>
            <w:tcBorders>
              <w:top w:val="nil"/>
              <w:left w:val="nil"/>
              <w:bottom w:val="nil"/>
              <w:right w:val="nil"/>
            </w:tcBorders>
            <w:noWrap/>
            <w:vAlign w:val="center"/>
          </w:tcPr>
          <w:p w14:paraId="11D309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Qatar</w:t>
            </w:r>
          </w:p>
        </w:tc>
        <w:tc>
          <w:tcPr>
            <w:tcW w:w="620" w:type="pct"/>
            <w:tcBorders>
              <w:top w:val="nil"/>
              <w:left w:val="nil"/>
              <w:bottom w:val="nil"/>
              <w:right w:val="nil"/>
            </w:tcBorders>
            <w:noWrap/>
            <w:vAlign w:val="center"/>
          </w:tcPr>
          <w:p w14:paraId="68330D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09A6F6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Malmö Diet and Cancer Study is a prospective population-based cohort that enrolled 30447 participants between 1991 and 1996, ranging in age from 44 to 73 years. The UKB is a prospective cohort study that recruited more than 500000 participants from the UK between 2006 and 2010. Age at baseline examination ranged between 40 and 69.</w:t>
            </w:r>
          </w:p>
        </w:tc>
        <w:tc>
          <w:tcPr>
            <w:tcW w:w="752" w:type="pct"/>
            <w:tcBorders>
              <w:top w:val="nil"/>
              <w:left w:val="nil"/>
              <w:bottom w:val="nil"/>
              <w:right w:val="nil"/>
            </w:tcBorders>
            <w:noWrap/>
            <w:vAlign w:val="center"/>
          </w:tcPr>
          <w:p w14:paraId="65504C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Malmö Diet and Cancer Study, UKB</w:t>
            </w:r>
          </w:p>
        </w:tc>
        <w:tc>
          <w:tcPr>
            <w:tcW w:w="716" w:type="pct"/>
            <w:tcBorders>
              <w:top w:val="nil"/>
              <w:left w:val="nil"/>
              <w:bottom w:val="nil"/>
              <w:right w:val="nil"/>
            </w:tcBorders>
            <w:vAlign w:val="center"/>
          </w:tcPr>
          <w:p w14:paraId="5487B5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4122/28556(14.4%), 7708/325003(2.4%)</w:t>
            </w:r>
          </w:p>
        </w:tc>
      </w:tr>
      <w:tr w14:paraId="791C767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noWrap/>
            <w:vAlign w:val="center"/>
          </w:tcPr>
          <w:p w14:paraId="3CB1D4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 Wang et al.(2020)</w:t>
            </w:r>
          </w:p>
        </w:tc>
        <w:tc>
          <w:tcPr>
            <w:tcW w:w="341" w:type="pct"/>
            <w:tcBorders>
              <w:top w:val="nil"/>
              <w:left w:val="nil"/>
              <w:bottom w:val="nil"/>
              <w:right w:val="nil"/>
            </w:tcBorders>
            <w:noWrap/>
            <w:vAlign w:val="center"/>
          </w:tcPr>
          <w:p w14:paraId="0D2DED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3602D3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and case-control study</w:t>
            </w:r>
          </w:p>
        </w:tc>
        <w:tc>
          <w:tcPr>
            <w:tcW w:w="1934" w:type="pct"/>
            <w:tcBorders>
              <w:top w:val="nil"/>
              <w:left w:val="nil"/>
              <w:bottom w:val="nil"/>
              <w:right w:val="nil"/>
            </w:tcBorders>
            <w:vAlign w:val="center"/>
          </w:tcPr>
          <w:p w14:paraId="257F23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CAD patients and healthy volunteers for case-control analysis in this study were recruited from three hospitals in northern China. The study cohort consisted of participants who participated in the China-CVD study from 2009-2010.</w:t>
            </w:r>
          </w:p>
        </w:tc>
        <w:tc>
          <w:tcPr>
            <w:tcW w:w="752" w:type="pct"/>
            <w:tcBorders>
              <w:top w:val="nil"/>
              <w:left w:val="nil"/>
              <w:bottom w:val="nil"/>
              <w:right w:val="nil"/>
            </w:tcBorders>
            <w:vAlign w:val="center"/>
          </w:tcPr>
          <w:p w14:paraId="19768B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Xuanwu Hospital, Capital Medical University and Affiliated Hospital of Jining Medical University, Affiliated Hospital of Yanbian University, China-CVD study</w:t>
            </w:r>
          </w:p>
        </w:tc>
        <w:tc>
          <w:tcPr>
            <w:tcW w:w="716" w:type="pct"/>
            <w:tcBorders>
              <w:top w:val="nil"/>
              <w:left w:val="nil"/>
              <w:bottom w:val="nil"/>
              <w:right w:val="nil"/>
            </w:tcBorders>
            <w:vAlign w:val="center"/>
          </w:tcPr>
          <w:p w14:paraId="73C574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39/78(50.0%), 30/51(58.8%), 64/2812(2.3%)</w:t>
            </w:r>
          </w:p>
        </w:tc>
      </w:tr>
      <w:tr w14:paraId="2CB5833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53FA6E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Yingying Zheng et al.(2020)</w:t>
            </w:r>
          </w:p>
        </w:tc>
        <w:tc>
          <w:tcPr>
            <w:tcW w:w="341" w:type="pct"/>
            <w:tcBorders>
              <w:top w:val="nil"/>
              <w:left w:val="nil"/>
              <w:bottom w:val="nil"/>
              <w:right w:val="nil"/>
            </w:tcBorders>
            <w:noWrap/>
            <w:vAlign w:val="center"/>
          </w:tcPr>
          <w:p w14:paraId="4977B7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noWrap/>
            <w:vAlign w:val="center"/>
          </w:tcPr>
          <w:p w14:paraId="10D158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4A3F19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Xinjiang cohort (n = 257) was recruited from the First Affiliated Hospital of Xinjiang Medical University, and the Zhengzhou cohort (n = 52) was recruited from the First Affiliated Hospital of Zhengzhou University between January 2019 and May 2019, respectively.</w:t>
            </w:r>
          </w:p>
        </w:tc>
        <w:tc>
          <w:tcPr>
            <w:tcW w:w="752" w:type="pct"/>
            <w:tcBorders>
              <w:top w:val="nil"/>
              <w:left w:val="nil"/>
              <w:bottom w:val="nil"/>
              <w:right w:val="nil"/>
            </w:tcBorders>
            <w:vAlign w:val="center"/>
          </w:tcPr>
          <w:p w14:paraId="71C4FC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First Affiliated Hospital of Xinjiang Medical University and the First Affiliated Hospital of Zhengzhou University</w:t>
            </w:r>
          </w:p>
        </w:tc>
        <w:tc>
          <w:tcPr>
            <w:tcW w:w="716" w:type="pct"/>
            <w:tcBorders>
              <w:top w:val="nil"/>
              <w:left w:val="nil"/>
              <w:bottom w:val="nil"/>
              <w:right w:val="nil"/>
            </w:tcBorders>
            <w:vAlign w:val="center"/>
          </w:tcPr>
          <w:p w14:paraId="2D04D0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Xinjiang 152/257((59.1%), zhengzhou 34/52(65.4%)</w:t>
            </w:r>
          </w:p>
        </w:tc>
      </w:tr>
      <w:tr w14:paraId="52D58E7A">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4A777A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Joshua Elliot et al.(2020)</w:t>
            </w:r>
          </w:p>
        </w:tc>
        <w:tc>
          <w:tcPr>
            <w:tcW w:w="341" w:type="pct"/>
            <w:tcBorders>
              <w:top w:val="nil"/>
              <w:left w:val="nil"/>
              <w:bottom w:val="nil"/>
              <w:right w:val="nil"/>
            </w:tcBorders>
            <w:vAlign w:val="center"/>
          </w:tcPr>
          <w:p w14:paraId="649B7A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w:t>
            </w:r>
          </w:p>
        </w:tc>
        <w:tc>
          <w:tcPr>
            <w:tcW w:w="620" w:type="pct"/>
            <w:tcBorders>
              <w:top w:val="nil"/>
              <w:left w:val="nil"/>
              <w:bottom w:val="nil"/>
              <w:right w:val="nil"/>
            </w:tcBorders>
            <w:noWrap/>
            <w:vAlign w:val="center"/>
          </w:tcPr>
          <w:p w14:paraId="3BBBE4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and case-control study</w:t>
            </w:r>
          </w:p>
        </w:tc>
        <w:tc>
          <w:tcPr>
            <w:tcW w:w="1934" w:type="pct"/>
            <w:tcBorders>
              <w:top w:val="nil"/>
              <w:left w:val="nil"/>
              <w:bottom w:val="nil"/>
              <w:right w:val="nil"/>
            </w:tcBorders>
            <w:vAlign w:val="center"/>
          </w:tcPr>
          <w:p w14:paraId="323617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CAD prevalent cases with random age and sex frequency-matched controls in the case-control study.352660 participants (no overlapping with</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case-control set), 6272 incident CAD over 8 y of follow-up.</w:t>
            </w:r>
          </w:p>
        </w:tc>
        <w:tc>
          <w:tcPr>
            <w:tcW w:w="752" w:type="pct"/>
            <w:tcBorders>
              <w:top w:val="nil"/>
              <w:left w:val="nil"/>
              <w:bottom w:val="nil"/>
              <w:right w:val="nil"/>
            </w:tcBorders>
            <w:vAlign w:val="center"/>
          </w:tcPr>
          <w:p w14:paraId="6032C8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w:t>
            </w:r>
          </w:p>
        </w:tc>
        <w:tc>
          <w:tcPr>
            <w:tcW w:w="716" w:type="pct"/>
            <w:tcBorders>
              <w:top w:val="nil"/>
              <w:left w:val="nil"/>
              <w:bottom w:val="nil"/>
              <w:right w:val="nil"/>
            </w:tcBorders>
            <w:vAlign w:val="center"/>
          </w:tcPr>
          <w:p w14:paraId="1741D0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 control 15947/31894(50.0%), cohort 6272/352660(1.8%)</w:t>
            </w:r>
          </w:p>
        </w:tc>
      </w:tr>
      <w:tr w14:paraId="3C8C847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65C7CF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al.(2020)</w:t>
            </w:r>
          </w:p>
        </w:tc>
        <w:tc>
          <w:tcPr>
            <w:tcW w:w="341" w:type="pct"/>
            <w:tcBorders>
              <w:top w:val="nil"/>
              <w:left w:val="nil"/>
              <w:bottom w:val="nil"/>
              <w:right w:val="nil"/>
            </w:tcBorders>
            <w:vAlign w:val="center"/>
          </w:tcPr>
          <w:p w14:paraId="3D71A6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Germany</w:t>
            </w:r>
          </w:p>
        </w:tc>
        <w:tc>
          <w:tcPr>
            <w:tcW w:w="620" w:type="pct"/>
            <w:tcBorders>
              <w:top w:val="nil"/>
              <w:left w:val="nil"/>
              <w:bottom w:val="nil"/>
              <w:right w:val="nil"/>
            </w:tcBorders>
            <w:vAlign w:val="center"/>
          </w:tcPr>
          <w:p w14:paraId="4C0277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15C09B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Six imputed data sets with samples of European descent from the German population. The original data includes a total of 9314 observations with diagnosed CAD (cases) and 8,160 observations without CAD(controls).</w:t>
            </w:r>
          </w:p>
        </w:tc>
        <w:tc>
          <w:tcPr>
            <w:tcW w:w="752" w:type="pct"/>
            <w:tcBorders>
              <w:top w:val="nil"/>
              <w:left w:val="nil"/>
              <w:bottom w:val="nil"/>
              <w:right w:val="nil"/>
            </w:tcBorders>
            <w:vAlign w:val="center"/>
          </w:tcPr>
          <w:p w14:paraId="1920A2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Six imputed datasets</w:t>
            </w:r>
          </w:p>
        </w:tc>
        <w:tc>
          <w:tcPr>
            <w:tcW w:w="716" w:type="pct"/>
            <w:tcBorders>
              <w:top w:val="nil"/>
              <w:left w:val="nil"/>
              <w:bottom w:val="nil"/>
              <w:right w:val="nil"/>
            </w:tcBorders>
            <w:vAlign w:val="center"/>
          </w:tcPr>
          <w:p w14:paraId="13FF19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7736/14510(53.3%), test validation group 527/1000(52.7%)</w:t>
            </w:r>
          </w:p>
        </w:tc>
      </w:tr>
      <w:tr w14:paraId="4B1D36DA">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75C1AF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Sakhavat Abolhasani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41" w:type="pct"/>
            <w:tcBorders>
              <w:top w:val="nil"/>
              <w:left w:val="nil"/>
              <w:bottom w:val="nil"/>
              <w:right w:val="nil"/>
            </w:tcBorders>
            <w:vAlign w:val="center"/>
          </w:tcPr>
          <w:p w14:paraId="22813F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Iran</w:t>
            </w:r>
          </w:p>
        </w:tc>
        <w:tc>
          <w:tcPr>
            <w:tcW w:w="620" w:type="pct"/>
            <w:tcBorders>
              <w:top w:val="nil"/>
              <w:left w:val="nil"/>
              <w:bottom w:val="nil"/>
              <w:right w:val="nil"/>
            </w:tcBorders>
            <w:vAlign w:val="center"/>
          </w:tcPr>
          <w:p w14:paraId="535FCD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1D4C18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160 angiographically diagnosed CAD patients and 20 healthy individuals.</w:t>
            </w:r>
          </w:p>
        </w:tc>
        <w:tc>
          <w:tcPr>
            <w:tcW w:w="752" w:type="pct"/>
            <w:tcBorders>
              <w:top w:val="nil"/>
              <w:left w:val="nil"/>
              <w:bottom w:val="nil"/>
              <w:right w:val="nil"/>
            </w:tcBorders>
            <w:vAlign w:val="center"/>
          </w:tcPr>
          <w:p w14:paraId="0B5271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Shahid Madani Hospital</w:t>
            </w:r>
          </w:p>
        </w:tc>
        <w:tc>
          <w:tcPr>
            <w:tcW w:w="716" w:type="pct"/>
            <w:tcBorders>
              <w:top w:val="nil"/>
              <w:left w:val="nil"/>
              <w:bottom w:val="nil"/>
              <w:right w:val="nil"/>
            </w:tcBorders>
            <w:vAlign w:val="center"/>
          </w:tcPr>
          <w:p w14:paraId="74CBD7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160/180 (88.9%)</w:t>
            </w:r>
          </w:p>
        </w:tc>
      </w:tr>
      <w:tr w14:paraId="3B81BF5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3ACE15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Zhe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41" w:type="pct"/>
            <w:tcBorders>
              <w:top w:val="nil"/>
              <w:left w:val="nil"/>
              <w:bottom w:val="nil"/>
              <w:right w:val="nil"/>
            </w:tcBorders>
            <w:vAlign w:val="center"/>
          </w:tcPr>
          <w:p w14:paraId="0F1D79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vAlign w:val="center"/>
          </w:tcPr>
          <w:p w14:paraId="78C03F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02558E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3598 African and European Americans.</w:t>
            </w:r>
          </w:p>
        </w:tc>
        <w:tc>
          <w:tcPr>
            <w:tcW w:w="752" w:type="pct"/>
            <w:tcBorders>
              <w:top w:val="nil"/>
              <w:left w:val="nil"/>
              <w:bottom w:val="nil"/>
              <w:right w:val="nil"/>
            </w:tcBorders>
            <w:vAlign w:val="center"/>
          </w:tcPr>
          <w:p w14:paraId="274019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ARIC study</w:t>
            </w:r>
          </w:p>
        </w:tc>
        <w:tc>
          <w:tcPr>
            <w:tcW w:w="716" w:type="pct"/>
            <w:tcBorders>
              <w:top w:val="nil"/>
              <w:left w:val="nil"/>
              <w:bottom w:val="nil"/>
              <w:right w:val="nil"/>
            </w:tcBorders>
            <w:vAlign w:val="center"/>
          </w:tcPr>
          <w:p w14:paraId="6123F5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633/3598 (17.6%)</w:t>
            </w:r>
          </w:p>
        </w:tc>
      </w:tr>
      <w:tr w14:paraId="4D440EF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7B95B6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Weiyi Mei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41" w:type="pct"/>
            <w:tcBorders>
              <w:top w:val="nil"/>
              <w:left w:val="nil"/>
              <w:bottom w:val="nil"/>
              <w:right w:val="nil"/>
            </w:tcBorders>
            <w:vAlign w:val="center"/>
          </w:tcPr>
          <w:p w14:paraId="397ECD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50AE30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4596A5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Retrospectively enrolled Chinese individuals who underwent coronary angiography and 12-lead resting ECG at the First Affiliated Hospital of Sun Yat-Sen University in Guangzhou, China, from March 2013 to December 2016.</w:t>
            </w:r>
          </w:p>
        </w:tc>
        <w:tc>
          <w:tcPr>
            <w:tcW w:w="752" w:type="pct"/>
            <w:tcBorders>
              <w:top w:val="nil"/>
              <w:left w:val="nil"/>
              <w:bottom w:val="nil"/>
              <w:right w:val="nil"/>
            </w:tcBorders>
            <w:vAlign w:val="center"/>
          </w:tcPr>
          <w:p w14:paraId="3F55E1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First Affiliated Hospital of Sun Yat-Sen University</w:t>
            </w:r>
          </w:p>
        </w:tc>
        <w:tc>
          <w:tcPr>
            <w:tcW w:w="716" w:type="pct"/>
            <w:tcBorders>
              <w:top w:val="nil"/>
              <w:left w:val="nil"/>
              <w:bottom w:val="nil"/>
              <w:right w:val="nil"/>
            </w:tcBorders>
            <w:vAlign w:val="center"/>
          </w:tcPr>
          <w:p w14:paraId="5CBCAC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2002/3785 (52.9%)</w:t>
            </w:r>
          </w:p>
        </w:tc>
      </w:tr>
      <w:tr w14:paraId="6A32CCF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46FE08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James J. Jang et al.(2019)</w:t>
            </w:r>
          </w:p>
        </w:tc>
        <w:tc>
          <w:tcPr>
            <w:tcW w:w="341" w:type="pct"/>
            <w:tcBorders>
              <w:top w:val="nil"/>
              <w:left w:val="nil"/>
              <w:bottom w:val="nil"/>
              <w:right w:val="nil"/>
            </w:tcBorders>
            <w:vAlign w:val="center"/>
          </w:tcPr>
          <w:p w14:paraId="1A99AF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vAlign w:val="center"/>
          </w:tcPr>
          <w:p w14:paraId="14EB01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16A541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Using the PROMISE cohort who were randomized to initial anatomical testing and received an interpretable CCTA as their first diagnostic test (n=4589)</w:t>
            </w:r>
          </w:p>
        </w:tc>
        <w:tc>
          <w:tcPr>
            <w:tcW w:w="752" w:type="pct"/>
            <w:tcBorders>
              <w:top w:val="nil"/>
              <w:left w:val="nil"/>
              <w:bottom w:val="nil"/>
              <w:right w:val="nil"/>
            </w:tcBorders>
            <w:vAlign w:val="center"/>
          </w:tcPr>
          <w:p w14:paraId="5CC9CA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PROMISE trial</w:t>
            </w:r>
          </w:p>
        </w:tc>
        <w:tc>
          <w:tcPr>
            <w:tcW w:w="716" w:type="pct"/>
            <w:tcBorders>
              <w:top w:val="nil"/>
              <w:left w:val="nil"/>
              <w:bottom w:val="nil"/>
              <w:right w:val="nil"/>
            </w:tcBorders>
            <w:vAlign w:val="center"/>
          </w:tcPr>
          <w:p w14:paraId="4464CD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301/4589 (6.6%)</w:t>
            </w:r>
          </w:p>
        </w:tc>
      </w:tr>
      <w:tr w14:paraId="2EC3F3E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39EE3A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Jia Zhou et al.(2019)</w:t>
            </w:r>
          </w:p>
        </w:tc>
        <w:tc>
          <w:tcPr>
            <w:tcW w:w="341" w:type="pct"/>
            <w:tcBorders>
              <w:top w:val="nil"/>
              <w:left w:val="nil"/>
              <w:bottom w:val="nil"/>
              <w:right w:val="nil"/>
            </w:tcBorders>
            <w:vAlign w:val="center"/>
          </w:tcPr>
          <w:p w14:paraId="034B37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779B53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1CE31B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5743 patients who underwent CCTA for SCP indicative of obstructive CAD were recruited between 2014 and 2016 in Tianjin Chest Hospital, Tianjin, China. From March 2014 to March 2015, we enrolled 2844 patients from the Chinese People’s Liberation Army General Hospital, Beijing, China, as an external validation cohort using the same inclusion and exclusion criteria and then patients were followed up for clinical outcome.</w:t>
            </w:r>
          </w:p>
        </w:tc>
        <w:tc>
          <w:tcPr>
            <w:tcW w:w="752" w:type="pct"/>
            <w:tcBorders>
              <w:top w:val="nil"/>
              <w:left w:val="nil"/>
              <w:bottom w:val="nil"/>
              <w:right w:val="nil"/>
            </w:tcBorders>
            <w:vAlign w:val="center"/>
          </w:tcPr>
          <w:p w14:paraId="4FA120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Tianjin Chest Hospital, Chinese People’s Liberation Army General Hospital</w:t>
            </w:r>
          </w:p>
        </w:tc>
        <w:tc>
          <w:tcPr>
            <w:tcW w:w="716" w:type="pct"/>
            <w:tcBorders>
              <w:top w:val="nil"/>
              <w:left w:val="nil"/>
              <w:bottom w:val="nil"/>
              <w:right w:val="nil"/>
            </w:tcBorders>
            <w:vAlign w:val="center"/>
          </w:tcPr>
          <w:p w14:paraId="735F6C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1872/5743 (32.6%), 942/2844 (33.5%)</w:t>
            </w:r>
          </w:p>
        </w:tc>
      </w:tr>
      <w:tr w14:paraId="093A506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2E7084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 Liu et al.(2018)</w:t>
            </w:r>
          </w:p>
        </w:tc>
        <w:tc>
          <w:tcPr>
            <w:tcW w:w="341" w:type="pct"/>
            <w:tcBorders>
              <w:top w:val="nil"/>
              <w:left w:val="nil"/>
              <w:bottom w:val="nil"/>
              <w:right w:val="nil"/>
            </w:tcBorders>
            <w:vAlign w:val="center"/>
          </w:tcPr>
          <w:p w14:paraId="2D8B0F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4AD616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123186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TRUST enrolled 17513 patients who underwent either CAG or PCI, or both, with intra-arterial administration of iopromide. The database for validation included the PRECOMIN study which was conducted between January 2010 to October 2010 in the Guangdong General Hospital. It was a prospective, observational study that recruited all patients who were undergoing PCI with non-ionic contrast agents.</w:t>
            </w:r>
          </w:p>
        </w:tc>
        <w:tc>
          <w:tcPr>
            <w:tcW w:w="752" w:type="pct"/>
            <w:tcBorders>
              <w:top w:val="nil"/>
              <w:left w:val="nil"/>
              <w:bottom w:val="nil"/>
              <w:right w:val="nil"/>
            </w:tcBorders>
            <w:vAlign w:val="center"/>
          </w:tcPr>
          <w:p w14:paraId="110E36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TRUST, PRECOMIN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(Guangdong General Hospital)</w:t>
            </w:r>
          </w:p>
        </w:tc>
        <w:tc>
          <w:tcPr>
            <w:tcW w:w="716" w:type="pct"/>
            <w:tcBorders>
              <w:top w:val="nil"/>
              <w:left w:val="nil"/>
              <w:bottom w:val="nil"/>
              <w:right w:val="nil"/>
            </w:tcBorders>
            <w:vAlign w:val="center"/>
          </w:tcPr>
          <w:p w14:paraId="694EA5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10087/13082 (73.1%) in TRUST,  758/1009(75.1%) in PRECOMIN</w:t>
            </w:r>
          </w:p>
        </w:tc>
      </w:tr>
      <w:tr w14:paraId="7688DDEF">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1D2B77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Inouye et al.(2018)</w:t>
            </w:r>
          </w:p>
        </w:tc>
        <w:tc>
          <w:tcPr>
            <w:tcW w:w="341" w:type="pct"/>
            <w:tcBorders>
              <w:top w:val="nil"/>
              <w:left w:val="nil"/>
              <w:bottom w:val="nil"/>
              <w:right w:val="nil"/>
            </w:tcBorders>
            <w:vAlign w:val="center"/>
          </w:tcPr>
          <w:p w14:paraId="279276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w:t>
            </w:r>
          </w:p>
        </w:tc>
        <w:tc>
          <w:tcPr>
            <w:tcW w:w="620" w:type="pct"/>
            <w:tcBorders>
              <w:top w:val="nil"/>
              <w:left w:val="nil"/>
              <w:bottom w:val="nil"/>
              <w:right w:val="nil"/>
            </w:tcBorders>
            <w:vAlign w:val="center"/>
          </w:tcPr>
          <w:p w14:paraId="38DA0D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2049CB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 xml:space="preserve">Participants were members of the general UK population between </w:t>
            </w:r>
            <w:r>
              <w:rPr>
                <w:rFonts w:hint="eastAsia" w:ascii="Times New Roman" w:hAnsi="Times New Roman" w:eastAsia="宋体" w:cs="Times New Roman"/>
                <w:color w:val="000000"/>
                <w:kern w:val="0"/>
                <w:sz w:val="20"/>
                <w:szCs w:val="20"/>
                <w:lang w:bidi="ar"/>
              </w:rPr>
              <w:t xml:space="preserve">the </w:t>
            </w:r>
            <w:r>
              <w:rPr>
                <w:rFonts w:ascii="Times New Roman" w:hAnsi="Times New Roman" w:eastAsia="宋体" w:cs="Times New Roman"/>
                <w:color w:val="000000"/>
                <w:kern w:val="0"/>
                <w:sz w:val="20"/>
                <w:szCs w:val="20"/>
                <w:lang w:bidi="ar"/>
              </w:rPr>
              <w:t xml:space="preserve">ages </w:t>
            </w:r>
            <w:r>
              <w:rPr>
                <w:rFonts w:hint="eastAsia" w:ascii="Times New Roman" w:hAnsi="Times New Roman" w:eastAsia="宋体" w:cs="Times New Roman"/>
                <w:color w:val="000000"/>
                <w:kern w:val="0"/>
                <w:sz w:val="20"/>
                <w:szCs w:val="20"/>
                <w:lang w:bidi="ar"/>
              </w:rPr>
              <w:t xml:space="preserve">of </w:t>
            </w:r>
            <w:r>
              <w:rPr>
                <w:rFonts w:ascii="Times New Roman" w:hAnsi="Times New Roman" w:eastAsia="宋体" w:cs="Times New Roman"/>
                <w:color w:val="000000"/>
                <w:kern w:val="0"/>
                <w:sz w:val="20"/>
                <w:szCs w:val="20"/>
                <w:lang w:bidi="ar"/>
              </w:rPr>
              <w:t>40 and 69 years at recruitment, identified through primary care lists, who accepted an invitation to attend 1 of the 22 assessment centers that were serially established across the UK between 2006 and 2010. 480000 adults from the UKB for validation and 1000 for external validation.</w:t>
            </w:r>
          </w:p>
        </w:tc>
        <w:tc>
          <w:tcPr>
            <w:tcW w:w="752" w:type="pct"/>
            <w:tcBorders>
              <w:top w:val="nil"/>
              <w:left w:val="nil"/>
              <w:bottom w:val="nil"/>
              <w:right w:val="nil"/>
            </w:tcBorders>
            <w:vAlign w:val="center"/>
          </w:tcPr>
          <w:p w14:paraId="4A14C5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w:t>
            </w:r>
          </w:p>
        </w:tc>
        <w:tc>
          <w:tcPr>
            <w:tcW w:w="716" w:type="pct"/>
            <w:tcBorders>
              <w:top w:val="nil"/>
              <w:left w:val="nil"/>
              <w:bottom w:val="nil"/>
              <w:right w:val="nil"/>
            </w:tcBorders>
            <w:vAlign w:val="center"/>
          </w:tcPr>
          <w:p w14:paraId="19E162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Training 3000 total, external 22242/482629(4.6%)</w:t>
            </w:r>
          </w:p>
        </w:tc>
      </w:tr>
      <w:tr w14:paraId="01FA548F">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7BB715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al.(2017)</w:t>
            </w:r>
          </w:p>
        </w:tc>
        <w:tc>
          <w:tcPr>
            <w:tcW w:w="341" w:type="pct"/>
            <w:tcBorders>
              <w:top w:val="nil"/>
              <w:left w:val="nil"/>
              <w:bottom w:val="nil"/>
              <w:right w:val="nil"/>
            </w:tcBorders>
            <w:vAlign w:val="center"/>
          </w:tcPr>
          <w:p w14:paraId="39CD57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Austria</w:t>
            </w:r>
          </w:p>
        </w:tc>
        <w:tc>
          <w:tcPr>
            <w:tcW w:w="620" w:type="pct"/>
            <w:tcBorders>
              <w:top w:val="nil"/>
              <w:left w:val="nil"/>
              <w:bottom w:val="nil"/>
              <w:right w:val="nil"/>
            </w:tcBorders>
            <w:vAlign w:val="center"/>
          </w:tcPr>
          <w:p w14:paraId="15A3DD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4A72F4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4,888 patients without prior CAD from the CARDIIGAN cohort.</w:t>
            </w:r>
          </w:p>
        </w:tc>
        <w:tc>
          <w:tcPr>
            <w:tcW w:w="752" w:type="pct"/>
            <w:tcBorders>
              <w:top w:val="nil"/>
              <w:left w:val="nil"/>
              <w:bottom w:val="nil"/>
              <w:right w:val="nil"/>
            </w:tcBorders>
            <w:vAlign w:val="center"/>
          </w:tcPr>
          <w:p w14:paraId="370CFC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CARDIIGAN cohort</w:t>
            </w:r>
          </w:p>
        </w:tc>
        <w:tc>
          <w:tcPr>
            <w:tcW w:w="716" w:type="pct"/>
            <w:tcBorders>
              <w:top w:val="nil"/>
              <w:left w:val="nil"/>
              <w:bottom w:val="nil"/>
              <w:right w:val="nil"/>
            </w:tcBorders>
            <w:vAlign w:val="center"/>
          </w:tcPr>
          <w:p w14:paraId="084CB6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1901/4888 (38.9%)</w:t>
            </w:r>
          </w:p>
        </w:tc>
      </w:tr>
      <w:tr w14:paraId="63724C32">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7B8AA8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Juan Miguel Fernández-Alvira et al.(2017)</w:t>
            </w:r>
          </w:p>
        </w:tc>
        <w:tc>
          <w:tcPr>
            <w:tcW w:w="341" w:type="pct"/>
            <w:tcBorders>
              <w:top w:val="nil"/>
              <w:left w:val="nil"/>
              <w:bottom w:val="nil"/>
              <w:right w:val="nil"/>
            </w:tcBorders>
            <w:vAlign w:val="center"/>
          </w:tcPr>
          <w:p w14:paraId="116933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Spain</w:t>
            </w:r>
          </w:p>
        </w:tc>
        <w:tc>
          <w:tcPr>
            <w:tcW w:w="620" w:type="pct"/>
            <w:tcBorders>
              <w:top w:val="nil"/>
              <w:left w:val="nil"/>
              <w:bottom w:val="nil"/>
              <w:right w:val="nil"/>
            </w:tcBorders>
            <w:vAlign w:val="center"/>
          </w:tcPr>
          <w:p w14:paraId="0BDF21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0A094E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3983 participants, 40 to 54 years old, asymptomatic employees of Banco Santander.</w:t>
            </w:r>
          </w:p>
        </w:tc>
        <w:tc>
          <w:tcPr>
            <w:tcW w:w="752" w:type="pct"/>
            <w:tcBorders>
              <w:top w:val="nil"/>
              <w:left w:val="nil"/>
              <w:bottom w:val="nil"/>
              <w:right w:val="nil"/>
            </w:tcBorders>
            <w:vAlign w:val="center"/>
          </w:tcPr>
          <w:p w14:paraId="222603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PESA study</w:t>
            </w:r>
          </w:p>
        </w:tc>
        <w:tc>
          <w:tcPr>
            <w:tcW w:w="716" w:type="pct"/>
            <w:tcBorders>
              <w:top w:val="nil"/>
              <w:left w:val="nil"/>
              <w:bottom w:val="nil"/>
              <w:right w:val="nil"/>
            </w:tcBorders>
            <w:vAlign w:val="center"/>
          </w:tcPr>
          <w:p w14:paraId="276186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2377/3983 (59.7%)</w:t>
            </w:r>
          </w:p>
        </w:tc>
      </w:tr>
      <w:tr w14:paraId="1E85B17E">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32E1F6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Tessa S.S.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Genders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(2011)</w:t>
            </w:r>
          </w:p>
        </w:tc>
        <w:tc>
          <w:tcPr>
            <w:tcW w:w="341" w:type="pct"/>
            <w:tcBorders>
              <w:top w:val="nil"/>
              <w:left w:val="nil"/>
              <w:bottom w:val="nil"/>
              <w:right w:val="nil"/>
            </w:tcBorders>
            <w:noWrap/>
            <w:vAlign w:val="center"/>
          </w:tcPr>
          <w:p w14:paraId="21BF37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Netherlands</w:t>
            </w:r>
          </w:p>
        </w:tc>
        <w:tc>
          <w:tcPr>
            <w:tcW w:w="620" w:type="pct"/>
            <w:tcBorders>
              <w:top w:val="nil"/>
              <w:left w:val="nil"/>
              <w:bottom w:val="nil"/>
              <w:right w:val="nil"/>
            </w:tcBorders>
            <w:noWrap/>
            <w:vAlign w:val="center"/>
          </w:tcPr>
          <w:p w14:paraId="3FC158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7779BE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Data from 14 hospitals on patients with chest pain without a history of CAD and referred for CCTA were used. The primary outcome was obstructive CAD, defined as ≥50% stenosis in one or more vessels on CCTA.</w:t>
            </w:r>
            <w:r>
              <w:rPr>
                <w:rFonts w:hint="eastAsia" w:ascii="Times New Roman" w:hAnsi="Times New Roman" w:eastAsia="宋体" w:cs="Times New Roman"/>
                <w:color w:val="000000"/>
                <w:kern w:val="0"/>
                <w:sz w:val="20"/>
                <w:szCs w:val="20"/>
                <w:lang w:bidi="ar"/>
              </w:rPr>
              <w:t xml:space="preserve"> About </w:t>
            </w:r>
            <w:r>
              <w:rPr>
                <w:rFonts w:ascii="Times New Roman" w:hAnsi="Times New Roman" w:eastAsia="宋体" w:cs="Times New Roman"/>
                <w:color w:val="000000"/>
                <w:kern w:val="0"/>
                <w:sz w:val="20"/>
                <w:szCs w:val="20"/>
                <w:lang w:bidi="ar"/>
              </w:rPr>
              <w:t>2260 patients were referred for CCTA.</w:t>
            </w:r>
          </w:p>
        </w:tc>
        <w:tc>
          <w:tcPr>
            <w:tcW w:w="752" w:type="pct"/>
            <w:tcBorders>
              <w:top w:val="nil"/>
              <w:left w:val="nil"/>
              <w:bottom w:val="nil"/>
              <w:right w:val="nil"/>
            </w:tcBorders>
            <w:noWrap/>
            <w:vAlign w:val="center"/>
          </w:tcPr>
          <w:p w14:paraId="14965C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CAD Consortium</w:t>
            </w:r>
          </w:p>
        </w:tc>
        <w:tc>
          <w:tcPr>
            <w:tcW w:w="716" w:type="pct"/>
            <w:tcBorders>
              <w:top w:val="nil"/>
              <w:left w:val="nil"/>
              <w:bottom w:val="nil"/>
              <w:right w:val="nil"/>
            </w:tcBorders>
            <w:noWrap/>
            <w:vAlign w:val="center"/>
          </w:tcPr>
          <w:p w14:paraId="6764BB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1319/2260 (58.4%)</w:t>
            </w:r>
          </w:p>
        </w:tc>
      </w:tr>
      <w:tr w14:paraId="0E2ACE87">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noWrap/>
            <w:vAlign w:val="center"/>
          </w:tcPr>
          <w:p w14:paraId="09F6F8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Christian Delles et al.(2010)</w:t>
            </w:r>
          </w:p>
        </w:tc>
        <w:tc>
          <w:tcPr>
            <w:tcW w:w="341" w:type="pct"/>
            <w:tcBorders>
              <w:top w:val="nil"/>
              <w:left w:val="nil"/>
              <w:bottom w:val="nil"/>
              <w:right w:val="nil"/>
            </w:tcBorders>
            <w:noWrap/>
            <w:vAlign w:val="center"/>
          </w:tcPr>
          <w:p w14:paraId="62AB1C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w:t>
            </w:r>
          </w:p>
        </w:tc>
        <w:tc>
          <w:tcPr>
            <w:tcW w:w="620" w:type="pct"/>
            <w:tcBorders>
              <w:top w:val="nil"/>
              <w:left w:val="nil"/>
              <w:bottom w:val="nil"/>
              <w:right w:val="nil"/>
            </w:tcBorders>
            <w:noWrap/>
            <w:vAlign w:val="center"/>
          </w:tcPr>
          <w:p w14:paraId="596CB4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and case-control study</w:t>
            </w:r>
          </w:p>
        </w:tc>
        <w:tc>
          <w:tcPr>
            <w:tcW w:w="1934" w:type="pct"/>
            <w:tcBorders>
              <w:top w:val="nil"/>
              <w:left w:val="nil"/>
              <w:bottom w:val="nil"/>
              <w:right w:val="nil"/>
            </w:tcBorders>
            <w:vAlign w:val="center"/>
          </w:tcPr>
          <w:p w14:paraId="3A5703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752" w:type="pct"/>
            <w:tcBorders>
              <w:top w:val="nil"/>
              <w:left w:val="nil"/>
              <w:bottom w:val="nil"/>
              <w:right w:val="nil"/>
            </w:tcBorders>
            <w:vAlign w:val="center"/>
          </w:tcPr>
          <w:p w14:paraId="372578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716" w:type="pct"/>
            <w:tcBorders>
              <w:top w:val="nil"/>
              <w:left w:val="nil"/>
              <w:bottom w:val="nil"/>
              <w:right w:val="nil"/>
            </w:tcBorders>
            <w:vAlign w:val="center"/>
          </w:tcPr>
          <w:p w14:paraId="339C4C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204/586 (34.8%), 71/138(51.5%)</w:t>
            </w:r>
          </w:p>
        </w:tc>
      </w:tr>
      <w:tr w14:paraId="06808FE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noWrap/>
            <w:vAlign w:val="center"/>
          </w:tcPr>
          <w:p w14:paraId="1B41C7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Stefan Bösner et al.(2010)</w:t>
            </w:r>
          </w:p>
        </w:tc>
        <w:tc>
          <w:tcPr>
            <w:tcW w:w="341" w:type="pct"/>
            <w:tcBorders>
              <w:top w:val="nil"/>
              <w:left w:val="nil"/>
              <w:bottom w:val="nil"/>
              <w:right w:val="nil"/>
            </w:tcBorders>
            <w:noWrap/>
            <w:vAlign w:val="center"/>
          </w:tcPr>
          <w:p w14:paraId="45988E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Germany</w:t>
            </w:r>
          </w:p>
        </w:tc>
        <w:tc>
          <w:tcPr>
            <w:tcW w:w="620" w:type="pct"/>
            <w:tcBorders>
              <w:top w:val="nil"/>
              <w:left w:val="nil"/>
              <w:bottom w:val="nil"/>
              <w:right w:val="nil"/>
            </w:tcBorders>
            <w:noWrap/>
            <w:vAlign w:val="center"/>
          </w:tcPr>
          <w:p w14:paraId="089CD3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Cross-sectional Study</w:t>
            </w:r>
          </w:p>
        </w:tc>
        <w:tc>
          <w:tcPr>
            <w:tcW w:w="1934" w:type="pct"/>
            <w:tcBorders>
              <w:top w:val="nil"/>
              <w:left w:val="nil"/>
              <w:bottom w:val="nil"/>
              <w:right w:val="nil"/>
            </w:tcBorders>
            <w:vAlign w:val="center"/>
          </w:tcPr>
          <w:p w14:paraId="036E72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Approached 209 primary care physicians in the State of Hesse, Germany, of whom 74 (35%) agreed to participate in the study. Participating physicians were asked to recruit all patients who had chest pain that was either the reason for the consultation or was described by the patient during the consultation when asked by the physician. The recruitment period lasted 12 weeks for each practice and, for logistical reasons was staggered in four waves between October 2005 and July 2006.</w:t>
            </w:r>
          </w:p>
        </w:tc>
        <w:tc>
          <w:tcPr>
            <w:tcW w:w="752" w:type="pct"/>
            <w:tcBorders>
              <w:top w:val="nil"/>
              <w:left w:val="nil"/>
              <w:bottom w:val="nil"/>
              <w:right w:val="nil"/>
            </w:tcBorders>
            <w:noWrap/>
            <w:vAlign w:val="center"/>
          </w:tcPr>
          <w:p w14:paraId="3F3B6F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Primary care, TOPIC research</w:t>
            </w:r>
          </w:p>
        </w:tc>
        <w:tc>
          <w:tcPr>
            <w:tcW w:w="716" w:type="pct"/>
            <w:tcBorders>
              <w:top w:val="nil"/>
              <w:left w:val="nil"/>
              <w:bottom w:val="nil"/>
              <w:right w:val="nil"/>
            </w:tcBorders>
            <w:noWrap/>
            <w:vAlign w:val="center"/>
          </w:tcPr>
          <w:p w14:paraId="6623CD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180/1199 (15.0%), 85/672 (12.6%)</w:t>
            </w:r>
          </w:p>
        </w:tc>
      </w:tr>
      <w:tr w14:paraId="0F5A6DE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0D1C63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Dragana Lakic BPharm et al.(2010)</w:t>
            </w:r>
          </w:p>
        </w:tc>
        <w:tc>
          <w:tcPr>
            <w:tcW w:w="341" w:type="pct"/>
            <w:tcBorders>
              <w:top w:val="nil"/>
              <w:left w:val="nil"/>
              <w:bottom w:val="nil"/>
              <w:right w:val="nil"/>
            </w:tcBorders>
            <w:vAlign w:val="center"/>
          </w:tcPr>
          <w:p w14:paraId="150F2D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Serbia</w:t>
            </w:r>
          </w:p>
        </w:tc>
        <w:tc>
          <w:tcPr>
            <w:tcW w:w="620" w:type="pct"/>
            <w:tcBorders>
              <w:top w:val="nil"/>
              <w:left w:val="nil"/>
              <w:bottom w:val="nil"/>
              <w:right w:val="nil"/>
            </w:tcBorders>
            <w:vAlign w:val="center"/>
          </w:tcPr>
          <w:p w14:paraId="024C9A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4FBF17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Recruited 188 CAD patients (122 males and 66 females) from the Institute of Cardiovascular Disease, Clinical Centre of Serbia, Belgrade, and 197 asymptomatic CAD-free subjects (113 males and 84 females) who attended a regular annual medical checkup at various public health centers in Belgrade for comparison purposes.</w:t>
            </w:r>
          </w:p>
        </w:tc>
        <w:tc>
          <w:tcPr>
            <w:tcW w:w="752" w:type="pct"/>
            <w:tcBorders>
              <w:top w:val="nil"/>
              <w:left w:val="nil"/>
              <w:bottom w:val="nil"/>
              <w:right w:val="nil"/>
            </w:tcBorders>
            <w:vAlign w:val="center"/>
          </w:tcPr>
          <w:p w14:paraId="70FB32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Institute of Cardiovascular Disease, Clinical Centre of Serbia</w:t>
            </w:r>
          </w:p>
        </w:tc>
        <w:tc>
          <w:tcPr>
            <w:tcW w:w="716" w:type="pct"/>
            <w:tcBorders>
              <w:top w:val="nil"/>
              <w:left w:val="nil"/>
              <w:bottom w:val="nil"/>
              <w:right w:val="nil"/>
            </w:tcBorders>
            <w:vAlign w:val="center"/>
          </w:tcPr>
          <w:p w14:paraId="6FC262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188/385 (48.8%)</w:t>
            </w:r>
          </w:p>
        </w:tc>
      </w:tr>
      <w:tr w14:paraId="2D5FD27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1B35F8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Zufei Wu et al.(2025)</w:t>
            </w:r>
          </w:p>
        </w:tc>
        <w:tc>
          <w:tcPr>
            <w:tcW w:w="341" w:type="pct"/>
            <w:tcBorders>
              <w:top w:val="nil"/>
              <w:left w:val="nil"/>
              <w:bottom w:val="nil"/>
              <w:right w:val="nil"/>
            </w:tcBorders>
            <w:vAlign w:val="center"/>
          </w:tcPr>
          <w:p w14:paraId="008658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3CEE1C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case-control study</w:t>
            </w:r>
          </w:p>
        </w:tc>
        <w:tc>
          <w:tcPr>
            <w:tcW w:w="1934" w:type="pct"/>
            <w:tcBorders>
              <w:top w:val="nil"/>
              <w:left w:val="nil"/>
              <w:bottom w:val="nil"/>
              <w:right w:val="nil"/>
            </w:tcBorders>
            <w:vAlign w:val="center"/>
          </w:tcPr>
          <w:p w14:paraId="15C1C8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Using a retrospective analysis method, a total of 2756 patients who presented with chest pain at the outpatient or emergency department of Xuancheng People’s Hospital from January 2020 to December 2022 were identified from the Hospital Information System. 2100 patients with chest pain were recruited.</w:t>
            </w:r>
          </w:p>
        </w:tc>
        <w:tc>
          <w:tcPr>
            <w:tcW w:w="752" w:type="pct"/>
            <w:tcBorders>
              <w:top w:val="nil"/>
              <w:left w:val="nil"/>
              <w:bottom w:val="nil"/>
              <w:right w:val="nil"/>
            </w:tcBorders>
            <w:vAlign w:val="center"/>
          </w:tcPr>
          <w:p w14:paraId="463AFF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Xuancheng People's Hospital</w:t>
            </w:r>
          </w:p>
        </w:tc>
        <w:tc>
          <w:tcPr>
            <w:tcW w:w="716" w:type="pct"/>
            <w:tcBorders>
              <w:top w:val="nil"/>
              <w:left w:val="nil"/>
              <w:bottom w:val="nil"/>
              <w:right w:val="nil"/>
            </w:tcBorders>
            <w:vAlign w:val="center"/>
          </w:tcPr>
          <w:p w14:paraId="6072C0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1268/2100 (60.4%)</w:t>
            </w:r>
          </w:p>
        </w:tc>
      </w:tr>
      <w:tr w14:paraId="61695C7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501AB4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Yongjin Wang et al.(2024)</w:t>
            </w:r>
          </w:p>
        </w:tc>
        <w:tc>
          <w:tcPr>
            <w:tcW w:w="341" w:type="pct"/>
            <w:tcBorders>
              <w:top w:val="nil"/>
              <w:left w:val="nil"/>
              <w:bottom w:val="nil"/>
              <w:right w:val="nil"/>
            </w:tcBorders>
            <w:vAlign w:val="center"/>
          </w:tcPr>
          <w:p w14:paraId="2B7BB6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4411D5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7B2923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primary dataset of this case-control study encompassed 314 CAD patients and 314 healthy controls, examined between January 2022 and June 2023. All participants were recruited from the Wuxi People’s Hospital, affiliated with Nanjing Medical University in Jiangsu Province.</w:t>
            </w:r>
          </w:p>
        </w:tc>
        <w:tc>
          <w:tcPr>
            <w:tcW w:w="752" w:type="pct"/>
            <w:tcBorders>
              <w:top w:val="nil"/>
              <w:left w:val="nil"/>
              <w:bottom w:val="nil"/>
              <w:right w:val="nil"/>
            </w:tcBorders>
            <w:vAlign w:val="center"/>
          </w:tcPr>
          <w:p w14:paraId="7432BD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Wuxi People's Hospital</w:t>
            </w:r>
          </w:p>
        </w:tc>
        <w:tc>
          <w:tcPr>
            <w:tcW w:w="716" w:type="pct"/>
            <w:tcBorders>
              <w:top w:val="nil"/>
              <w:left w:val="nil"/>
              <w:bottom w:val="nil"/>
              <w:right w:val="nil"/>
            </w:tcBorders>
            <w:vAlign w:val="center"/>
          </w:tcPr>
          <w:p w14:paraId="599919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314/628 (50.0%)</w:t>
            </w:r>
          </w:p>
        </w:tc>
      </w:tr>
      <w:tr w14:paraId="525743CD">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220D73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Runlu Sun et al.(2024)</w:t>
            </w:r>
          </w:p>
        </w:tc>
        <w:tc>
          <w:tcPr>
            <w:tcW w:w="341" w:type="pct"/>
            <w:tcBorders>
              <w:top w:val="nil"/>
              <w:left w:val="nil"/>
              <w:bottom w:val="nil"/>
              <w:right w:val="nil"/>
            </w:tcBorders>
            <w:vAlign w:val="center"/>
          </w:tcPr>
          <w:p w14:paraId="791CDA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62EC6C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case-control study</w:t>
            </w:r>
          </w:p>
        </w:tc>
        <w:tc>
          <w:tcPr>
            <w:tcW w:w="1934" w:type="pct"/>
            <w:tcBorders>
              <w:top w:val="nil"/>
              <w:left w:val="nil"/>
              <w:bottom w:val="nil"/>
              <w:right w:val="nil"/>
            </w:tcBorders>
            <w:vAlign w:val="center"/>
          </w:tcPr>
          <w:p w14:paraId="231172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Recruited 108 PCAD patients (female ≤65 years old and male ≤55 years old) and 96 healthy controls from Sun Yat-sen Memorial Hospital of Sun Yat-sen University between 01/01/2021 and 31/12/2022</w:t>
            </w:r>
          </w:p>
        </w:tc>
        <w:tc>
          <w:tcPr>
            <w:tcW w:w="752" w:type="pct"/>
            <w:tcBorders>
              <w:top w:val="nil"/>
              <w:left w:val="nil"/>
              <w:bottom w:val="nil"/>
              <w:right w:val="nil"/>
            </w:tcBorders>
            <w:vAlign w:val="center"/>
          </w:tcPr>
          <w:p w14:paraId="6F6EE3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Sun Yat-sen Memorial Hospital</w:t>
            </w:r>
          </w:p>
        </w:tc>
        <w:tc>
          <w:tcPr>
            <w:tcW w:w="716" w:type="pct"/>
            <w:tcBorders>
              <w:top w:val="nil"/>
              <w:left w:val="nil"/>
              <w:bottom w:val="nil"/>
              <w:right w:val="nil"/>
            </w:tcBorders>
            <w:vAlign w:val="center"/>
          </w:tcPr>
          <w:p w14:paraId="0C2A6A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108/204 (52.9%)</w:t>
            </w:r>
          </w:p>
        </w:tc>
      </w:tr>
      <w:tr w14:paraId="4F196A0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vAlign w:val="center"/>
          </w:tcPr>
          <w:p w14:paraId="78D0EB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Wenqian Shen et al.(2023)</w:t>
            </w:r>
          </w:p>
        </w:tc>
        <w:tc>
          <w:tcPr>
            <w:tcW w:w="341" w:type="pct"/>
            <w:tcBorders>
              <w:top w:val="nil"/>
              <w:left w:val="nil"/>
              <w:bottom w:val="nil"/>
              <w:right w:val="nil"/>
            </w:tcBorders>
            <w:vAlign w:val="center"/>
          </w:tcPr>
          <w:p w14:paraId="01F24F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47DF73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Two-center retrospective case-control study</w:t>
            </w:r>
          </w:p>
        </w:tc>
        <w:tc>
          <w:tcPr>
            <w:tcW w:w="1934" w:type="pct"/>
            <w:tcBorders>
              <w:top w:val="nil"/>
              <w:left w:val="nil"/>
              <w:bottom w:val="nil"/>
              <w:right w:val="nil"/>
            </w:tcBorders>
            <w:vAlign w:val="center"/>
          </w:tcPr>
          <w:p w14:paraId="625180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Retrospectively enrolled patients with stable CAD and UA, and referred for CCTA at the Second Affiliated Hospital of Harbin Medical University from November 2020 to September 2021 as the derivation cohort. From March 2022 to August 2022, we enrolled patients at Guangdong Provincial People’s Hospital, Southern Medical University as an external validation cohort using the same inclusion and exclusion criteria. Finally, the derivation cohort and external validation cohort were comprised of 320 and 96 patients, respectively.</w:t>
            </w:r>
          </w:p>
        </w:tc>
        <w:tc>
          <w:tcPr>
            <w:tcW w:w="752" w:type="pct"/>
            <w:tcBorders>
              <w:top w:val="nil"/>
              <w:left w:val="nil"/>
              <w:bottom w:val="nil"/>
              <w:right w:val="nil"/>
            </w:tcBorders>
            <w:vAlign w:val="center"/>
          </w:tcPr>
          <w:p w14:paraId="6BC43D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Second Affiliated Hospital of Harbin Medical University, Guangdong Provincial People’s Hospital, Southern Medical University</w:t>
            </w:r>
          </w:p>
        </w:tc>
        <w:tc>
          <w:tcPr>
            <w:tcW w:w="716" w:type="pct"/>
            <w:tcBorders>
              <w:top w:val="nil"/>
              <w:left w:val="nil"/>
              <w:bottom w:val="nil"/>
              <w:right w:val="nil"/>
            </w:tcBorders>
            <w:vAlign w:val="center"/>
          </w:tcPr>
          <w:p w14:paraId="62681C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Derivation cohort: 134/320 (41.9%), external validation cohort: 44/96 (45.8%)</w:t>
            </w:r>
          </w:p>
        </w:tc>
      </w:tr>
      <w:tr w14:paraId="5E69852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1D059C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Sadiya S. Khan et al.(2023)</w:t>
            </w:r>
          </w:p>
        </w:tc>
        <w:tc>
          <w:tcPr>
            <w:tcW w:w="341" w:type="pct"/>
            <w:tcBorders>
              <w:top w:val="nil"/>
              <w:left w:val="nil"/>
              <w:bottom w:val="nil"/>
              <w:right w:val="nil"/>
            </w:tcBorders>
            <w:vAlign w:val="center"/>
          </w:tcPr>
          <w:p w14:paraId="7B500F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Chicago</w:t>
            </w:r>
          </w:p>
        </w:tc>
        <w:tc>
          <w:tcPr>
            <w:tcW w:w="620" w:type="pct"/>
            <w:tcBorders>
              <w:top w:val="nil"/>
              <w:left w:val="nil"/>
              <w:bottom w:val="nil"/>
              <w:right w:val="nil"/>
            </w:tcBorders>
            <w:vAlign w:val="center"/>
          </w:tcPr>
          <w:p w14:paraId="496B55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35C892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Two observational population-based studies involving individuals aged 45 years through 79 years of European ancestry and free of clinical CHD at baseline: the MESA study involved 1991 participants at 6 US centers and the RS involved 1217 in Rotterdam, the Netherlands.</w:t>
            </w:r>
          </w:p>
        </w:tc>
        <w:tc>
          <w:tcPr>
            <w:tcW w:w="752" w:type="pct"/>
            <w:tcBorders>
              <w:top w:val="nil"/>
              <w:left w:val="nil"/>
              <w:bottom w:val="nil"/>
              <w:right w:val="nil"/>
            </w:tcBorders>
            <w:vAlign w:val="center"/>
          </w:tcPr>
          <w:p w14:paraId="6AA6A6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MESA and RS</w:t>
            </w:r>
          </w:p>
        </w:tc>
        <w:tc>
          <w:tcPr>
            <w:tcW w:w="716" w:type="pct"/>
            <w:tcBorders>
              <w:top w:val="nil"/>
              <w:left w:val="nil"/>
              <w:bottom w:val="nil"/>
              <w:right w:val="nil"/>
            </w:tcBorders>
            <w:vAlign w:val="center"/>
          </w:tcPr>
          <w:p w14:paraId="164133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MESA 187/1991 (9.4%),  RS 98/1217 (8.1%)</w:t>
            </w:r>
          </w:p>
        </w:tc>
      </w:tr>
      <w:tr w14:paraId="2FBAA27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112671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Simon Winther et al.(2022)</w:t>
            </w:r>
          </w:p>
        </w:tc>
        <w:tc>
          <w:tcPr>
            <w:tcW w:w="341" w:type="pct"/>
            <w:tcBorders>
              <w:top w:val="nil"/>
              <w:left w:val="nil"/>
              <w:bottom w:val="nil"/>
              <w:right w:val="nil"/>
            </w:tcBorders>
            <w:vAlign w:val="center"/>
          </w:tcPr>
          <w:p w14:paraId="0AC9F7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Denmark</w:t>
            </w:r>
          </w:p>
        </w:tc>
        <w:tc>
          <w:tcPr>
            <w:tcW w:w="620" w:type="pct"/>
            <w:tcBorders>
              <w:top w:val="nil"/>
              <w:left w:val="nil"/>
              <w:bottom w:val="nil"/>
              <w:right w:val="nil"/>
            </w:tcBorders>
            <w:vAlign w:val="center"/>
          </w:tcPr>
          <w:p w14:paraId="012A9A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5A86C4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This study utilized two large cohorts of patients without previously diagnosed CAD presenting with symptoms suggestive of obstructive CAD referred for non-invasive testing: the WDHR and the PROMISE. 41177 patients from WDHR and 3952 patients from PROMISE.</w:t>
            </w:r>
          </w:p>
        </w:tc>
        <w:tc>
          <w:tcPr>
            <w:tcW w:w="752" w:type="pct"/>
            <w:tcBorders>
              <w:top w:val="nil"/>
              <w:left w:val="nil"/>
              <w:bottom w:val="nil"/>
              <w:right w:val="nil"/>
            </w:tcBorders>
            <w:vAlign w:val="center"/>
          </w:tcPr>
          <w:p w14:paraId="7F2593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WDHR and PROMISE</w:t>
            </w:r>
          </w:p>
        </w:tc>
        <w:tc>
          <w:tcPr>
            <w:tcW w:w="716" w:type="pct"/>
            <w:tcBorders>
              <w:top w:val="nil"/>
              <w:left w:val="nil"/>
              <w:bottom w:val="nil"/>
              <w:right w:val="nil"/>
            </w:tcBorders>
            <w:vAlign w:val="center"/>
          </w:tcPr>
          <w:p w14:paraId="5F85EB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WDHR 10182/42784(23.9%), PROMISE 918/3952(23.2%)</w:t>
            </w:r>
          </w:p>
        </w:tc>
      </w:tr>
      <w:tr w14:paraId="2B2EDACE">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25F7CE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Austin King et al.(2023)</w:t>
            </w:r>
          </w:p>
        </w:tc>
        <w:tc>
          <w:tcPr>
            <w:tcW w:w="341" w:type="pct"/>
            <w:tcBorders>
              <w:top w:val="nil"/>
              <w:left w:val="nil"/>
              <w:bottom w:val="nil"/>
              <w:right w:val="nil"/>
            </w:tcBorders>
            <w:vAlign w:val="center"/>
          </w:tcPr>
          <w:p w14:paraId="2EC670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noWrap/>
            <w:vAlign w:val="center"/>
          </w:tcPr>
          <w:p w14:paraId="0DE28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and case-control study</w:t>
            </w:r>
          </w:p>
        </w:tc>
        <w:tc>
          <w:tcPr>
            <w:tcW w:w="1934" w:type="pct"/>
            <w:tcBorders>
              <w:top w:val="nil"/>
              <w:left w:val="nil"/>
              <w:bottom w:val="nil"/>
              <w:right w:val="nil"/>
            </w:tcBorders>
            <w:vAlign w:val="center"/>
          </w:tcPr>
          <w:p w14:paraId="4776A5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Summary data for three GWAS on CAD (CARDIoGRAMplusC4D, Finngen Biobank, Japan Biobank) that excluded the UKB and data on linkage disequilibrium were used. The calculated PRSs were applied to a nonoverlapping set of participants from the UKB with no preexisting CAD, aged 40 to 69 at baseline, and who were followed up for incident CAD events.</w:t>
            </w:r>
          </w:p>
        </w:tc>
        <w:tc>
          <w:tcPr>
            <w:tcW w:w="752" w:type="pct"/>
            <w:tcBorders>
              <w:top w:val="nil"/>
              <w:left w:val="nil"/>
              <w:bottom w:val="nil"/>
              <w:right w:val="nil"/>
            </w:tcBorders>
            <w:vAlign w:val="center"/>
          </w:tcPr>
          <w:p w14:paraId="2DC0B0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CARDIoGRAMplusC4D, Finngen Biobank, Japan Biobank, UKB</w:t>
            </w:r>
          </w:p>
        </w:tc>
        <w:tc>
          <w:tcPr>
            <w:tcW w:w="716" w:type="pct"/>
            <w:tcBorders>
              <w:top w:val="nil"/>
              <w:left w:val="nil"/>
              <w:bottom w:val="nil"/>
              <w:right w:val="nil"/>
            </w:tcBorders>
            <w:vAlign w:val="center"/>
          </w:tcPr>
          <w:p w14:paraId="545064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7036/272307(2.6%)</w:t>
            </w:r>
          </w:p>
        </w:tc>
      </w:tr>
      <w:tr w14:paraId="1C555F4F">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3F8CD9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Casper G.M.J. Eurlings et al.(2022)</w:t>
            </w:r>
          </w:p>
        </w:tc>
        <w:tc>
          <w:tcPr>
            <w:tcW w:w="341" w:type="pct"/>
            <w:tcBorders>
              <w:top w:val="nil"/>
              <w:left w:val="nil"/>
              <w:bottom w:val="nil"/>
              <w:right w:val="nil"/>
            </w:tcBorders>
            <w:vAlign w:val="center"/>
          </w:tcPr>
          <w:p w14:paraId="1978DE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Netherlands</w:t>
            </w:r>
          </w:p>
        </w:tc>
        <w:tc>
          <w:tcPr>
            <w:tcW w:w="620" w:type="pct"/>
            <w:tcBorders>
              <w:top w:val="nil"/>
              <w:left w:val="nil"/>
              <w:bottom w:val="nil"/>
              <w:right w:val="nil"/>
            </w:tcBorders>
            <w:vAlign w:val="center"/>
          </w:tcPr>
          <w:p w14:paraId="4CFD91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cohort study</w:t>
            </w:r>
          </w:p>
        </w:tc>
        <w:tc>
          <w:tcPr>
            <w:tcW w:w="1934" w:type="pct"/>
            <w:tcBorders>
              <w:top w:val="nil"/>
              <w:left w:val="nil"/>
              <w:bottom w:val="nil"/>
              <w:right w:val="nil"/>
            </w:tcBorders>
            <w:vAlign w:val="center"/>
          </w:tcPr>
          <w:p w14:paraId="36B349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CVC cohort included 4344 patients, aged &gt;18 years old, who were referred by GPs to the cardiology outpatient clinic at Maastricht University Medical Centre between April 2006 and November 2011. 696 outpatient clinic patients were finally recruited.</w:t>
            </w:r>
          </w:p>
        </w:tc>
        <w:tc>
          <w:tcPr>
            <w:tcW w:w="752" w:type="pct"/>
            <w:tcBorders>
              <w:top w:val="nil"/>
              <w:left w:val="nil"/>
              <w:bottom w:val="nil"/>
              <w:right w:val="nil"/>
            </w:tcBorders>
            <w:vAlign w:val="center"/>
          </w:tcPr>
          <w:p w14:paraId="172853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Maastricht University Hospital</w:t>
            </w:r>
          </w:p>
        </w:tc>
        <w:tc>
          <w:tcPr>
            <w:tcW w:w="716" w:type="pct"/>
            <w:tcBorders>
              <w:top w:val="nil"/>
              <w:left w:val="nil"/>
              <w:bottom w:val="nil"/>
              <w:right w:val="nil"/>
            </w:tcBorders>
            <w:vAlign w:val="center"/>
          </w:tcPr>
          <w:p w14:paraId="0111A0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113/696 (16.2%)</w:t>
            </w:r>
          </w:p>
        </w:tc>
      </w:tr>
      <w:tr w14:paraId="2FC086CD">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584" w:hRule="atLeast"/>
          <w:jc w:val="center"/>
        </w:trPr>
        <w:tc>
          <w:tcPr>
            <w:tcW w:w="637" w:type="pct"/>
            <w:tcBorders>
              <w:top w:val="nil"/>
              <w:left w:val="nil"/>
              <w:bottom w:val="nil"/>
              <w:right w:val="nil"/>
            </w:tcBorders>
            <w:vAlign w:val="center"/>
          </w:tcPr>
          <w:p w14:paraId="12361A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Juntae Kim et al.(2022)</w:t>
            </w:r>
          </w:p>
        </w:tc>
        <w:tc>
          <w:tcPr>
            <w:tcW w:w="341" w:type="pct"/>
            <w:tcBorders>
              <w:top w:val="nil"/>
              <w:left w:val="nil"/>
              <w:bottom w:val="nil"/>
              <w:right w:val="nil"/>
            </w:tcBorders>
            <w:vAlign w:val="center"/>
          </w:tcPr>
          <w:p w14:paraId="40A11D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South Korea</w:t>
            </w:r>
          </w:p>
        </w:tc>
        <w:tc>
          <w:tcPr>
            <w:tcW w:w="620" w:type="pct"/>
            <w:tcBorders>
              <w:top w:val="nil"/>
              <w:left w:val="nil"/>
              <w:bottom w:val="nil"/>
              <w:right w:val="nil"/>
            </w:tcBorders>
            <w:vAlign w:val="center"/>
          </w:tcPr>
          <w:p w14:paraId="7FFA91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cohort study</w:t>
            </w:r>
          </w:p>
        </w:tc>
        <w:tc>
          <w:tcPr>
            <w:tcW w:w="1934" w:type="pct"/>
            <w:tcBorders>
              <w:top w:val="nil"/>
              <w:left w:val="nil"/>
              <w:bottom w:val="nil"/>
              <w:right w:val="nil"/>
            </w:tcBorders>
            <w:vAlign w:val="center"/>
          </w:tcPr>
          <w:p w14:paraId="4A9997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Included a cohort of 4,906 patients who visited the outpatient department for angina or anginal equivalent symptoms and underwent invasive coronary angiography at Dankook University Hospital between August 2014 and January 2016. OCAD was defined as any stenosis 70% or greater in the epicardial coronary artery, 50% or greater in the left main coronary artery, or both. Non-OCAD was defined as a stenosis 20% or greater but less than 70% in any other epicardial coronary artery, or a coronary artery stenosis 20% or greater but less than 50% in the left main coronary artery, as recorded by physicians in the catheterization report. No apparent CAD was defined as all coronary stenoses less than 20% or luminal irregularities. The case group was defined as having OCAD, and the control group was defined as having no apparent CAD. 1312 patients (case group 861, control group 451) were selected for the analysis.</w:t>
            </w:r>
          </w:p>
        </w:tc>
        <w:tc>
          <w:tcPr>
            <w:tcW w:w="752" w:type="pct"/>
            <w:tcBorders>
              <w:top w:val="nil"/>
              <w:left w:val="nil"/>
              <w:bottom w:val="nil"/>
              <w:right w:val="nil"/>
            </w:tcBorders>
            <w:vAlign w:val="center"/>
          </w:tcPr>
          <w:p w14:paraId="0157BB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Dankook University Hospital</w:t>
            </w:r>
          </w:p>
        </w:tc>
        <w:tc>
          <w:tcPr>
            <w:tcW w:w="716" w:type="pct"/>
            <w:tcBorders>
              <w:top w:val="nil"/>
              <w:left w:val="nil"/>
              <w:bottom w:val="nil"/>
              <w:right w:val="nil"/>
            </w:tcBorders>
            <w:vAlign w:val="center"/>
          </w:tcPr>
          <w:p w14:paraId="1DB124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861/1312 (65.6%)</w:t>
            </w:r>
          </w:p>
        </w:tc>
      </w:tr>
      <w:tr w14:paraId="510EA5E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08002C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Bao Liu et al.(2022)</w:t>
            </w:r>
          </w:p>
        </w:tc>
        <w:tc>
          <w:tcPr>
            <w:tcW w:w="341" w:type="pct"/>
            <w:tcBorders>
              <w:top w:val="nil"/>
              <w:left w:val="nil"/>
              <w:bottom w:val="nil"/>
              <w:right w:val="nil"/>
            </w:tcBorders>
            <w:vAlign w:val="center"/>
          </w:tcPr>
          <w:p w14:paraId="09B4E1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7B2B49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single-center cohort study</w:t>
            </w:r>
          </w:p>
        </w:tc>
        <w:tc>
          <w:tcPr>
            <w:tcW w:w="1934" w:type="pct"/>
            <w:tcBorders>
              <w:top w:val="nil"/>
              <w:left w:val="nil"/>
              <w:bottom w:val="nil"/>
              <w:right w:val="nil"/>
            </w:tcBorders>
            <w:vAlign w:val="center"/>
          </w:tcPr>
          <w:p w14:paraId="46B7CF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This is a retrospective single-center cohort study of patients who underwent ECG-gated SPECT MPI for suspected CAD at the Third Affiliated Hospital of Soochow University between February 2016 and April 2020. Of the 260 suspected CAD patients, 95 had OCAD.</w:t>
            </w:r>
          </w:p>
        </w:tc>
        <w:tc>
          <w:tcPr>
            <w:tcW w:w="752" w:type="pct"/>
            <w:tcBorders>
              <w:top w:val="nil"/>
              <w:left w:val="nil"/>
              <w:bottom w:val="nil"/>
              <w:right w:val="nil"/>
            </w:tcBorders>
            <w:vAlign w:val="center"/>
          </w:tcPr>
          <w:p w14:paraId="1499A3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Third Affiliated Hospital of Soochow University</w:t>
            </w:r>
          </w:p>
        </w:tc>
        <w:tc>
          <w:tcPr>
            <w:tcW w:w="716" w:type="pct"/>
            <w:tcBorders>
              <w:top w:val="nil"/>
              <w:left w:val="nil"/>
              <w:bottom w:val="nil"/>
              <w:right w:val="nil"/>
            </w:tcBorders>
            <w:vAlign w:val="center"/>
          </w:tcPr>
          <w:p w14:paraId="65282B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95/260 (36.5%)</w:t>
            </w:r>
          </w:p>
        </w:tc>
      </w:tr>
      <w:tr w14:paraId="5ACDBEE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39FEC5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Chenchi Chang et al.(2022)</w:t>
            </w:r>
          </w:p>
        </w:tc>
        <w:tc>
          <w:tcPr>
            <w:tcW w:w="341" w:type="pct"/>
            <w:tcBorders>
              <w:top w:val="nil"/>
              <w:left w:val="nil"/>
              <w:bottom w:val="nil"/>
              <w:right w:val="nil"/>
            </w:tcBorders>
            <w:vAlign w:val="center"/>
          </w:tcPr>
          <w:p w14:paraId="7DDFA6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China</w:t>
            </w:r>
          </w:p>
          <w:p w14:paraId="08020F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(Taiwan)</w:t>
            </w:r>
          </w:p>
        </w:tc>
        <w:tc>
          <w:tcPr>
            <w:tcW w:w="620" w:type="pct"/>
            <w:tcBorders>
              <w:top w:val="nil"/>
              <w:left w:val="nil"/>
              <w:bottom w:val="nil"/>
              <w:right w:val="nil"/>
            </w:tcBorders>
            <w:vAlign w:val="center"/>
          </w:tcPr>
          <w:p w14:paraId="5227EC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60B81C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198 plasma samples (162 CAD patients and 36 healthy controls). Plasma samples from 162 patients with CAD (40 female and 122 male patients), and 36 healthy controls were obtained from the Department of Laboratory Medicine of Taipei City Hospital HepingFuyou Branch, and the Cardiovascular Center of Lo-Hsu Medical Foundation Luodong Poh-Ai Hospital.</w:t>
            </w:r>
          </w:p>
        </w:tc>
        <w:tc>
          <w:tcPr>
            <w:tcW w:w="752" w:type="pct"/>
            <w:tcBorders>
              <w:top w:val="nil"/>
              <w:left w:val="nil"/>
              <w:bottom w:val="nil"/>
              <w:right w:val="nil"/>
            </w:tcBorders>
            <w:vAlign w:val="center"/>
          </w:tcPr>
          <w:p w14:paraId="1222B3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Department of Laboratory Medicine of Taipei City Hospital HepingFuyou Branch, and the Cardiovascular Center of Lo-Hsu Medical Foundation Luodong Poh-Ai Hospital</w:t>
            </w:r>
          </w:p>
        </w:tc>
        <w:tc>
          <w:tcPr>
            <w:tcW w:w="716" w:type="pct"/>
            <w:tcBorders>
              <w:top w:val="nil"/>
              <w:left w:val="nil"/>
              <w:bottom w:val="nil"/>
              <w:right w:val="nil"/>
            </w:tcBorders>
            <w:vAlign w:val="center"/>
          </w:tcPr>
          <w:p w14:paraId="5851F2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162 CAD patients (45 with &lt;30% stenosis, 49 with 30–70% stenosis, 68 with &gt;70% stenosis) and 36 healthy controls</w:t>
            </w:r>
          </w:p>
        </w:tc>
      </w:tr>
      <w:tr w14:paraId="5CB9D87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vAlign w:val="center"/>
          </w:tcPr>
          <w:p w14:paraId="22224B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al.(2022)</w:t>
            </w:r>
          </w:p>
        </w:tc>
        <w:tc>
          <w:tcPr>
            <w:tcW w:w="341" w:type="pct"/>
            <w:tcBorders>
              <w:top w:val="nil"/>
              <w:left w:val="nil"/>
              <w:bottom w:val="nil"/>
              <w:right w:val="nil"/>
            </w:tcBorders>
            <w:vAlign w:val="center"/>
          </w:tcPr>
          <w:p w14:paraId="18BA89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Singapore</w:t>
            </w:r>
          </w:p>
        </w:tc>
        <w:tc>
          <w:tcPr>
            <w:tcW w:w="620" w:type="pct"/>
            <w:tcBorders>
              <w:top w:val="nil"/>
              <w:left w:val="nil"/>
              <w:bottom w:val="nil"/>
              <w:right w:val="nil"/>
            </w:tcBorders>
            <w:vAlign w:val="center"/>
          </w:tcPr>
          <w:p w14:paraId="4748C5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single-center cohort study</w:t>
            </w:r>
          </w:p>
        </w:tc>
        <w:tc>
          <w:tcPr>
            <w:tcW w:w="1934" w:type="pct"/>
            <w:tcBorders>
              <w:top w:val="nil"/>
              <w:left w:val="nil"/>
              <w:bottom w:val="nil"/>
              <w:right w:val="nil"/>
            </w:tcBorders>
            <w:vAlign w:val="center"/>
          </w:tcPr>
          <w:p w14:paraId="4DDADD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1035 symptomatic patients who underwent clinically indicated CT scans for suspected CAD from July 2015 to October 2017 were eligible. A total of 136 subjects with nondiagnostic CT scans were removed. A further 33 patients with a prior history of CAD were excluded. As this study was intended to evaluate the risk scores in symptomatic subjects, 344 patients without 2-way confirmation of the presence of risk factors or symptom typicality verified in both questionnaire and electronic health care records were excluded from the study. After these exclusions, 522 patients remained for analysis.</w:t>
            </w:r>
          </w:p>
        </w:tc>
        <w:tc>
          <w:tcPr>
            <w:tcW w:w="752" w:type="pct"/>
            <w:tcBorders>
              <w:top w:val="nil"/>
              <w:left w:val="nil"/>
              <w:bottom w:val="nil"/>
              <w:right w:val="nil"/>
            </w:tcBorders>
            <w:vAlign w:val="center"/>
          </w:tcPr>
          <w:p w14:paraId="606C0A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716" w:type="pct"/>
            <w:tcBorders>
              <w:top w:val="nil"/>
              <w:left w:val="nil"/>
              <w:bottom w:val="nil"/>
              <w:right w:val="nil"/>
            </w:tcBorders>
            <w:vAlign w:val="center"/>
          </w:tcPr>
          <w:p w14:paraId="2BE3C9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126/522 (24.1%)</w:t>
            </w:r>
          </w:p>
        </w:tc>
      </w:tr>
      <w:tr w14:paraId="021F06E4">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60B2E8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Saaket Agrawal et al.(2021)</w:t>
            </w:r>
          </w:p>
        </w:tc>
        <w:tc>
          <w:tcPr>
            <w:tcW w:w="341" w:type="pct"/>
            <w:tcBorders>
              <w:top w:val="nil"/>
              <w:left w:val="nil"/>
              <w:bottom w:val="nil"/>
              <w:right w:val="nil"/>
            </w:tcBorders>
            <w:vAlign w:val="center"/>
          </w:tcPr>
          <w:p w14:paraId="4A7E62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vAlign w:val="center"/>
          </w:tcPr>
          <w:p w14:paraId="6D850A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23EB19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173274 UKB participants. Mean age was 56 years, 51% were male, and 95% were white. The analyzed cohort was randomly divided into 80% development cohort (n = 138619) and 20% holdout cohort (n = 34655) with similar baseline characteristics.</w:t>
            </w:r>
          </w:p>
        </w:tc>
        <w:tc>
          <w:tcPr>
            <w:tcW w:w="752" w:type="pct"/>
            <w:tcBorders>
              <w:top w:val="nil"/>
              <w:left w:val="nil"/>
              <w:bottom w:val="nil"/>
              <w:right w:val="nil"/>
            </w:tcBorders>
            <w:vAlign w:val="center"/>
          </w:tcPr>
          <w:p w14:paraId="0D3598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w:t>
            </w:r>
          </w:p>
        </w:tc>
        <w:tc>
          <w:tcPr>
            <w:tcW w:w="716" w:type="pct"/>
            <w:tcBorders>
              <w:top w:val="nil"/>
              <w:left w:val="nil"/>
              <w:bottom w:val="nil"/>
              <w:right w:val="nil"/>
            </w:tcBorders>
            <w:vAlign w:val="center"/>
          </w:tcPr>
          <w:p w14:paraId="5C3897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Development: 4103 /138619(3.0%), holdout: 1037/34655(3.0%)</w:t>
            </w:r>
          </w:p>
        </w:tc>
      </w:tr>
      <w:tr w14:paraId="7161361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7B57F9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al.(2020)</w:t>
            </w:r>
          </w:p>
        </w:tc>
        <w:tc>
          <w:tcPr>
            <w:tcW w:w="341" w:type="pct"/>
            <w:tcBorders>
              <w:top w:val="nil"/>
              <w:left w:val="nil"/>
              <w:bottom w:val="nil"/>
              <w:right w:val="nil"/>
            </w:tcBorders>
            <w:vAlign w:val="center"/>
          </w:tcPr>
          <w:p w14:paraId="7916DD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Germany</w:t>
            </w:r>
          </w:p>
        </w:tc>
        <w:tc>
          <w:tcPr>
            <w:tcW w:w="620" w:type="pct"/>
            <w:tcBorders>
              <w:top w:val="nil"/>
              <w:left w:val="nil"/>
              <w:bottom w:val="nil"/>
              <w:right w:val="nil"/>
            </w:tcBorders>
            <w:noWrap/>
            <w:vAlign w:val="center"/>
          </w:tcPr>
          <w:p w14:paraId="7D4DB8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and case-control study</w:t>
            </w:r>
          </w:p>
        </w:tc>
        <w:tc>
          <w:tcPr>
            <w:tcW w:w="1934" w:type="pct"/>
            <w:tcBorders>
              <w:top w:val="nil"/>
              <w:left w:val="nil"/>
              <w:bottom w:val="nil"/>
              <w:right w:val="nil"/>
            </w:tcBorders>
            <w:vAlign w:val="center"/>
          </w:tcPr>
          <w:p w14:paraId="299D7F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Use data from UKB and EB as well as case-control data from the DE to develop and evaluate PRS in the same and different populations.</w:t>
            </w:r>
          </w:p>
        </w:tc>
        <w:tc>
          <w:tcPr>
            <w:tcW w:w="752" w:type="pct"/>
            <w:tcBorders>
              <w:top w:val="nil"/>
              <w:left w:val="nil"/>
              <w:bottom w:val="nil"/>
              <w:right w:val="nil"/>
            </w:tcBorders>
            <w:vAlign w:val="center"/>
          </w:tcPr>
          <w:p w14:paraId="1A2DCC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 DE, EB</w:t>
            </w:r>
          </w:p>
        </w:tc>
        <w:tc>
          <w:tcPr>
            <w:tcW w:w="716" w:type="pct"/>
            <w:tcBorders>
              <w:top w:val="nil"/>
              <w:left w:val="nil"/>
              <w:bottom w:val="nil"/>
              <w:right w:val="nil"/>
            </w:tcBorders>
            <w:vAlign w:val="center"/>
          </w:tcPr>
          <w:p w14:paraId="6A0F8B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 train 471/10000(4.7%) test21025/431814(4.9%), DE train5302/10000(53.0%) test2919/5581(52.3%), EB train308/10000(3.1%) test840/27048(3.1%)</w:t>
            </w:r>
          </w:p>
        </w:tc>
      </w:tr>
      <w:tr w14:paraId="20BA1C64">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3964CD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Naderian et al.(2025)</w:t>
            </w:r>
          </w:p>
        </w:tc>
        <w:tc>
          <w:tcPr>
            <w:tcW w:w="341" w:type="pct"/>
            <w:tcBorders>
              <w:top w:val="nil"/>
              <w:left w:val="nil"/>
              <w:bottom w:val="nil"/>
              <w:right w:val="nil"/>
            </w:tcBorders>
            <w:vAlign w:val="center"/>
          </w:tcPr>
          <w:p w14:paraId="6B3223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w:t>
            </w:r>
          </w:p>
        </w:tc>
        <w:tc>
          <w:tcPr>
            <w:tcW w:w="620" w:type="pct"/>
            <w:tcBorders>
              <w:top w:val="nil"/>
              <w:left w:val="nil"/>
              <w:bottom w:val="nil"/>
              <w:right w:val="nil"/>
            </w:tcBorders>
            <w:vAlign w:val="center"/>
          </w:tcPr>
          <w:p w14:paraId="7D7F7F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Prospective cohort study</w:t>
            </w:r>
          </w:p>
        </w:tc>
        <w:tc>
          <w:tcPr>
            <w:tcW w:w="1934" w:type="pct"/>
            <w:tcBorders>
              <w:top w:val="nil"/>
              <w:left w:val="nil"/>
              <w:bottom w:val="nil"/>
              <w:right w:val="nil"/>
            </w:tcBorders>
            <w:vAlign w:val="center"/>
          </w:tcPr>
          <w:p w14:paraId="1F4C55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388224 UKB participants recruited between 2006 and 2010. The UKB participants self-reported their ethnic background as White, Black or Black British, Asian or Asian British, Chinese, mixed, or other ethnic groups. The cohort is divided into three parts for model training and validation.</w:t>
            </w:r>
          </w:p>
        </w:tc>
        <w:tc>
          <w:tcPr>
            <w:tcW w:w="752" w:type="pct"/>
            <w:tcBorders>
              <w:top w:val="nil"/>
              <w:left w:val="nil"/>
              <w:bottom w:val="nil"/>
              <w:right w:val="nil"/>
            </w:tcBorders>
            <w:vAlign w:val="center"/>
          </w:tcPr>
          <w:p w14:paraId="4E6F78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w:t>
            </w:r>
          </w:p>
        </w:tc>
        <w:tc>
          <w:tcPr>
            <w:tcW w:w="716" w:type="pct"/>
            <w:tcBorders>
              <w:top w:val="nil"/>
              <w:left w:val="nil"/>
              <w:bottom w:val="nil"/>
              <w:right w:val="nil"/>
            </w:tcBorders>
            <w:vAlign w:val="center"/>
          </w:tcPr>
          <w:p w14:paraId="25614C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9784/388224(2.5%)</w:t>
            </w:r>
          </w:p>
        </w:tc>
      </w:tr>
      <w:tr w14:paraId="729DD36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1EDFF5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Alexander A. Huang et al.(2023)</w:t>
            </w:r>
          </w:p>
        </w:tc>
        <w:tc>
          <w:tcPr>
            <w:tcW w:w="341" w:type="pct"/>
            <w:tcBorders>
              <w:top w:val="nil"/>
              <w:left w:val="nil"/>
              <w:bottom w:val="nil"/>
              <w:right w:val="nil"/>
            </w:tcBorders>
            <w:vAlign w:val="center"/>
          </w:tcPr>
          <w:p w14:paraId="10C8F3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vAlign w:val="center"/>
          </w:tcPr>
          <w:p w14:paraId="08429C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cross-sectional study</w:t>
            </w:r>
          </w:p>
        </w:tc>
        <w:tc>
          <w:tcPr>
            <w:tcW w:w="1934" w:type="pct"/>
            <w:tcBorders>
              <w:top w:val="nil"/>
              <w:left w:val="nil"/>
              <w:bottom w:val="nil"/>
              <w:right w:val="nil"/>
            </w:tcBorders>
            <w:vAlign w:val="center"/>
          </w:tcPr>
          <w:p w14:paraId="7E850A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NHANES dataset is a series of cross-sectional, complex, multi-stage surveys conducted by the CDC on a nationally representative cohort of the USA population to provide health, nutritional, and physical activity data. In the present study, we analyzed adult (</w:t>
            </w:r>
            <w:r>
              <w:rPr>
                <w:rStyle w:val="4"/>
                <w:rFonts w:hint="default"/>
                <w:lang w:bidi="ar"/>
              </w:rPr>
              <w:t>＞</w:t>
            </w:r>
            <w:r>
              <w:rPr>
                <w:rFonts w:ascii="Times New Roman" w:hAnsi="Times New Roman" w:eastAsia="宋体" w:cs="Times New Roman"/>
                <w:color w:val="000000"/>
                <w:kern w:val="0"/>
                <w:sz w:val="20"/>
                <w:szCs w:val="20"/>
                <w:lang w:bidi="ar"/>
              </w:rPr>
              <w:t>18 years old) patients in the NHANES dataset who completed the demographic, dietary, exercise, and mental health questionnaire and had laboratory and physical exam data.</w:t>
            </w:r>
          </w:p>
        </w:tc>
        <w:tc>
          <w:tcPr>
            <w:tcW w:w="752" w:type="pct"/>
            <w:tcBorders>
              <w:top w:val="nil"/>
              <w:left w:val="nil"/>
              <w:bottom w:val="nil"/>
              <w:right w:val="nil"/>
            </w:tcBorders>
            <w:vAlign w:val="center"/>
          </w:tcPr>
          <w:p w14:paraId="510227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NHANES</w:t>
            </w:r>
          </w:p>
        </w:tc>
        <w:tc>
          <w:tcPr>
            <w:tcW w:w="716" w:type="pct"/>
            <w:tcBorders>
              <w:top w:val="nil"/>
              <w:left w:val="nil"/>
              <w:bottom w:val="nil"/>
              <w:right w:val="nil"/>
            </w:tcBorders>
            <w:vAlign w:val="center"/>
          </w:tcPr>
          <w:p w14:paraId="5AA7CE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338/7929 (4.5%)</w:t>
            </w:r>
          </w:p>
        </w:tc>
      </w:tr>
      <w:tr w14:paraId="05FADD5E">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2BC46A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Maria Isabel Mendonc et al.(2023)</w:t>
            </w:r>
          </w:p>
        </w:tc>
        <w:tc>
          <w:tcPr>
            <w:tcW w:w="341" w:type="pct"/>
            <w:tcBorders>
              <w:top w:val="nil"/>
              <w:left w:val="nil"/>
              <w:bottom w:val="nil"/>
              <w:right w:val="nil"/>
            </w:tcBorders>
            <w:vAlign w:val="center"/>
          </w:tcPr>
          <w:p w14:paraId="293252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Portugal</w:t>
            </w:r>
          </w:p>
        </w:tc>
        <w:tc>
          <w:tcPr>
            <w:tcW w:w="620" w:type="pct"/>
            <w:tcBorders>
              <w:top w:val="nil"/>
              <w:left w:val="nil"/>
              <w:bottom w:val="nil"/>
              <w:right w:val="nil"/>
            </w:tcBorders>
            <w:vAlign w:val="center"/>
          </w:tcPr>
          <w:p w14:paraId="0AA404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514791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3139 individuals (1723 patients and 1416 controls). All participants, aged between 30 and 65, were born and had been resident in Madeira Archipelago for at least two generations.</w:t>
            </w:r>
          </w:p>
        </w:tc>
        <w:tc>
          <w:tcPr>
            <w:tcW w:w="752" w:type="pct"/>
            <w:tcBorders>
              <w:top w:val="nil"/>
              <w:left w:val="nil"/>
              <w:bottom w:val="nil"/>
              <w:right w:val="nil"/>
            </w:tcBorders>
            <w:vAlign w:val="center"/>
          </w:tcPr>
          <w:p w14:paraId="419D9E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GENEMACOR research</w:t>
            </w:r>
          </w:p>
        </w:tc>
        <w:tc>
          <w:tcPr>
            <w:tcW w:w="716" w:type="pct"/>
            <w:tcBorders>
              <w:top w:val="nil"/>
              <w:left w:val="nil"/>
              <w:bottom w:val="nil"/>
              <w:right w:val="nil"/>
            </w:tcBorders>
            <w:vAlign w:val="center"/>
          </w:tcPr>
          <w:p w14:paraId="56CCB2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1723/3139 (54.9%)</w:t>
            </w:r>
          </w:p>
        </w:tc>
      </w:tr>
      <w:tr w14:paraId="0B6FC757">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040B09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Lingyun Zhou et al.(2020)</w:t>
            </w:r>
          </w:p>
        </w:tc>
        <w:tc>
          <w:tcPr>
            <w:tcW w:w="341" w:type="pct"/>
            <w:tcBorders>
              <w:top w:val="nil"/>
              <w:left w:val="nil"/>
              <w:bottom w:val="nil"/>
              <w:right w:val="nil"/>
            </w:tcBorders>
            <w:vAlign w:val="center"/>
          </w:tcPr>
          <w:p w14:paraId="367D65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03A4A9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5F0C00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retrospective study included hospitalized patients with suspected chest pain who were referred for invasive CAG at the Third Xiangya Hospital of Central South University from September 2007 to April 2019.</w:t>
            </w:r>
          </w:p>
        </w:tc>
        <w:tc>
          <w:tcPr>
            <w:tcW w:w="752" w:type="pct"/>
            <w:tcBorders>
              <w:top w:val="nil"/>
              <w:left w:val="nil"/>
              <w:bottom w:val="nil"/>
              <w:right w:val="nil"/>
            </w:tcBorders>
            <w:vAlign w:val="center"/>
          </w:tcPr>
          <w:p w14:paraId="6A77EF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Third Xiangya Hospital of Central South University</w:t>
            </w:r>
          </w:p>
        </w:tc>
        <w:tc>
          <w:tcPr>
            <w:tcW w:w="716" w:type="pct"/>
            <w:tcBorders>
              <w:top w:val="nil"/>
              <w:left w:val="nil"/>
              <w:bottom w:val="nil"/>
              <w:right w:val="nil"/>
            </w:tcBorders>
            <w:vAlign w:val="center"/>
          </w:tcPr>
          <w:p w14:paraId="161A56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473/8963 (5.3%)</w:t>
            </w:r>
          </w:p>
        </w:tc>
      </w:tr>
      <w:tr w14:paraId="39F19D82">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vAlign w:val="center"/>
          </w:tcPr>
          <w:p w14:paraId="5A3F05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Vijay Nambi et al.(2012)</w:t>
            </w:r>
          </w:p>
        </w:tc>
        <w:tc>
          <w:tcPr>
            <w:tcW w:w="341" w:type="pct"/>
            <w:tcBorders>
              <w:top w:val="nil"/>
              <w:left w:val="nil"/>
              <w:bottom w:val="nil"/>
              <w:right w:val="nil"/>
            </w:tcBorders>
            <w:vAlign w:val="center"/>
          </w:tcPr>
          <w:p w14:paraId="3ECCC3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USA</w:t>
            </w:r>
          </w:p>
        </w:tc>
        <w:tc>
          <w:tcPr>
            <w:tcW w:w="620" w:type="pct"/>
            <w:tcBorders>
              <w:top w:val="nil"/>
              <w:left w:val="nil"/>
              <w:bottom w:val="nil"/>
              <w:right w:val="nil"/>
            </w:tcBorders>
            <w:vAlign w:val="center"/>
          </w:tcPr>
          <w:p w14:paraId="506D93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16CA15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ARIC study is a population-based study of CVD incidence that enrolled 15,792 individuals in four communities in the USA between 1987 and 1989.</w:t>
            </w:r>
          </w:p>
        </w:tc>
        <w:tc>
          <w:tcPr>
            <w:tcW w:w="752" w:type="pct"/>
            <w:tcBorders>
              <w:top w:val="nil"/>
              <w:left w:val="nil"/>
              <w:bottom w:val="nil"/>
              <w:right w:val="nil"/>
            </w:tcBorders>
            <w:vAlign w:val="center"/>
          </w:tcPr>
          <w:p w14:paraId="61B046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ARIC study</w:t>
            </w:r>
          </w:p>
        </w:tc>
        <w:tc>
          <w:tcPr>
            <w:tcW w:w="716" w:type="pct"/>
            <w:tcBorders>
              <w:top w:val="nil"/>
              <w:left w:val="nil"/>
              <w:bottom w:val="nil"/>
              <w:right w:val="nil"/>
            </w:tcBorders>
            <w:vAlign w:val="center"/>
          </w:tcPr>
          <w:p w14:paraId="4289C2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1722/12576 (13.7%)</w:t>
            </w:r>
          </w:p>
        </w:tc>
      </w:tr>
      <w:tr w14:paraId="42ED8F0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053461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Mingjun Xu et al.(2019)</w:t>
            </w:r>
          </w:p>
        </w:tc>
        <w:tc>
          <w:tcPr>
            <w:tcW w:w="341" w:type="pct"/>
            <w:tcBorders>
              <w:top w:val="nil"/>
              <w:left w:val="nil"/>
              <w:bottom w:val="nil"/>
              <w:right w:val="nil"/>
            </w:tcBorders>
            <w:vAlign w:val="center"/>
          </w:tcPr>
          <w:p w14:paraId="458DBD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69BAFC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Case-control study</w:t>
            </w:r>
          </w:p>
        </w:tc>
        <w:tc>
          <w:tcPr>
            <w:tcW w:w="1934" w:type="pct"/>
            <w:tcBorders>
              <w:top w:val="nil"/>
              <w:left w:val="nil"/>
              <w:bottom w:val="nil"/>
              <w:right w:val="nil"/>
            </w:tcBorders>
            <w:vAlign w:val="center"/>
          </w:tcPr>
          <w:p w14:paraId="4569C3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One hundred and sixteen consecutive patients with CAD (68 men, mean age 60.79 ± 9.03 years) and 79 age and gender-matched healthy controls (55 men, mean age 58.75 ± 9.12 years) were enrolled from Shandong University Qilu Hospital.</w:t>
            </w:r>
          </w:p>
        </w:tc>
        <w:tc>
          <w:tcPr>
            <w:tcW w:w="752" w:type="pct"/>
            <w:tcBorders>
              <w:top w:val="nil"/>
              <w:left w:val="nil"/>
              <w:bottom w:val="nil"/>
              <w:right w:val="nil"/>
            </w:tcBorders>
            <w:vAlign w:val="center"/>
          </w:tcPr>
          <w:p w14:paraId="0574A4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Shandong University Qilu Hospital</w:t>
            </w:r>
          </w:p>
        </w:tc>
        <w:tc>
          <w:tcPr>
            <w:tcW w:w="716" w:type="pct"/>
            <w:tcBorders>
              <w:top w:val="nil"/>
              <w:left w:val="nil"/>
              <w:bottom w:val="nil"/>
              <w:right w:val="nil"/>
            </w:tcBorders>
            <w:vAlign w:val="center"/>
          </w:tcPr>
          <w:p w14:paraId="66D98C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116/195 (59.5%)</w:t>
            </w:r>
          </w:p>
        </w:tc>
      </w:tr>
      <w:tr w14:paraId="056FD29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2E9436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Hongzeng Xu et al.(2017)</w:t>
            </w:r>
          </w:p>
        </w:tc>
        <w:tc>
          <w:tcPr>
            <w:tcW w:w="341" w:type="pct"/>
            <w:tcBorders>
              <w:top w:val="nil"/>
              <w:left w:val="nil"/>
              <w:bottom w:val="nil"/>
              <w:right w:val="nil"/>
            </w:tcBorders>
            <w:vAlign w:val="center"/>
          </w:tcPr>
          <w:p w14:paraId="06F28F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228418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multi-centre case-control  study</w:t>
            </w:r>
          </w:p>
        </w:tc>
        <w:tc>
          <w:tcPr>
            <w:tcW w:w="1934" w:type="pct"/>
            <w:tcBorders>
              <w:top w:val="nil"/>
              <w:left w:val="nil"/>
              <w:bottom w:val="nil"/>
              <w:right w:val="nil"/>
            </w:tcBorders>
            <w:vAlign w:val="center"/>
          </w:tcPr>
          <w:p w14:paraId="40BA01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 total of 8297 consecutive patients were studied in the Department of Cardiology between 2008 and 2014.7360 consecutive patients were suspected of CAD.</w:t>
            </w:r>
          </w:p>
        </w:tc>
        <w:tc>
          <w:tcPr>
            <w:tcW w:w="752" w:type="pct"/>
            <w:tcBorders>
              <w:top w:val="nil"/>
              <w:left w:val="nil"/>
              <w:bottom w:val="nil"/>
              <w:right w:val="nil"/>
            </w:tcBorders>
            <w:vAlign w:val="center"/>
          </w:tcPr>
          <w:p w14:paraId="3AC8BB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Fourth and First Affiliated Hospital of Chinese Medical University, Zhongda Hospital of Southeast University, and the First Affiliated Hospital of Soochow University</w:t>
            </w:r>
          </w:p>
        </w:tc>
        <w:tc>
          <w:tcPr>
            <w:tcW w:w="716" w:type="pct"/>
            <w:tcBorders>
              <w:top w:val="nil"/>
              <w:left w:val="nil"/>
              <w:bottom w:val="nil"/>
              <w:right w:val="nil"/>
            </w:tcBorders>
            <w:vAlign w:val="center"/>
          </w:tcPr>
          <w:p w14:paraId="41CA35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4860/7360 (66.0%)</w:t>
            </w:r>
          </w:p>
        </w:tc>
      </w:tr>
      <w:tr w14:paraId="5CD7B9C3">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2DEDBA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Masayuki Kawabe et al.(2017)</w:t>
            </w:r>
          </w:p>
        </w:tc>
        <w:tc>
          <w:tcPr>
            <w:tcW w:w="341" w:type="pct"/>
            <w:tcBorders>
              <w:top w:val="nil"/>
              <w:left w:val="nil"/>
              <w:bottom w:val="nil"/>
              <w:right w:val="nil"/>
            </w:tcBorders>
            <w:vAlign w:val="center"/>
          </w:tcPr>
          <w:p w14:paraId="1425FD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Japan</w:t>
            </w:r>
          </w:p>
        </w:tc>
        <w:tc>
          <w:tcPr>
            <w:tcW w:w="620" w:type="pct"/>
            <w:tcBorders>
              <w:top w:val="nil"/>
              <w:left w:val="nil"/>
              <w:bottom w:val="nil"/>
              <w:right w:val="nil"/>
            </w:tcBorders>
            <w:vAlign w:val="center"/>
          </w:tcPr>
          <w:p w14:paraId="106ED2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Retrospective cohort study</w:t>
            </w:r>
          </w:p>
        </w:tc>
        <w:tc>
          <w:tcPr>
            <w:tcW w:w="1934" w:type="pct"/>
            <w:tcBorders>
              <w:top w:val="nil"/>
              <w:left w:val="nil"/>
              <w:bottom w:val="nil"/>
              <w:right w:val="nil"/>
            </w:tcBorders>
            <w:vAlign w:val="center"/>
          </w:tcPr>
          <w:p w14:paraId="069093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present study was a retrospective cohort study based on 1,269 consecutive patients with suspected CAD not previously treated with percutaneous coronary intervention or coronary artery bypass grafting and prior myocardial infarction, who underwent CCTA in our institution between April 2008 and June 2014. 947 patients with suspected CAD.</w:t>
            </w:r>
          </w:p>
        </w:tc>
        <w:tc>
          <w:tcPr>
            <w:tcW w:w="752" w:type="pct"/>
            <w:tcBorders>
              <w:top w:val="nil"/>
              <w:left w:val="nil"/>
              <w:bottom w:val="nil"/>
              <w:right w:val="nil"/>
            </w:tcBorders>
            <w:vAlign w:val="center"/>
          </w:tcPr>
          <w:p w14:paraId="737DA0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Faculty of Medicine, University of Tsukuba, Tsukuba, Japan</w:t>
            </w:r>
          </w:p>
        </w:tc>
        <w:tc>
          <w:tcPr>
            <w:tcW w:w="716" w:type="pct"/>
            <w:tcBorders>
              <w:top w:val="nil"/>
              <w:left w:val="nil"/>
              <w:bottom w:val="nil"/>
              <w:right w:val="nil"/>
            </w:tcBorders>
            <w:vAlign w:val="center"/>
          </w:tcPr>
          <w:p w14:paraId="358F7D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273/947 (28.9%)</w:t>
            </w:r>
          </w:p>
        </w:tc>
      </w:tr>
      <w:tr w14:paraId="2864DFB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5AFE62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Shiqun Chen et al.(2018)</w:t>
            </w:r>
          </w:p>
        </w:tc>
        <w:tc>
          <w:tcPr>
            <w:tcW w:w="341" w:type="pct"/>
            <w:tcBorders>
              <w:top w:val="nil"/>
              <w:left w:val="nil"/>
              <w:bottom w:val="nil"/>
              <w:right w:val="nil"/>
            </w:tcBorders>
            <w:vAlign w:val="center"/>
          </w:tcPr>
          <w:p w14:paraId="6C18A1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China</w:t>
            </w:r>
          </w:p>
        </w:tc>
        <w:tc>
          <w:tcPr>
            <w:tcW w:w="620" w:type="pct"/>
            <w:tcBorders>
              <w:top w:val="nil"/>
              <w:left w:val="nil"/>
              <w:bottom w:val="nil"/>
              <w:right w:val="nil"/>
            </w:tcBorders>
            <w:vAlign w:val="center"/>
          </w:tcPr>
          <w:p w14:paraId="07F6C9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21930A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study population was derived from a prospective observational study PRECOMIN (NCT01400295) database between January 2010 and December 2013. The PRECOMIN study aimed at identifying the optimal contrast volume to prevent contrast-induced nephropathy among 3237 consecutive patients undergoing PCI/CAG.</w:t>
            </w:r>
          </w:p>
        </w:tc>
        <w:tc>
          <w:tcPr>
            <w:tcW w:w="752" w:type="pct"/>
            <w:tcBorders>
              <w:top w:val="nil"/>
              <w:left w:val="nil"/>
              <w:bottom w:val="nil"/>
              <w:right w:val="nil"/>
            </w:tcBorders>
            <w:vAlign w:val="center"/>
          </w:tcPr>
          <w:p w14:paraId="2111DB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Medical records</w:t>
            </w:r>
          </w:p>
        </w:tc>
        <w:tc>
          <w:tcPr>
            <w:tcW w:w="716" w:type="pct"/>
            <w:tcBorders>
              <w:top w:val="nil"/>
              <w:left w:val="nil"/>
              <w:bottom w:val="nil"/>
              <w:right w:val="nil"/>
            </w:tcBorders>
            <w:vAlign w:val="center"/>
          </w:tcPr>
          <w:p w14:paraId="4513EC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945/1262 (74.9%)</w:t>
            </w:r>
          </w:p>
        </w:tc>
      </w:tr>
      <w:tr w14:paraId="62A78E5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2112" w:hRule="atLeast"/>
          <w:jc w:val="center"/>
        </w:trPr>
        <w:tc>
          <w:tcPr>
            <w:tcW w:w="637" w:type="pct"/>
            <w:tcBorders>
              <w:top w:val="nil"/>
              <w:left w:val="nil"/>
              <w:bottom w:val="nil"/>
              <w:right w:val="nil"/>
            </w:tcBorders>
            <w:vAlign w:val="center"/>
          </w:tcPr>
          <w:p w14:paraId="40E640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 Lenselink et al.(2022)</w:t>
            </w:r>
          </w:p>
        </w:tc>
        <w:tc>
          <w:tcPr>
            <w:tcW w:w="341" w:type="pct"/>
            <w:tcBorders>
              <w:top w:val="nil"/>
              <w:left w:val="nil"/>
              <w:bottom w:val="nil"/>
              <w:right w:val="nil"/>
            </w:tcBorders>
            <w:vAlign w:val="center"/>
          </w:tcPr>
          <w:p w14:paraId="5C34EA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Netherlands</w:t>
            </w:r>
          </w:p>
        </w:tc>
        <w:tc>
          <w:tcPr>
            <w:tcW w:w="620" w:type="pct"/>
            <w:tcBorders>
              <w:top w:val="nil"/>
              <w:left w:val="nil"/>
              <w:bottom w:val="nil"/>
              <w:right w:val="nil"/>
            </w:tcBorders>
            <w:vAlign w:val="center"/>
          </w:tcPr>
          <w:p w14:paraId="750C63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774AAC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Three cohorts: UKB (481628 participants), LifeLines (154289 participants), PREVEND (8035 participants). The UKB database contains demographic and medical history data of 502,536 participants aged 40–69 years from the UK, who were recruited from 2006 to 2010. Long-term follow-up was performed to investigate the association between environmental exposure or genetic predisposition and the development of disease, including CVD. In the LifeLines biobank study, 167729 inhabitants from the northern Netherlands were invited for visits and questionnaires between 2006 and 2013, with participants aged 6 months to 93 years. Follow-up visits are scheduled every 5 years. LifeLines aims to study environmental, phenotypic, and genotypic influences on the development of chronic diseases, including CVD, and healthy ageing. The PREVEND community-based cohort study assessed 8507 inhabitants from the Dutch city of Groningen to study the association between the presence of albuminuria and estimated glomerular filtration rate with the development of cardiovascular outcomes.</w:t>
            </w:r>
          </w:p>
        </w:tc>
        <w:tc>
          <w:tcPr>
            <w:tcW w:w="752" w:type="pct"/>
            <w:tcBorders>
              <w:top w:val="nil"/>
              <w:left w:val="nil"/>
              <w:bottom w:val="nil"/>
              <w:right w:val="nil"/>
            </w:tcBorders>
            <w:vAlign w:val="center"/>
          </w:tcPr>
          <w:p w14:paraId="06C502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UKB, LifeLines, PREVEND studies</w:t>
            </w:r>
          </w:p>
        </w:tc>
        <w:tc>
          <w:tcPr>
            <w:tcW w:w="716" w:type="pct"/>
            <w:tcBorders>
              <w:top w:val="nil"/>
              <w:left w:val="nil"/>
              <w:bottom w:val="nil"/>
              <w:right w:val="nil"/>
            </w:tcBorders>
            <w:vAlign w:val="center"/>
          </w:tcPr>
          <w:p w14:paraId="4EF9DD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15140/481628(3.1%), 641/154289(0.4%), 442/8035(5.5%)</w:t>
            </w:r>
          </w:p>
        </w:tc>
      </w:tr>
      <w:tr w14:paraId="56ECCFD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bottom w:val="nil"/>
              <w:right w:val="nil"/>
            </w:tcBorders>
            <w:vAlign w:val="center"/>
          </w:tcPr>
          <w:p w14:paraId="510CB5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Dennis T. Ko et al.(2020)</w:t>
            </w:r>
          </w:p>
        </w:tc>
        <w:tc>
          <w:tcPr>
            <w:tcW w:w="341" w:type="pct"/>
            <w:tcBorders>
              <w:top w:val="nil"/>
              <w:left w:val="nil"/>
              <w:bottom w:val="nil"/>
              <w:right w:val="nil"/>
            </w:tcBorders>
            <w:vAlign w:val="center"/>
          </w:tcPr>
          <w:p w14:paraId="6F91B4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Canada</w:t>
            </w:r>
          </w:p>
        </w:tc>
        <w:tc>
          <w:tcPr>
            <w:tcW w:w="620" w:type="pct"/>
            <w:tcBorders>
              <w:top w:val="nil"/>
              <w:left w:val="nil"/>
              <w:bottom w:val="nil"/>
              <w:right w:val="nil"/>
            </w:tcBorders>
            <w:vAlign w:val="center"/>
          </w:tcPr>
          <w:p w14:paraId="43D526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study</w:t>
            </w:r>
          </w:p>
        </w:tc>
        <w:tc>
          <w:tcPr>
            <w:tcW w:w="1934" w:type="pct"/>
            <w:tcBorders>
              <w:top w:val="nil"/>
              <w:left w:val="nil"/>
              <w:bottom w:val="nil"/>
              <w:right w:val="nil"/>
            </w:tcBorders>
            <w:vAlign w:val="center"/>
          </w:tcPr>
          <w:p w14:paraId="6324AC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Individuals aged 40–79 years who visited their primary care physician from Jan. 1, 2010, to Dec. 31, 2014, and had blood pressure and cholesterol measurements taken within a year of each other were considered for inclusion. 84617 individuals aged 40–79 years without a history of ASCVD.</w:t>
            </w:r>
          </w:p>
        </w:tc>
        <w:tc>
          <w:tcPr>
            <w:tcW w:w="752" w:type="pct"/>
            <w:tcBorders>
              <w:top w:val="nil"/>
              <w:left w:val="nil"/>
              <w:bottom w:val="nil"/>
              <w:right w:val="nil"/>
            </w:tcBorders>
            <w:vAlign w:val="center"/>
          </w:tcPr>
          <w:p w14:paraId="11028B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EMRALD</w:t>
            </w:r>
          </w:p>
        </w:tc>
        <w:tc>
          <w:tcPr>
            <w:tcW w:w="716" w:type="pct"/>
            <w:tcBorders>
              <w:top w:val="nil"/>
              <w:left w:val="nil"/>
              <w:bottom w:val="nil"/>
              <w:right w:val="nil"/>
            </w:tcBorders>
            <w:vAlign w:val="center"/>
          </w:tcPr>
          <w:p w14:paraId="299F14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2162/84617 (2.6%) according to Framingham Risk Score, 1224/84617 (1.4%) according to Pooled Cohort Equations</w:t>
            </w:r>
          </w:p>
        </w:tc>
      </w:tr>
      <w:tr w14:paraId="3D163C5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792" w:hRule="atLeast"/>
          <w:jc w:val="center"/>
        </w:trPr>
        <w:tc>
          <w:tcPr>
            <w:tcW w:w="637" w:type="pct"/>
            <w:tcBorders>
              <w:top w:val="nil"/>
              <w:left w:val="nil"/>
              <w:bottom w:val="nil"/>
              <w:right w:val="nil"/>
            </w:tcBorders>
            <w:vAlign w:val="center"/>
          </w:tcPr>
          <w:p w14:paraId="55EE31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al.(2018)</w:t>
            </w:r>
          </w:p>
        </w:tc>
        <w:tc>
          <w:tcPr>
            <w:tcW w:w="341" w:type="pct"/>
            <w:tcBorders>
              <w:top w:val="nil"/>
              <w:left w:val="nil"/>
              <w:bottom w:val="nil"/>
              <w:right w:val="nil"/>
            </w:tcBorders>
            <w:vAlign w:val="center"/>
          </w:tcPr>
          <w:p w14:paraId="2DF7EA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UK</w:t>
            </w:r>
          </w:p>
        </w:tc>
        <w:tc>
          <w:tcPr>
            <w:tcW w:w="620" w:type="pct"/>
            <w:tcBorders>
              <w:top w:val="nil"/>
              <w:left w:val="nil"/>
              <w:bottom w:val="nil"/>
              <w:right w:val="nil"/>
            </w:tcBorders>
            <w:vAlign w:val="center"/>
          </w:tcPr>
          <w:p w14:paraId="1AF374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Multicenter cohort study</w:t>
            </w:r>
          </w:p>
        </w:tc>
        <w:tc>
          <w:tcPr>
            <w:tcW w:w="1934" w:type="pct"/>
            <w:tcBorders>
              <w:top w:val="nil"/>
              <w:left w:val="nil"/>
              <w:bottom w:val="nil"/>
              <w:right w:val="nil"/>
            </w:tcBorders>
            <w:vAlign w:val="center"/>
          </w:tcPr>
          <w:p w14:paraId="08D770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1738 patients with stable chest pain between 2010 and 2014, patients with suspected stable angina were recruited from chest-pain clinics and randomized to usual care plus CCTA versus usual care alone.</w:t>
            </w:r>
          </w:p>
        </w:tc>
        <w:tc>
          <w:tcPr>
            <w:tcW w:w="752" w:type="pct"/>
            <w:tcBorders>
              <w:top w:val="nil"/>
              <w:left w:val="nil"/>
              <w:bottom w:val="nil"/>
              <w:right w:val="nil"/>
            </w:tcBorders>
            <w:vAlign w:val="center"/>
          </w:tcPr>
          <w:p w14:paraId="4C0097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SCOT-HEART</w:t>
            </w:r>
          </w:p>
        </w:tc>
        <w:tc>
          <w:tcPr>
            <w:tcW w:w="716" w:type="pct"/>
            <w:tcBorders>
              <w:top w:val="nil"/>
              <w:left w:val="nil"/>
              <w:bottom w:val="nil"/>
              <w:right w:val="nil"/>
            </w:tcBorders>
            <w:vAlign w:val="center"/>
          </w:tcPr>
          <w:p w14:paraId="4DCC98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655 patients with OCAD, 655/1738(37.7%)</w:t>
            </w:r>
          </w:p>
        </w:tc>
      </w:tr>
      <w:tr w14:paraId="0ACF03C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056" w:hRule="atLeast"/>
          <w:jc w:val="center"/>
        </w:trPr>
        <w:tc>
          <w:tcPr>
            <w:tcW w:w="637" w:type="pct"/>
            <w:tcBorders>
              <w:top w:val="nil"/>
              <w:left w:val="nil"/>
              <w:bottom w:val="nil"/>
              <w:right w:val="nil"/>
            </w:tcBorders>
            <w:vAlign w:val="center"/>
          </w:tcPr>
          <w:p w14:paraId="191596F2">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Michael Edlinger et al.(2017)</w:t>
            </w:r>
          </w:p>
        </w:tc>
        <w:tc>
          <w:tcPr>
            <w:tcW w:w="341" w:type="pct"/>
            <w:tcBorders>
              <w:top w:val="nil"/>
              <w:left w:val="nil"/>
              <w:bottom w:val="nil"/>
              <w:right w:val="nil"/>
            </w:tcBorders>
            <w:vAlign w:val="center"/>
          </w:tcPr>
          <w:p w14:paraId="6C4C8460">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Austria</w:t>
            </w:r>
          </w:p>
        </w:tc>
        <w:tc>
          <w:tcPr>
            <w:tcW w:w="620" w:type="pct"/>
            <w:tcBorders>
              <w:top w:val="nil"/>
              <w:left w:val="nil"/>
              <w:bottom w:val="nil"/>
              <w:right w:val="nil"/>
            </w:tcBorders>
            <w:vAlign w:val="center"/>
          </w:tcPr>
          <w:p w14:paraId="4E7F3522">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Cross-sectional study</w:t>
            </w:r>
          </w:p>
        </w:tc>
        <w:tc>
          <w:tcPr>
            <w:tcW w:w="1934" w:type="pct"/>
            <w:tcBorders>
              <w:top w:val="nil"/>
              <w:left w:val="nil"/>
              <w:bottom w:val="nil"/>
              <w:right w:val="nil"/>
            </w:tcBorders>
            <w:vAlign w:val="center"/>
          </w:tcPr>
          <w:p w14:paraId="012646AD">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4888 patients with suspected CAD, without known previous CAD or other heart diseases, who underwent an elective coronary angiography between 2004 and 2008 as part of the prospective CARDIIGAN cohort.</w:t>
            </w:r>
          </w:p>
        </w:tc>
        <w:tc>
          <w:tcPr>
            <w:tcW w:w="752" w:type="pct"/>
            <w:tcBorders>
              <w:top w:val="nil"/>
              <w:left w:val="nil"/>
              <w:bottom w:val="nil"/>
              <w:right w:val="nil"/>
            </w:tcBorders>
            <w:vAlign w:val="center"/>
          </w:tcPr>
          <w:p w14:paraId="34720ED9">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CARDIIGAN cohort</w:t>
            </w:r>
          </w:p>
        </w:tc>
        <w:tc>
          <w:tcPr>
            <w:tcW w:w="716" w:type="pct"/>
            <w:tcBorders>
              <w:top w:val="nil"/>
              <w:left w:val="nil"/>
              <w:bottom w:val="nil"/>
              <w:right w:val="nil"/>
            </w:tcBorders>
            <w:vAlign w:val="center"/>
          </w:tcPr>
          <w:p w14:paraId="16B076EC">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2127/4888 (43.5%)</w:t>
            </w:r>
          </w:p>
        </w:tc>
      </w:tr>
      <w:tr w14:paraId="12B9F68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28" w:hRule="atLeast"/>
          <w:jc w:val="center"/>
        </w:trPr>
        <w:tc>
          <w:tcPr>
            <w:tcW w:w="637" w:type="pct"/>
            <w:tcBorders>
              <w:top w:val="nil"/>
              <w:left w:val="nil"/>
              <w:right w:val="nil"/>
            </w:tcBorders>
            <w:vAlign w:val="center"/>
          </w:tcPr>
          <w:p w14:paraId="42D0C8CA">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Jacob K Kariuki et al.(2017)</w:t>
            </w:r>
          </w:p>
        </w:tc>
        <w:tc>
          <w:tcPr>
            <w:tcW w:w="341" w:type="pct"/>
            <w:tcBorders>
              <w:top w:val="nil"/>
              <w:left w:val="nil"/>
              <w:right w:val="nil"/>
            </w:tcBorders>
            <w:vAlign w:val="center"/>
          </w:tcPr>
          <w:p w14:paraId="5EB3C742">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USA</w:t>
            </w:r>
          </w:p>
        </w:tc>
        <w:tc>
          <w:tcPr>
            <w:tcW w:w="620" w:type="pct"/>
            <w:tcBorders>
              <w:top w:val="nil"/>
              <w:left w:val="nil"/>
              <w:right w:val="nil"/>
            </w:tcBorders>
            <w:vAlign w:val="center"/>
          </w:tcPr>
          <w:p w14:paraId="31F01747">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Prospective cohort study</w:t>
            </w:r>
          </w:p>
        </w:tc>
        <w:tc>
          <w:tcPr>
            <w:tcW w:w="1934" w:type="pct"/>
            <w:tcBorders>
              <w:top w:val="nil"/>
              <w:left w:val="nil"/>
              <w:right w:val="nil"/>
            </w:tcBorders>
            <w:vAlign w:val="center"/>
          </w:tcPr>
          <w:p w14:paraId="62B9D2A3">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The ARIC dataset features 11,601 individuals aged 45–64 years, who at baseline examination (i.e., 1987–1989) were free of CVD and had no missing data on the variables of interest (i.e., covariates for the non-LB and laboratory-based Framingham algorithms).</w:t>
            </w:r>
          </w:p>
        </w:tc>
        <w:tc>
          <w:tcPr>
            <w:tcW w:w="752" w:type="pct"/>
            <w:tcBorders>
              <w:top w:val="nil"/>
              <w:left w:val="nil"/>
              <w:right w:val="nil"/>
            </w:tcBorders>
            <w:vAlign w:val="center"/>
          </w:tcPr>
          <w:p w14:paraId="0DD29ADF">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ARIC Study</w:t>
            </w:r>
          </w:p>
        </w:tc>
        <w:tc>
          <w:tcPr>
            <w:tcW w:w="716" w:type="pct"/>
            <w:tcBorders>
              <w:top w:val="nil"/>
              <w:left w:val="nil"/>
              <w:right w:val="nil"/>
            </w:tcBorders>
            <w:vAlign w:val="center"/>
          </w:tcPr>
          <w:p w14:paraId="638C26D0">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1545/11601 (13.3%)</w:t>
            </w:r>
          </w:p>
        </w:tc>
      </w:tr>
    </w:tbl>
    <w:p w14:paraId="03340B71">
      <w:pPr>
        <w:spacing w:line="360" w:lineRule="auto"/>
        <w:rPr>
          <w:rFonts w:ascii="Times New Roman" w:hAnsi="Times New Roman"/>
          <w:sz w:val="24"/>
        </w:rPr>
      </w:pPr>
      <w:r>
        <w:rPr>
          <w:rFonts w:hint="eastAsia" w:ascii="Times New Roman" w:hAnsi="Times New Roman"/>
          <w:sz w:val="24"/>
        </w:rPr>
        <w:t xml:space="preserve">SHS, Strong Heart Study; WHI, Women's Health Initiative; CVD,cardiovascular disease; CAD, coronary artery disease; NAHSIT, Nutrition and Health Survey in Taiwan; CHD, coronary heart disease; UKB, UK Biobank; PCAD, premature coronary artery disease; AFIC, Armed Forces Institute of Cardiology; CCTA, coronary computed tomographic angiography; UA, unstable angina; ECG, electrocardiogram; RS, Rotterdam Study; MESA, Multi-Ethnic Study of Atherosclerosis study; ATVB, the Atherosclerosis, Thrombosis, and Vascular Biology Italian Study Group; PESA, Progression of Early Subclinical Atherosclerosis study; AWHS, Aragon Worker Health Study; ASCVD, arteriosclerotic cardiovascular disease; FHS, Framingham Heart Study; EVINCI, Evaluation of Integrated Cardiac Imaging; IARS, Indian Atherosclerosis Research Study; ARIC, Atherosclerosis Risk in Communities; PROMISE, Prospective Multicenter Imaging Study for Evaluation of Chest Pain; SCP, stable chest pain; TRUST, The Safety and Tolerability of Ultravist in Patients Undergoing Cardiac Catheterization; CAG, coronary angiography; PCI, percutaneous coronary intervention; PRECOMIN, predictive value of contrast volume to creatinine clearance ratio; CARDIIGAN, Coronary Artery disease Risk Determination In Innsbruck by diaGnostic ANgiography; TOPIC, Thoracic Pain in Community; WDHR, Western Denmark Heart Registry; GWAS, genome-wide association study; PRS, polygenic risk scores; CVC, cardiovascular clinic; GP, general practitioners; OCAD, obstructive coronary artery disease; SPECT, single photon emission computerized tomography; MPI, myocardial perfusion imaging; CT, computed tomography; EB, Estonian biobanks; DE, German population; NHANES, National Health and Nutrition Examination Survey; CDC, Centers for Disease Control and Prevention; GENEMACOR, GENEs in MAdeira and CORonary Disease; PREVEND, Prevention of Renal and Vascular Endstage Disease; EMRALD, Electronic Medical Record Administrative Data Linked Database; SCOT-HEART, Scottish COmputed Tomography of the HEART trial. </w:t>
      </w:r>
    </w:p>
    <w:p w14:paraId="7EA79276">
      <w:pPr>
        <w:spacing w:line="360" w:lineRule="auto"/>
        <w:rPr>
          <w:rFonts w:ascii="Times New Roman" w:hAnsi="Times New Roman"/>
          <w:sz w:val="24"/>
        </w:rPr>
      </w:pPr>
    </w:p>
    <w:p w14:paraId="7DAAC3B5">
      <w:pPr>
        <w:rPr>
          <w:rFonts w:ascii="Times New Roman" w:hAnsi="Times New Roman"/>
          <w:sz w:val="24"/>
        </w:rPr>
      </w:pPr>
      <w:r>
        <w:rPr>
          <w:rFonts w:hint="eastAsia" w:ascii="Times New Roman" w:hAnsi="Times New Roman"/>
          <w:sz w:val="24"/>
        </w:rPr>
        <w:br w:type="page"/>
      </w:r>
    </w:p>
    <w:p w14:paraId="1B22FDDA">
      <w:pPr>
        <w:spacing w:line="360" w:lineRule="auto"/>
        <w:rPr>
          <w:rFonts w:ascii="Times New Roman" w:hAnsi="Times New Roman"/>
          <w:sz w:val="24"/>
        </w:rPr>
      </w:pPr>
      <w:r>
        <w:rPr>
          <w:rFonts w:hint="eastAsia" w:ascii="Times New Roman" w:hAnsi="Times New Roman"/>
          <w:sz w:val="24"/>
        </w:rPr>
        <w:t>Table S2 Basic characteristics of the included prediction models</w:t>
      </w:r>
    </w:p>
    <w:tbl>
      <w:tblPr>
        <w:tblStyle w:val="2"/>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2"/>
        <w:gridCol w:w="1298"/>
        <w:gridCol w:w="563"/>
        <w:gridCol w:w="959"/>
        <w:gridCol w:w="709"/>
        <w:gridCol w:w="575"/>
        <w:gridCol w:w="735"/>
        <w:gridCol w:w="1733"/>
        <w:gridCol w:w="780"/>
        <w:gridCol w:w="478"/>
      </w:tblGrid>
      <w:tr w14:paraId="66DA846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tcBorders>
              <w:bottom w:val="single" w:color="auto" w:sz="4" w:space="0"/>
            </w:tcBorders>
            <w:noWrap/>
            <w:vAlign w:val="center"/>
          </w:tcPr>
          <w:p w14:paraId="28715ADB">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Author</w:t>
            </w:r>
            <w:r>
              <w:rPr>
                <w:rFonts w:hint="eastAsia" w:ascii="Times New Roman" w:hAnsi="Times New Roman" w:eastAsia="宋体" w:cs="Times New Roman"/>
                <w:b/>
                <w:bCs/>
                <w:color w:val="231F20"/>
                <w:kern w:val="0"/>
                <w:sz w:val="20"/>
                <w:szCs w:val="20"/>
                <w:lang w:bidi="ar"/>
              </w:rPr>
              <w:t xml:space="preserve"> </w:t>
            </w:r>
            <w:r>
              <w:rPr>
                <w:rFonts w:ascii="Times New Roman" w:hAnsi="Times New Roman" w:eastAsia="宋体" w:cs="Times New Roman"/>
                <w:b/>
                <w:bCs/>
                <w:color w:val="231F20"/>
                <w:kern w:val="0"/>
                <w:sz w:val="20"/>
                <w:szCs w:val="20"/>
                <w:lang w:bidi="ar"/>
              </w:rPr>
              <w:t>(Year)</w:t>
            </w:r>
          </w:p>
        </w:tc>
        <w:tc>
          <w:tcPr>
            <w:tcW w:w="788" w:type="pct"/>
            <w:tcBorders>
              <w:bottom w:val="single" w:color="auto" w:sz="4" w:space="0"/>
            </w:tcBorders>
            <w:vAlign w:val="center"/>
          </w:tcPr>
          <w:p w14:paraId="1FB7420D">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Missing data handling</w:t>
            </w:r>
          </w:p>
        </w:tc>
        <w:tc>
          <w:tcPr>
            <w:tcW w:w="287" w:type="pct"/>
            <w:tcBorders>
              <w:bottom w:val="single" w:color="auto" w:sz="4" w:space="0"/>
            </w:tcBorders>
            <w:vAlign w:val="center"/>
          </w:tcPr>
          <w:p w14:paraId="546DB2EE">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Continuous variable processing method</w:t>
            </w:r>
          </w:p>
        </w:tc>
        <w:tc>
          <w:tcPr>
            <w:tcW w:w="557" w:type="pct"/>
            <w:tcBorders>
              <w:bottom w:val="single" w:color="auto" w:sz="4" w:space="0"/>
            </w:tcBorders>
            <w:vAlign w:val="center"/>
          </w:tcPr>
          <w:p w14:paraId="0F7635DF">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Variable selection</w:t>
            </w:r>
          </w:p>
        </w:tc>
        <w:tc>
          <w:tcPr>
            <w:tcW w:w="387" w:type="pct"/>
            <w:tcBorders>
              <w:bottom w:val="single" w:color="auto" w:sz="4" w:space="0"/>
            </w:tcBorders>
            <w:vAlign w:val="center"/>
          </w:tcPr>
          <w:p w14:paraId="44FD649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Model development method</w:t>
            </w:r>
          </w:p>
        </w:tc>
        <w:tc>
          <w:tcPr>
            <w:tcW w:w="295" w:type="pct"/>
            <w:tcBorders>
              <w:bottom w:val="single" w:color="auto" w:sz="4" w:space="0"/>
            </w:tcBorders>
            <w:vAlign w:val="center"/>
          </w:tcPr>
          <w:p w14:paraId="4808874A">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Calibration method</w:t>
            </w:r>
          </w:p>
        </w:tc>
        <w:tc>
          <w:tcPr>
            <w:tcW w:w="404" w:type="pct"/>
            <w:tcBorders>
              <w:bottom w:val="single" w:color="auto" w:sz="4" w:space="0"/>
            </w:tcBorders>
            <w:vAlign w:val="center"/>
          </w:tcPr>
          <w:p w14:paraId="0A3AEF96">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Validation method</w:t>
            </w:r>
          </w:p>
        </w:tc>
        <w:tc>
          <w:tcPr>
            <w:tcW w:w="1078" w:type="pct"/>
            <w:tcBorders>
              <w:bottom w:val="single" w:color="auto" w:sz="4" w:space="0"/>
            </w:tcBorders>
            <w:vAlign w:val="center"/>
          </w:tcPr>
          <w:p w14:paraId="12060ED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Final predictor</w:t>
            </w:r>
          </w:p>
        </w:tc>
        <w:tc>
          <w:tcPr>
            <w:tcW w:w="454" w:type="pct"/>
            <w:tcBorders>
              <w:bottom w:val="single" w:color="auto" w:sz="4" w:space="0"/>
            </w:tcBorders>
            <w:vAlign w:val="center"/>
          </w:tcPr>
          <w:p w14:paraId="0D73C3D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Model performance</w:t>
            </w:r>
          </w:p>
        </w:tc>
        <w:tc>
          <w:tcPr>
            <w:tcW w:w="229" w:type="pct"/>
            <w:tcBorders>
              <w:bottom w:val="single" w:color="auto" w:sz="4" w:space="0"/>
            </w:tcBorders>
            <w:vAlign w:val="center"/>
          </w:tcPr>
          <w:p w14:paraId="2D2CED5E">
            <w:pPr>
              <w:widowControl/>
              <w:jc w:val="center"/>
              <w:textAlignment w:val="center"/>
              <w:rPr>
                <w:rFonts w:ascii="Times New Roman" w:hAnsi="Times New Roman" w:eastAsia="宋体" w:cs="Times New Roman"/>
                <w:b/>
                <w:bCs/>
                <w:color w:val="000000"/>
                <w:kern w:val="0"/>
                <w:sz w:val="20"/>
                <w:szCs w:val="20"/>
                <w:lang w:bidi="ar"/>
              </w:rPr>
            </w:pPr>
            <w:r>
              <w:rPr>
                <w:rFonts w:ascii="Times New Roman" w:hAnsi="Times New Roman" w:eastAsia="宋体" w:cs="Times New Roman"/>
                <w:b/>
                <w:bCs/>
                <w:color w:val="000000"/>
                <w:kern w:val="0"/>
                <w:sz w:val="20"/>
                <w:szCs w:val="20"/>
                <w:lang w:bidi="ar"/>
              </w:rPr>
              <w:t>Model</w:t>
            </w:r>
          </w:p>
          <w:p w14:paraId="2F9AF5F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resentation</w:t>
            </w:r>
          </w:p>
        </w:tc>
      </w:tr>
      <w:tr w14:paraId="034C82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tcBorders>
              <w:top w:val="single" w:color="auto" w:sz="4" w:space="0"/>
            </w:tcBorders>
            <w:noWrap/>
            <w:vAlign w:val="center"/>
          </w:tcPr>
          <w:p w14:paraId="681754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Yike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788" w:type="pct"/>
            <w:tcBorders>
              <w:top w:val="single" w:color="auto" w:sz="4" w:space="0"/>
            </w:tcBorders>
            <w:vAlign w:val="center"/>
          </w:tcPr>
          <w:p w14:paraId="62097D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 the WHI study, the k-nearest neighbor algorithm was used to interpolate a small number of CpG sites that failed quality control.</w:t>
            </w:r>
          </w:p>
        </w:tc>
        <w:tc>
          <w:tcPr>
            <w:tcW w:w="287" w:type="pct"/>
            <w:tcBorders>
              <w:top w:val="single" w:color="auto" w:sz="4" w:space="0"/>
            </w:tcBorders>
            <w:noWrap/>
            <w:vAlign w:val="center"/>
          </w:tcPr>
          <w:p w14:paraId="210EC0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tcBorders>
              <w:top w:val="single" w:color="auto" w:sz="4" w:space="0"/>
            </w:tcBorders>
            <w:vAlign w:val="center"/>
          </w:tcPr>
          <w:p w14:paraId="4DFCB0FE">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Elastic-net penalized Cox proportional hazard model</w:t>
            </w:r>
          </w:p>
        </w:tc>
        <w:tc>
          <w:tcPr>
            <w:tcW w:w="387" w:type="pct"/>
            <w:tcBorders>
              <w:top w:val="single" w:color="auto" w:sz="4" w:space="0"/>
            </w:tcBorders>
            <w:vAlign w:val="center"/>
          </w:tcPr>
          <w:p w14:paraId="721ED1B8">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AESurv model, combining auto-encoders and the Cox proportional hazards model</w:t>
            </w:r>
          </w:p>
        </w:tc>
        <w:tc>
          <w:tcPr>
            <w:tcW w:w="295" w:type="pct"/>
            <w:tcBorders>
              <w:top w:val="single" w:color="auto" w:sz="4" w:space="0"/>
            </w:tcBorders>
            <w:noWrap/>
            <w:vAlign w:val="center"/>
          </w:tcPr>
          <w:p w14:paraId="23606A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tcBorders>
              <w:top w:val="single" w:color="auto" w:sz="4" w:space="0"/>
            </w:tcBorders>
            <w:vAlign w:val="center"/>
          </w:tcPr>
          <w:p w14:paraId="44E9E3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(5-fold cross-validation), external validation</w:t>
            </w:r>
          </w:p>
        </w:tc>
        <w:tc>
          <w:tcPr>
            <w:tcW w:w="1078" w:type="pct"/>
            <w:tcBorders>
              <w:top w:val="single" w:color="auto" w:sz="4" w:space="0"/>
            </w:tcBorders>
            <w:vAlign w:val="center"/>
          </w:tcPr>
          <w:p w14:paraId="5BB7CF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building: DNA methylation and clinical features were included.</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Clinical features include: age, BMI, SBP, HDL-C, LDL-C, sex, type 2 diabetes, hypertension treatment, smoking status, albuminuria status, study center, and proportions of CD4T, CD8T, NK, B cells, and monocytes.635 DNA methylated CpG sites and 25 clinical features were combined in the SHS study, and 398 DNA methylated CpG sites were used in the WHI study.</w:t>
            </w:r>
          </w:p>
        </w:tc>
        <w:tc>
          <w:tcPr>
            <w:tcW w:w="454" w:type="pct"/>
            <w:tcBorders>
              <w:top w:val="single" w:color="auto" w:sz="4" w:space="0"/>
            </w:tcBorders>
            <w:vAlign w:val="center"/>
          </w:tcPr>
          <w:p w14:paraId="3594A5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SHS C-index 0.864(SE 0.009)</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external WHI C-index 0.752(SE 0.019)</w:t>
            </w:r>
          </w:p>
        </w:tc>
        <w:tc>
          <w:tcPr>
            <w:tcW w:w="229" w:type="pct"/>
            <w:tcBorders>
              <w:top w:val="single" w:color="auto" w:sz="4" w:space="0"/>
            </w:tcBorders>
            <w:vAlign w:val="center"/>
          </w:tcPr>
          <w:p w14:paraId="22AA88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code</w:t>
            </w:r>
          </w:p>
        </w:tc>
      </w:tr>
      <w:tr w14:paraId="4B4571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noWrap/>
            <w:vAlign w:val="center"/>
          </w:tcPr>
          <w:p w14:paraId="2937E3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Kuangmao Chiang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noWrap/>
            <w:vAlign w:val="center"/>
          </w:tcPr>
          <w:p w14:paraId="60145F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Optimized the peak intensity value from three replicates of each sample</w:t>
            </w:r>
          </w:p>
        </w:tc>
        <w:tc>
          <w:tcPr>
            <w:tcW w:w="287" w:type="pct"/>
            <w:noWrap/>
            <w:vAlign w:val="center"/>
          </w:tcPr>
          <w:p w14:paraId="08A508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3E419AF0">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Conditional logistic regression, multivariate logistic regression, LASSO</w:t>
            </w:r>
          </w:p>
        </w:tc>
        <w:tc>
          <w:tcPr>
            <w:tcW w:w="387" w:type="pct"/>
            <w:vAlign w:val="center"/>
          </w:tcPr>
          <w:p w14:paraId="75E1B264">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Conditional logistic regression, multivariate logistic regression, LASSO</w:t>
            </w:r>
          </w:p>
        </w:tc>
        <w:tc>
          <w:tcPr>
            <w:tcW w:w="295" w:type="pct"/>
            <w:noWrap/>
            <w:vAlign w:val="center"/>
          </w:tcPr>
          <w:p w14:paraId="6E8591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153C04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3A8AF5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CAD predictors (age, sex, status of hypertension, diabetes, hypertriglyceridemia, hypercholesterolemia, smoking, drinking, and education).4 oxylipins: 13-oxo-ODE,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5-HETE,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PGD2/PGE2 15-deoxy-PGJ2</w:t>
            </w:r>
          </w:p>
        </w:tc>
        <w:tc>
          <w:tcPr>
            <w:tcW w:w="454" w:type="pct"/>
            <w:noWrap/>
            <w:vAlign w:val="center"/>
          </w:tcPr>
          <w:p w14:paraId="000474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0.762(0.70-0.83)</w:t>
            </w:r>
          </w:p>
        </w:tc>
        <w:tc>
          <w:tcPr>
            <w:tcW w:w="229" w:type="pct"/>
            <w:noWrap/>
            <w:vAlign w:val="center"/>
          </w:tcPr>
          <w:p w14:paraId="45F10B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1E2311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22D46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Ekram W. Abd El-Wahab</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788" w:type="pct"/>
            <w:noWrap/>
            <w:vAlign w:val="center"/>
          </w:tcPr>
          <w:p w14:paraId="5DEE17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120FA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E3260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Backward stepwise multivariate logistic regression</w:t>
            </w:r>
          </w:p>
        </w:tc>
        <w:tc>
          <w:tcPr>
            <w:tcW w:w="387" w:type="pct"/>
            <w:vAlign w:val="center"/>
          </w:tcPr>
          <w:p w14:paraId="6DB79C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380E88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20A7BF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5E58E5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hypertension, diabetes, DBP and LDL-C/HDL-C ratio</w:t>
            </w:r>
          </w:p>
        </w:tc>
        <w:tc>
          <w:tcPr>
            <w:tcW w:w="454" w:type="pct"/>
            <w:vAlign w:val="center"/>
          </w:tcPr>
          <w:p w14:paraId="137318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0.92(SE 0.014)</w:t>
            </w:r>
          </w:p>
        </w:tc>
        <w:tc>
          <w:tcPr>
            <w:tcW w:w="229" w:type="pct"/>
            <w:noWrap/>
            <w:vAlign w:val="center"/>
          </w:tcPr>
          <w:p w14:paraId="417AC6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1D9B70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26A68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Dingyu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07434E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3C2655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59E2A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3FE2FF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02624D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noWrap/>
            <w:vAlign w:val="center"/>
          </w:tcPr>
          <w:p w14:paraId="104C05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4F8941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GASDLY score: SelS rs117613208 T allele, age, smoking, diabetes, hypertension, ApoA1, Lp(a)</w:t>
            </w:r>
          </w:p>
        </w:tc>
        <w:tc>
          <w:tcPr>
            <w:tcW w:w="454" w:type="pct"/>
            <w:vAlign w:val="center"/>
          </w:tcPr>
          <w:p w14:paraId="5FA8A3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0.806(0.776-0.836)</w:t>
            </w:r>
          </w:p>
        </w:tc>
        <w:tc>
          <w:tcPr>
            <w:tcW w:w="229" w:type="pct"/>
            <w:vAlign w:val="center"/>
          </w:tcPr>
          <w:p w14:paraId="6386B4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 and GASDLY scoring formula</w:t>
            </w:r>
          </w:p>
        </w:tc>
      </w:tr>
      <w:tr w14:paraId="289A83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585084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Zuqiang Fu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240867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Missing category variables: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MILC</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Missing continuous variables: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MICE</w:t>
            </w:r>
          </w:p>
        </w:tc>
        <w:tc>
          <w:tcPr>
            <w:tcW w:w="287" w:type="pct"/>
            <w:noWrap/>
            <w:vAlign w:val="center"/>
          </w:tcPr>
          <w:p w14:paraId="7166D1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07BB7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noWrap/>
            <w:vAlign w:val="center"/>
          </w:tcPr>
          <w:p w14:paraId="753AAE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linear regression model</w:t>
            </w:r>
          </w:p>
        </w:tc>
        <w:tc>
          <w:tcPr>
            <w:tcW w:w="295" w:type="pct"/>
            <w:noWrap/>
            <w:vAlign w:val="center"/>
          </w:tcPr>
          <w:p w14:paraId="6746E1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25482D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5D13C4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BMI, 65metabolites, FRS (includes biological factors (age, sex, SBP, HDL-C, TC), lifestyle factors (BMI, smoking status), baseline status, and antihypertensive drug use)</w:t>
            </w:r>
          </w:p>
        </w:tc>
        <w:tc>
          <w:tcPr>
            <w:tcW w:w="454" w:type="pct"/>
            <w:vAlign w:val="center"/>
          </w:tcPr>
          <w:p w14:paraId="5A5A1D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 statistic 0.752 (0.746-0.758)</w:t>
            </w:r>
          </w:p>
        </w:tc>
        <w:tc>
          <w:tcPr>
            <w:tcW w:w="229" w:type="pct"/>
            <w:noWrap/>
            <w:vAlign w:val="center"/>
          </w:tcPr>
          <w:p w14:paraId="4E2CD2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F1FA6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noWrap/>
            <w:vAlign w:val="center"/>
          </w:tcPr>
          <w:p w14:paraId="4ABFF4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Wafa Omer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788" w:type="pct"/>
            <w:noWrap/>
            <w:vAlign w:val="center"/>
          </w:tcPr>
          <w:p w14:paraId="411CF4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0EE111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6B7620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noWrap/>
            <w:vAlign w:val="center"/>
          </w:tcPr>
          <w:p w14:paraId="2DD04F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2B9387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55B6B4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5D2A02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rs187238 (IL-18), rs1800795 (IL-6), rs1800629 (TNF-α),</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rs1800871 (IL-10), and rs1946519 (IL-18) SNPs, FRS.</w:t>
            </w:r>
          </w:p>
        </w:tc>
        <w:tc>
          <w:tcPr>
            <w:tcW w:w="454" w:type="pct"/>
            <w:noWrap/>
            <w:vAlign w:val="center"/>
          </w:tcPr>
          <w:p w14:paraId="2FC0FD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0.955(0.928-0.981)</w:t>
            </w:r>
          </w:p>
        </w:tc>
        <w:tc>
          <w:tcPr>
            <w:tcW w:w="229" w:type="pct"/>
            <w:noWrap/>
            <w:vAlign w:val="center"/>
          </w:tcPr>
          <w:p w14:paraId="19C03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2634CD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7C3564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Isaac Subirana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788" w:type="pct"/>
            <w:noWrap/>
            <w:vAlign w:val="center"/>
          </w:tcPr>
          <w:p w14:paraId="27616A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5F4707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42EA50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vAlign w:val="center"/>
          </w:tcPr>
          <w:p w14:paraId="322D05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Backwards elimination</w:t>
            </w:r>
          </w:p>
        </w:tc>
        <w:tc>
          <w:tcPr>
            <w:tcW w:w="295" w:type="pct"/>
            <w:noWrap/>
            <w:vAlign w:val="center"/>
          </w:tcPr>
          <w:p w14:paraId="042A8A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6F0F02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DDADC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SBP, DBP, HDL-C, TC, diabetes, smoking, statin use, IL-6, Insulin, TNF-α</w:t>
            </w:r>
          </w:p>
        </w:tc>
        <w:tc>
          <w:tcPr>
            <w:tcW w:w="454" w:type="pct"/>
            <w:noWrap/>
            <w:vAlign w:val="center"/>
          </w:tcPr>
          <w:p w14:paraId="403B2A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C-index 0.826 (0.793-0.859)</w:t>
            </w:r>
          </w:p>
        </w:tc>
        <w:tc>
          <w:tcPr>
            <w:tcW w:w="229" w:type="pct"/>
            <w:noWrap/>
            <w:vAlign w:val="center"/>
          </w:tcPr>
          <w:p w14:paraId="38C986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263A7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52B0B3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Jinyu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noWrap/>
            <w:vAlign w:val="center"/>
          </w:tcPr>
          <w:p w14:paraId="5FD3F8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61F659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42CC17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w:t>
            </w:r>
          </w:p>
        </w:tc>
        <w:tc>
          <w:tcPr>
            <w:tcW w:w="387" w:type="pct"/>
            <w:vAlign w:val="center"/>
          </w:tcPr>
          <w:p w14:paraId="2AB6AB49">
            <w:pPr>
              <w:widowControl/>
              <w:jc w:val="center"/>
              <w:textAlignment w:val="center"/>
              <w:rPr>
                <w:rFonts w:ascii="Times New Roman" w:hAnsi="Times New Roman" w:eastAsia="宋体" w:cs="Times New Roman"/>
                <w:color w:val="231F20"/>
                <w:sz w:val="20"/>
                <w:szCs w:val="20"/>
              </w:rPr>
            </w:pPr>
            <w:r>
              <w:rPr>
                <w:rFonts w:ascii="Times New Roman" w:hAnsi="Times New Roman" w:eastAsia="宋体" w:cs="Times New Roman"/>
                <w:color w:val="231F20"/>
                <w:kern w:val="0"/>
                <w:sz w:val="20"/>
                <w:szCs w:val="20"/>
                <w:lang w:bidi="ar"/>
              </w:rPr>
              <w:t>Multivariate logistic regression</w:t>
            </w:r>
          </w:p>
        </w:tc>
        <w:tc>
          <w:tcPr>
            <w:tcW w:w="295" w:type="pct"/>
            <w:vAlign w:val="center"/>
          </w:tcPr>
          <w:p w14:paraId="3CD5E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 and calibration plot</w:t>
            </w:r>
          </w:p>
        </w:tc>
        <w:tc>
          <w:tcPr>
            <w:tcW w:w="404" w:type="pct"/>
            <w:noWrap/>
            <w:vAlign w:val="center"/>
          </w:tcPr>
          <w:p w14:paraId="7515C3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noWrap/>
            <w:vAlign w:val="center"/>
          </w:tcPr>
          <w:p w14:paraId="5F021D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ADRB3 genetic variation and clinical variables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(drinking, diabetes)</w:t>
            </w:r>
          </w:p>
        </w:tc>
        <w:tc>
          <w:tcPr>
            <w:tcW w:w="454" w:type="pct"/>
            <w:noWrap/>
            <w:vAlign w:val="center"/>
          </w:tcPr>
          <w:p w14:paraId="6F25E4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0.722 (0.682-0.761)</w:t>
            </w:r>
          </w:p>
        </w:tc>
        <w:tc>
          <w:tcPr>
            <w:tcW w:w="229" w:type="pct"/>
            <w:vAlign w:val="center"/>
          </w:tcPr>
          <w:p w14:paraId="1BC728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1C0899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0424DE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Symen Ligthart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(2014)</w:t>
            </w:r>
          </w:p>
        </w:tc>
        <w:tc>
          <w:tcPr>
            <w:tcW w:w="788" w:type="pct"/>
            <w:noWrap/>
            <w:vAlign w:val="center"/>
          </w:tcPr>
          <w:p w14:paraId="1569A3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w:t>
            </w:r>
          </w:p>
        </w:tc>
        <w:tc>
          <w:tcPr>
            <w:tcW w:w="287" w:type="pct"/>
            <w:noWrap/>
            <w:vAlign w:val="center"/>
          </w:tcPr>
          <w:p w14:paraId="10B147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C1E49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noWrap/>
            <w:vAlign w:val="center"/>
          </w:tcPr>
          <w:p w14:paraId="30F446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analysis</w:t>
            </w:r>
          </w:p>
        </w:tc>
        <w:tc>
          <w:tcPr>
            <w:tcW w:w="295" w:type="pct"/>
            <w:noWrap/>
            <w:vAlign w:val="center"/>
          </w:tcPr>
          <w:p w14:paraId="263AA2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328101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1A2A10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EN-RAGE, CD40, Complement 3, CRP, IL-18, IL-8, Monocyte chemotactic protein 1, Macrophage migration inhibitory factor, RANTES, Resistin, TNF-α</w:t>
            </w:r>
          </w:p>
        </w:tc>
        <w:tc>
          <w:tcPr>
            <w:tcW w:w="454" w:type="pct"/>
            <w:noWrap/>
            <w:vAlign w:val="center"/>
          </w:tcPr>
          <w:p w14:paraId="5AC249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C-statistic  0.741</w:t>
            </w:r>
            <w:r>
              <w:rPr>
                <w:rStyle w:val="5"/>
                <w:rFonts w:hint="default"/>
                <w:lang w:bidi="ar"/>
              </w:rPr>
              <w:t>（</w:t>
            </w:r>
            <w:r>
              <w:rPr>
                <w:rFonts w:ascii="Times New Roman" w:hAnsi="Times New Roman" w:eastAsia="宋体" w:cs="Times New Roman"/>
                <w:color w:val="000000"/>
                <w:kern w:val="0"/>
                <w:sz w:val="20"/>
                <w:szCs w:val="20"/>
                <w:lang w:bidi="ar"/>
              </w:rPr>
              <w:t>0.683-0.799</w:t>
            </w:r>
            <w:r>
              <w:rPr>
                <w:rStyle w:val="5"/>
                <w:rFonts w:hint="default"/>
                <w:lang w:bidi="ar"/>
              </w:rPr>
              <w:t>）</w:t>
            </w:r>
          </w:p>
        </w:tc>
        <w:tc>
          <w:tcPr>
            <w:tcW w:w="229" w:type="pct"/>
            <w:noWrap/>
            <w:vAlign w:val="center"/>
          </w:tcPr>
          <w:p w14:paraId="6A9CCA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865DE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noWrap/>
            <w:vAlign w:val="center"/>
          </w:tcPr>
          <w:p w14:paraId="10FE34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Joseph F. Polak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788" w:type="pct"/>
            <w:noWrap/>
            <w:vAlign w:val="center"/>
          </w:tcPr>
          <w:p w14:paraId="0324D1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3675DC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29C24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noWrap/>
            <w:vAlign w:val="center"/>
          </w:tcPr>
          <w:p w14:paraId="1B3835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5660A7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54FD46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1394C6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Framingham 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 SBP, TC, HDL-C, smoking history, diabetes, sex),  race/ethnicity, far wall CCA IMT</w:t>
            </w:r>
          </w:p>
        </w:tc>
        <w:tc>
          <w:tcPr>
            <w:tcW w:w="454" w:type="pct"/>
            <w:vAlign w:val="center"/>
          </w:tcPr>
          <w:p w14:paraId="4D83C5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 statistic 0.740(0.720-0.761)</w:t>
            </w:r>
          </w:p>
        </w:tc>
        <w:tc>
          <w:tcPr>
            <w:tcW w:w="229" w:type="pct"/>
            <w:noWrap/>
            <w:vAlign w:val="center"/>
          </w:tcPr>
          <w:p w14:paraId="533CA3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300C4F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noWrap/>
            <w:vAlign w:val="center"/>
          </w:tcPr>
          <w:p w14:paraId="570915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Carla Debernardi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788" w:type="pct"/>
            <w:noWrap/>
            <w:vAlign w:val="center"/>
          </w:tcPr>
          <w:p w14:paraId="12990E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Interpolation</w:t>
            </w:r>
          </w:p>
        </w:tc>
        <w:tc>
          <w:tcPr>
            <w:tcW w:w="287" w:type="pct"/>
            <w:noWrap/>
            <w:vAlign w:val="center"/>
          </w:tcPr>
          <w:p w14:paraId="14D547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552065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Kolmogorov-Smirnov test, Mann-Whitney test, BORUTA algorithm</w:t>
            </w:r>
          </w:p>
        </w:tc>
        <w:tc>
          <w:tcPr>
            <w:tcW w:w="387" w:type="pct"/>
            <w:noWrap/>
            <w:vAlign w:val="center"/>
          </w:tcPr>
          <w:p w14:paraId="56E0C7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Linear generalized model</w:t>
            </w:r>
          </w:p>
        </w:tc>
        <w:tc>
          <w:tcPr>
            <w:tcW w:w="295" w:type="pct"/>
            <w:noWrap/>
            <w:vAlign w:val="center"/>
          </w:tcPr>
          <w:p w14:paraId="084D2B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139547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(10-fold cross-validation), external validation</w:t>
            </w:r>
          </w:p>
        </w:tc>
        <w:tc>
          <w:tcPr>
            <w:tcW w:w="1078" w:type="pct"/>
            <w:vAlign w:val="center"/>
          </w:tcPr>
          <w:p w14:paraId="60F1AE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diabetes, smoking status, HDL, LDL, and hypertension, PGS003727</w:t>
            </w:r>
          </w:p>
        </w:tc>
        <w:tc>
          <w:tcPr>
            <w:tcW w:w="454" w:type="pct"/>
            <w:vAlign w:val="center"/>
          </w:tcPr>
          <w:p w14:paraId="32C871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EPICOR AUC 0.76(0.66-0.85)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ATVB AUC 0.85(0.81-0.88)</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Internal and external verification datasets are not specified</w:t>
            </w:r>
          </w:p>
        </w:tc>
        <w:tc>
          <w:tcPr>
            <w:tcW w:w="229" w:type="pct"/>
            <w:noWrap/>
            <w:vAlign w:val="center"/>
          </w:tcPr>
          <w:p w14:paraId="4EB27A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4DE27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6347FB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Estefanía Nuneza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noWrap/>
            <w:vAlign w:val="center"/>
          </w:tcPr>
          <w:p w14:paraId="5B8BF7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23AD1C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432E35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5ECF0F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Machine-learning model</w:t>
            </w:r>
          </w:p>
        </w:tc>
        <w:tc>
          <w:tcPr>
            <w:tcW w:w="295" w:type="pct"/>
            <w:noWrap/>
            <w:vAlign w:val="center"/>
          </w:tcPr>
          <w:p w14:paraId="488D15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677F1B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(10-fold cross-validation), external validation</w:t>
            </w:r>
          </w:p>
        </w:tc>
        <w:tc>
          <w:tcPr>
            <w:tcW w:w="1078" w:type="pct"/>
            <w:vAlign w:val="center"/>
          </w:tcPr>
          <w:p w14:paraId="12475B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Circulating proteome (IGHA2, ApoA, HPT)</w:t>
            </w:r>
          </w:p>
        </w:tc>
        <w:tc>
          <w:tcPr>
            <w:tcW w:w="454" w:type="pct"/>
            <w:vAlign w:val="center"/>
          </w:tcPr>
          <w:p w14:paraId="5690E0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External1 0.73(0.70-0.74)</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external2 0.71(0.69-0.73)</w:t>
            </w:r>
          </w:p>
        </w:tc>
        <w:tc>
          <w:tcPr>
            <w:tcW w:w="229" w:type="pct"/>
            <w:noWrap/>
            <w:vAlign w:val="center"/>
          </w:tcPr>
          <w:p w14:paraId="0F1006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69F25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09B023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Shuna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4544EC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003B32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7A0B6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Backwald</w:t>
            </w:r>
            <w:r>
              <w:rPr>
                <w:rStyle w:val="5"/>
                <w:rFonts w:hint="default"/>
                <w:lang w:bidi="ar"/>
              </w:rPr>
              <w:t xml:space="preserve">: </w:t>
            </w:r>
            <w:r>
              <w:rPr>
                <w:rFonts w:ascii="Times New Roman" w:hAnsi="Times New Roman" w:eastAsia="宋体" w:cs="Times New Roman"/>
                <w:color w:val="000000"/>
                <w:kern w:val="0"/>
                <w:sz w:val="20"/>
                <w:szCs w:val="20"/>
                <w:lang w:bidi="ar"/>
              </w:rPr>
              <w:t>Wald</w:t>
            </w:r>
          </w:p>
        </w:tc>
        <w:tc>
          <w:tcPr>
            <w:tcW w:w="387" w:type="pct"/>
            <w:vAlign w:val="center"/>
          </w:tcPr>
          <w:p w14:paraId="22B5DB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35B10C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plot</w:t>
            </w:r>
          </w:p>
        </w:tc>
        <w:tc>
          <w:tcPr>
            <w:tcW w:w="404" w:type="pct"/>
            <w:noWrap/>
            <w:vAlign w:val="center"/>
          </w:tcPr>
          <w:p w14:paraId="643DDF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34B693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Three non-modifiable (sex, age, and family history of CHD) and five modifiable (hypertension, hyperlipidemia, diabetes, recent experience of a major traumatic event, and anxiety)</w:t>
            </w:r>
          </w:p>
        </w:tc>
        <w:tc>
          <w:tcPr>
            <w:tcW w:w="454" w:type="pct"/>
            <w:noWrap/>
            <w:vAlign w:val="center"/>
          </w:tcPr>
          <w:p w14:paraId="5B38BC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0.726(0.709-0.747)</w:t>
            </w:r>
          </w:p>
        </w:tc>
        <w:tc>
          <w:tcPr>
            <w:tcW w:w="229" w:type="pct"/>
            <w:noWrap/>
            <w:vAlign w:val="center"/>
          </w:tcPr>
          <w:p w14:paraId="2A95F9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5AC4BC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326B52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Pengfei Wei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788" w:type="pct"/>
            <w:noWrap/>
            <w:vAlign w:val="center"/>
          </w:tcPr>
          <w:p w14:paraId="5A3801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31A38B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6A1F29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488F5E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3F1C5C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3E1791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93A59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risk factors (age, gender, smoking, drinking, hypertension, diabetes, and dyslipidemia), wGRS, 5 gene mRNA</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(PDGFA, PDGFB, PDGFC, PDGFD, PDGFRB)</w:t>
            </w:r>
          </w:p>
        </w:tc>
        <w:tc>
          <w:tcPr>
            <w:tcW w:w="454" w:type="pct"/>
            <w:noWrap/>
            <w:vAlign w:val="center"/>
          </w:tcPr>
          <w:p w14:paraId="3E763A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0.921(0.898-0.943)</w:t>
            </w:r>
          </w:p>
        </w:tc>
        <w:tc>
          <w:tcPr>
            <w:tcW w:w="229" w:type="pct"/>
            <w:noWrap/>
            <w:vAlign w:val="center"/>
          </w:tcPr>
          <w:p w14:paraId="58A8B2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B6EC5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vAlign w:val="center"/>
          </w:tcPr>
          <w:p w14:paraId="487A91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788" w:type="pct"/>
            <w:noWrap/>
            <w:vAlign w:val="center"/>
          </w:tcPr>
          <w:p w14:paraId="213370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4D713E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0C65F2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w:t>
            </w:r>
          </w:p>
        </w:tc>
        <w:tc>
          <w:tcPr>
            <w:tcW w:w="387" w:type="pct"/>
            <w:vAlign w:val="center"/>
          </w:tcPr>
          <w:p w14:paraId="3E1AD5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Machine-learning model</w:t>
            </w:r>
          </w:p>
        </w:tc>
        <w:tc>
          <w:tcPr>
            <w:tcW w:w="295" w:type="pct"/>
            <w:noWrap/>
            <w:vAlign w:val="center"/>
          </w:tcPr>
          <w:p w14:paraId="267E3B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3CC54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60E0CD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alcohol drinking, smoking, histories of hyperlipidemia, hypertension, and type 2 diabetes mellitus, and clinical information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(blood pressure, BMI, fasting plasma glucose, TC,  total triglyceride, HDL-C, LDL-C)</w:t>
            </w:r>
          </w:p>
        </w:tc>
        <w:tc>
          <w:tcPr>
            <w:tcW w:w="454" w:type="pct"/>
            <w:vAlign w:val="center"/>
          </w:tcPr>
          <w:p w14:paraId="2B499C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 0.948（ 0.941-0.954）</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validation1 0.944（ 0.934-0.955）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validation2 0.940（ 0.922-0.960）</w:t>
            </w:r>
          </w:p>
        </w:tc>
        <w:tc>
          <w:tcPr>
            <w:tcW w:w="229" w:type="pct"/>
            <w:noWrap/>
            <w:vAlign w:val="center"/>
          </w:tcPr>
          <w:p w14:paraId="41F552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25E8E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63A133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3A4BC4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07BFAF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5FCC45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Binary logistic regression</w:t>
            </w:r>
          </w:p>
        </w:tc>
        <w:tc>
          <w:tcPr>
            <w:tcW w:w="387" w:type="pct"/>
            <w:noWrap/>
            <w:vAlign w:val="center"/>
          </w:tcPr>
          <w:p w14:paraId="3AA45F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4F02FE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40F681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4BD5C2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DNA methylation and expression characteristics (DYSF)</w:t>
            </w:r>
          </w:p>
        </w:tc>
        <w:tc>
          <w:tcPr>
            <w:tcW w:w="454" w:type="pct"/>
            <w:vAlign w:val="center"/>
          </w:tcPr>
          <w:p w14:paraId="6296DA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0.888(0.844</w:t>
            </w:r>
            <w:r>
              <w:rPr>
                <w:rStyle w:val="6"/>
                <w:rFonts w:eastAsia="宋体"/>
                <w:lang w:bidi="ar"/>
              </w:rPr>
              <w:t>-</w:t>
            </w:r>
            <w:r>
              <w:rPr>
                <w:rFonts w:ascii="Times New Roman" w:hAnsi="Times New Roman" w:eastAsia="宋体" w:cs="Times New Roman"/>
                <w:color w:val="000000"/>
                <w:kern w:val="0"/>
                <w:sz w:val="20"/>
                <w:szCs w:val="20"/>
                <w:lang w:bidi="ar"/>
              </w:rPr>
              <w:t>0.930)</w:t>
            </w:r>
          </w:p>
        </w:tc>
        <w:tc>
          <w:tcPr>
            <w:tcW w:w="229" w:type="pct"/>
            <w:noWrap/>
            <w:vAlign w:val="center"/>
          </w:tcPr>
          <w:p w14:paraId="5050AF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2DF2BD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0905C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noWrap/>
            <w:vAlign w:val="center"/>
          </w:tcPr>
          <w:p w14:paraId="7D41C4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5F2E85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16BB18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2298A9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LightGBM model</w:t>
            </w:r>
          </w:p>
        </w:tc>
        <w:tc>
          <w:tcPr>
            <w:tcW w:w="295" w:type="pct"/>
            <w:vAlign w:val="center"/>
          </w:tcPr>
          <w:p w14:paraId="55ADC6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06A1A6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0289D0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DNA methylation and expression characteristics (BACH2, CDKN1B, DHCR24, MPO, ATG7)</w:t>
            </w:r>
          </w:p>
        </w:tc>
        <w:tc>
          <w:tcPr>
            <w:tcW w:w="454" w:type="pct"/>
            <w:vAlign w:val="center"/>
          </w:tcPr>
          <w:p w14:paraId="7C0090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 1.0(1.0-1.0)</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 0.834 (0.770-0.897)</w:t>
            </w:r>
          </w:p>
        </w:tc>
        <w:tc>
          <w:tcPr>
            <w:tcW w:w="229" w:type="pct"/>
            <w:noWrap/>
            <w:vAlign w:val="center"/>
          </w:tcPr>
          <w:p w14:paraId="3CC35D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19CB1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noWrap/>
            <w:vAlign w:val="center"/>
          </w:tcPr>
          <w:p w14:paraId="544A35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Iain S. Forrest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3DE3B0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Continuous features and participants with &gt;70% missing values were removed, and the remaining values were imputed using random forest-based algorithms</w:t>
            </w:r>
          </w:p>
        </w:tc>
        <w:tc>
          <w:tcPr>
            <w:tcW w:w="287" w:type="pct"/>
            <w:noWrap/>
            <w:vAlign w:val="center"/>
          </w:tcPr>
          <w:p w14:paraId="62E80C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B3714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Random forest-based machine learning</w:t>
            </w:r>
          </w:p>
        </w:tc>
        <w:tc>
          <w:tcPr>
            <w:tcW w:w="387" w:type="pct"/>
            <w:vAlign w:val="center"/>
          </w:tcPr>
          <w:p w14:paraId="0B0E0C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Random forest-based machine learning system</w:t>
            </w:r>
          </w:p>
        </w:tc>
        <w:tc>
          <w:tcPr>
            <w:tcW w:w="295" w:type="pct"/>
            <w:noWrap/>
            <w:vAlign w:val="center"/>
          </w:tcPr>
          <w:p w14:paraId="34F1BC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Brier score</w:t>
            </w:r>
          </w:p>
        </w:tc>
        <w:tc>
          <w:tcPr>
            <w:tcW w:w="404" w:type="pct"/>
            <w:vAlign w:val="center"/>
          </w:tcPr>
          <w:p w14:paraId="38DDEE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(10-fold cross-validation), external validation</w:t>
            </w:r>
          </w:p>
        </w:tc>
        <w:tc>
          <w:tcPr>
            <w:tcW w:w="1078" w:type="pct"/>
            <w:noWrap/>
            <w:vAlign w:val="center"/>
          </w:tcPr>
          <w:p w14:paraId="35110D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88 diagnosis codes, 104 medications, 81 laboratory results, and 9 vital traits</w:t>
            </w:r>
          </w:p>
        </w:tc>
        <w:tc>
          <w:tcPr>
            <w:tcW w:w="454" w:type="pct"/>
            <w:vAlign w:val="center"/>
          </w:tcPr>
          <w:p w14:paraId="6A4E97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BioMe train AUROC 0.95(0.94-0.95)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BioMe validation AUROC 0.93(0.92-0.93)</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UKB external test AUROC 0.91(0.91-0.91)</w:t>
            </w:r>
          </w:p>
        </w:tc>
        <w:tc>
          <w:tcPr>
            <w:tcW w:w="229" w:type="pct"/>
            <w:noWrap/>
            <w:vAlign w:val="center"/>
          </w:tcPr>
          <w:p w14:paraId="6406BD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code</w:t>
            </w:r>
          </w:p>
        </w:tc>
      </w:tr>
      <w:tr w14:paraId="495ECF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noWrap/>
            <w:vAlign w:val="center"/>
          </w:tcPr>
          <w:p w14:paraId="23502F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Nicola Gaibazzi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788" w:type="pct"/>
            <w:noWrap/>
            <w:vAlign w:val="center"/>
          </w:tcPr>
          <w:p w14:paraId="563BB1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4B0F67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28FD5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1A30F2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62C9E2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noWrap/>
            <w:vAlign w:val="center"/>
          </w:tcPr>
          <w:p w14:paraId="760163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E4918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CIMT, cPL, and eCS, FRS</w:t>
            </w:r>
          </w:p>
        </w:tc>
        <w:tc>
          <w:tcPr>
            <w:tcW w:w="454" w:type="pct"/>
            <w:noWrap/>
            <w:vAlign w:val="center"/>
          </w:tcPr>
          <w:p w14:paraId="454F94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0.763(0.7171-0.8091)</w:t>
            </w:r>
          </w:p>
        </w:tc>
        <w:tc>
          <w:tcPr>
            <w:tcW w:w="229" w:type="pct"/>
            <w:noWrap/>
            <w:vAlign w:val="center"/>
          </w:tcPr>
          <w:p w14:paraId="190755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275F78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555775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Yujia Yang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788" w:type="pct"/>
            <w:noWrap/>
            <w:vAlign w:val="center"/>
          </w:tcPr>
          <w:p w14:paraId="173110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505182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620041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Stepwise linear regression</w:t>
            </w:r>
          </w:p>
        </w:tc>
        <w:tc>
          <w:tcPr>
            <w:tcW w:w="387" w:type="pct"/>
            <w:noWrap/>
            <w:vAlign w:val="center"/>
          </w:tcPr>
          <w:p w14:paraId="3EE365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Fisher</w:t>
            </w:r>
          </w:p>
        </w:tc>
        <w:tc>
          <w:tcPr>
            <w:tcW w:w="295" w:type="pct"/>
            <w:noWrap/>
            <w:vAlign w:val="center"/>
          </w:tcPr>
          <w:p w14:paraId="34B23F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noWrap/>
            <w:vAlign w:val="center"/>
          </w:tcPr>
          <w:p w14:paraId="35417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noWrap/>
            <w:vAlign w:val="center"/>
          </w:tcPr>
          <w:p w14:paraId="2B890D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Hypertension, sex, smoking, alcohol consumption, lncRNA100865.1</w:t>
            </w:r>
          </w:p>
        </w:tc>
        <w:tc>
          <w:tcPr>
            <w:tcW w:w="454" w:type="pct"/>
            <w:vAlign w:val="center"/>
          </w:tcPr>
          <w:p w14:paraId="43DD57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 AUC 0.791(0.743-0.839)</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 AUC 0.854 (0.769-0.939)</w:t>
            </w:r>
          </w:p>
        </w:tc>
        <w:tc>
          <w:tcPr>
            <w:tcW w:w="229" w:type="pct"/>
            <w:noWrap/>
            <w:vAlign w:val="center"/>
          </w:tcPr>
          <w:p w14:paraId="1D7833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formula</w:t>
            </w:r>
          </w:p>
        </w:tc>
      </w:tr>
      <w:tr w14:paraId="64C538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148D68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Chiara Caselli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788" w:type="pct"/>
            <w:noWrap/>
            <w:vAlign w:val="center"/>
          </w:tcPr>
          <w:p w14:paraId="0FFE72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2F7ACF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57ADE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backward and forward stepwise selection</w:t>
            </w:r>
          </w:p>
        </w:tc>
        <w:tc>
          <w:tcPr>
            <w:tcW w:w="387" w:type="pct"/>
            <w:vAlign w:val="center"/>
          </w:tcPr>
          <w:p w14:paraId="25AA23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0B26F6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70DA63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051F0A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type of angina pectoris, Aspartate aminotransferase</w:t>
            </w:r>
            <w:r>
              <w:rPr>
                <w:rStyle w:val="5"/>
                <w:rFonts w:hint="default"/>
                <w:lang w:bidi="ar"/>
              </w:rPr>
              <w:t>，</w:t>
            </w:r>
            <w:r>
              <w:rPr>
                <w:rFonts w:ascii="Times New Roman" w:hAnsi="Times New Roman" w:eastAsia="宋体" w:cs="Times New Roman"/>
                <w:color w:val="000000"/>
                <w:kern w:val="0"/>
                <w:sz w:val="20"/>
                <w:szCs w:val="20"/>
                <w:lang w:bidi="ar"/>
              </w:rPr>
              <w:t>hs-CRP, HDL</w:t>
            </w:r>
          </w:p>
        </w:tc>
        <w:tc>
          <w:tcPr>
            <w:tcW w:w="454" w:type="pct"/>
            <w:vAlign w:val="center"/>
          </w:tcPr>
          <w:p w14:paraId="12EC93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Validation ROC 0.70(SE 0.03)</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external test ROC 0.72(SE 0.04)</w:t>
            </w:r>
          </w:p>
        </w:tc>
        <w:tc>
          <w:tcPr>
            <w:tcW w:w="229" w:type="pct"/>
            <w:noWrap/>
            <w:vAlign w:val="center"/>
          </w:tcPr>
          <w:p w14:paraId="18E002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093B25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noWrap/>
            <w:vAlign w:val="center"/>
          </w:tcPr>
          <w:p w14:paraId="7D0398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Jayashree Shanker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788" w:type="pct"/>
            <w:noWrap/>
            <w:vAlign w:val="center"/>
          </w:tcPr>
          <w:p w14:paraId="0E104A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2216F7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6629A8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Pearson correlation analysis</w:t>
            </w:r>
          </w:p>
        </w:tc>
        <w:tc>
          <w:tcPr>
            <w:tcW w:w="387" w:type="pct"/>
            <w:vAlign w:val="center"/>
          </w:tcPr>
          <w:p w14:paraId="673331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3206F7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noWrap/>
            <w:vAlign w:val="center"/>
          </w:tcPr>
          <w:p w14:paraId="505E11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noWrap/>
            <w:vAlign w:val="center"/>
          </w:tcPr>
          <w:p w14:paraId="43E274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diabetes mellitus, hypertension, smoking, TC, HDL-C, BMI, WHR, adiponectin, leptin</w:t>
            </w:r>
          </w:p>
        </w:tc>
        <w:tc>
          <w:tcPr>
            <w:tcW w:w="454" w:type="pct"/>
            <w:noWrap/>
            <w:vAlign w:val="center"/>
          </w:tcPr>
          <w:p w14:paraId="6197B1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ROC 0.890(0.867-0.912)</w:t>
            </w:r>
          </w:p>
        </w:tc>
        <w:tc>
          <w:tcPr>
            <w:tcW w:w="229" w:type="pct"/>
            <w:noWrap/>
            <w:vAlign w:val="center"/>
          </w:tcPr>
          <w:p w14:paraId="138C52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8072B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3D1112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George Hindy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53022A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Interpolation</w:t>
            </w:r>
          </w:p>
        </w:tc>
        <w:tc>
          <w:tcPr>
            <w:tcW w:w="287" w:type="pct"/>
            <w:noWrap/>
            <w:vAlign w:val="center"/>
          </w:tcPr>
          <w:p w14:paraId="151FAB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AF751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vAlign w:val="center"/>
          </w:tcPr>
          <w:p w14:paraId="7CF474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491B40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359630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5DC58F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and the first 10 PCs, SBP,</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DBP, ApoB, ApoA1, TC, LDL-C, HDL-C,</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BMI, current Smoker, diabetes, family history of CAD, GPSCAD, PCE risk estimator</w:t>
            </w:r>
          </w:p>
        </w:tc>
        <w:tc>
          <w:tcPr>
            <w:tcW w:w="454" w:type="pct"/>
            <w:vAlign w:val="center"/>
          </w:tcPr>
          <w:p w14:paraId="7F132E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Validation ROC 0.802(0.763-0.841)</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test ROC 0.768(0.760-0.777)</w:t>
            </w:r>
          </w:p>
        </w:tc>
        <w:tc>
          <w:tcPr>
            <w:tcW w:w="229" w:type="pct"/>
            <w:noWrap/>
            <w:vAlign w:val="center"/>
          </w:tcPr>
          <w:p w14:paraId="1DE728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34445D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5619CD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36E092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60634A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expression level of microRNA-423 3p is divided into continuous variables or three-category categorical variables.</w:t>
            </w:r>
          </w:p>
        </w:tc>
        <w:tc>
          <w:tcPr>
            <w:tcW w:w="557" w:type="pct"/>
            <w:vAlign w:val="center"/>
          </w:tcPr>
          <w:p w14:paraId="5C3470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387" w:type="pct"/>
            <w:noWrap/>
            <w:vAlign w:val="center"/>
          </w:tcPr>
          <w:p w14:paraId="62C69A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782FE1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FE26E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0CB830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smoking status, hypertension, diabetes mellitus, BMI, HDL-C, and LDL-C, microRNA-423-3p</w:t>
            </w:r>
          </w:p>
        </w:tc>
        <w:tc>
          <w:tcPr>
            <w:tcW w:w="454" w:type="pct"/>
            <w:noWrap/>
            <w:vAlign w:val="center"/>
          </w:tcPr>
          <w:p w14:paraId="1138D6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ROC 0.806 (0.747-0.866)</w:t>
            </w:r>
          </w:p>
        </w:tc>
        <w:tc>
          <w:tcPr>
            <w:tcW w:w="229" w:type="pct"/>
            <w:noWrap/>
            <w:vAlign w:val="center"/>
          </w:tcPr>
          <w:p w14:paraId="4C820D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ECD0B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noWrap/>
            <w:vAlign w:val="center"/>
          </w:tcPr>
          <w:p w14:paraId="3DCA53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Yingying Zheng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15E48D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7C0616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09666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Random forest</w:t>
            </w:r>
          </w:p>
        </w:tc>
        <w:tc>
          <w:tcPr>
            <w:tcW w:w="387" w:type="pct"/>
            <w:vAlign w:val="center"/>
          </w:tcPr>
          <w:p w14:paraId="74DBAB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2A450E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364B93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0C713C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diabetes, hypertension, smoking, peripheral white blood cell count, and lipid profiles,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48 microbial OTU</w:t>
            </w:r>
          </w:p>
        </w:tc>
        <w:tc>
          <w:tcPr>
            <w:tcW w:w="454" w:type="pct"/>
            <w:noWrap/>
            <w:vAlign w:val="center"/>
          </w:tcPr>
          <w:p w14:paraId="6F3329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Xinjiang external 0.904(0.848-0.928)</w:t>
            </w:r>
          </w:p>
        </w:tc>
        <w:tc>
          <w:tcPr>
            <w:tcW w:w="229" w:type="pct"/>
            <w:noWrap/>
            <w:vAlign w:val="center"/>
          </w:tcPr>
          <w:p w14:paraId="18C23D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24AD14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4B4A85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Joshua Elliot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04E6B0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Interpolation</w:t>
            </w:r>
          </w:p>
        </w:tc>
        <w:tc>
          <w:tcPr>
            <w:tcW w:w="287" w:type="pct"/>
            <w:noWrap/>
            <w:vAlign w:val="center"/>
          </w:tcPr>
          <w:p w14:paraId="2115DC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5EA6F5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w:t>
            </w:r>
          </w:p>
        </w:tc>
        <w:tc>
          <w:tcPr>
            <w:tcW w:w="387" w:type="pct"/>
            <w:vAlign w:val="center"/>
          </w:tcPr>
          <w:p w14:paraId="461D4F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w:t>
            </w:r>
          </w:p>
        </w:tc>
        <w:tc>
          <w:tcPr>
            <w:tcW w:w="295" w:type="pct"/>
            <w:noWrap/>
            <w:vAlign w:val="center"/>
          </w:tcPr>
          <w:p w14:paraId="6D6CD6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figure</w:t>
            </w:r>
          </w:p>
        </w:tc>
        <w:tc>
          <w:tcPr>
            <w:tcW w:w="404" w:type="pct"/>
            <w:vAlign w:val="center"/>
          </w:tcPr>
          <w:p w14:paraId="037BE6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433388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PRS, PCE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 sex, race and ethnicity, smoking, TC, HDL-C, SBP, and diabetes)</w:t>
            </w:r>
          </w:p>
        </w:tc>
        <w:tc>
          <w:tcPr>
            <w:tcW w:w="454" w:type="pct"/>
            <w:vAlign w:val="center"/>
          </w:tcPr>
          <w:p w14:paraId="2B143B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Cohort 0.78(0.77-0.79)</w:t>
            </w:r>
          </w:p>
        </w:tc>
        <w:tc>
          <w:tcPr>
            <w:tcW w:w="229" w:type="pct"/>
            <w:noWrap/>
            <w:vAlign w:val="center"/>
          </w:tcPr>
          <w:p w14:paraId="4249CF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3D94DD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1EE5C0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noWrap/>
            <w:vAlign w:val="center"/>
          </w:tcPr>
          <w:p w14:paraId="6F19F9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Interpolation</w:t>
            </w:r>
          </w:p>
        </w:tc>
        <w:tc>
          <w:tcPr>
            <w:tcW w:w="287" w:type="pct"/>
            <w:noWrap/>
            <w:vAlign w:val="center"/>
          </w:tcPr>
          <w:p w14:paraId="529420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7A441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Corrected Gini importance</w:t>
            </w:r>
          </w:p>
        </w:tc>
        <w:tc>
          <w:tcPr>
            <w:tcW w:w="387" w:type="pct"/>
            <w:vAlign w:val="center"/>
          </w:tcPr>
          <w:p w14:paraId="136951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295" w:type="pct"/>
            <w:noWrap/>
            <w:vAlign w:val="center"/>
          </w:tcPr>
          <w:p w14:paraId="4A6A8B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747F41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5110F5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PRS (50,633 SNPs)</w:t>
            </w:r>
          </w:p>
        </w:tc>
        <w:tc>
          <w:tcPr>
            <w:tcW w:w="454" w:type="pct"/>
            <w:vAlign w:val="center"/>
          </w:tcPr>
          <w:p w14:paraId="12A2E4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Test validation AUC PRS 0.9222(0.9045-0.94)</w:t>
            </w:r>
          </w:p>
        </w:tc>
        <w:tc>
          <w:tcPr>
            <w:tcW w:w="229" w:type="pct"/>
            <w:noWrap/>
            <w:vAlign w:val="center"/>
          </w:tcPr>
          <w:p w14:paraId="0E2507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32AE3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12F5CB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Sakhavat Abolhasani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noWrap/>
            <w:vAlign w:val="center"/>
          </w:tcPr>
          <w:p w14:paraId="7A8E05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357541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E5196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noWrap/>
            <w:vAlign w:val="center"/>
          </w:tcPr>
          <w:p w14:paraId="4B1855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7F8B26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1855D9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307413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Serum levels of hs-CRP, SA, VN, PAI-1, OX-LDL, MDA</w:t>
            </w:r>
          </w:p>
        </w:tc>
        <w:tc>
          <w:tcPr>
            <w:tcW w:w="454" w:type="pct"/>
            <w:vAlign w:val="center"/>
          </w:tcPr>
          <w:p w14:paraId="701CD8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0.99 (0.975-1.005)</w:t>
            </w:r>
          </w:p>
        </w:tc>
        <w:tc>
          <w:tcPr>
            <w:tcW w:w="229" w:type="pct"/>
            <w:vAlign w:val="center"/>
          </w:tcPr>
          <w:p w14:paraId="1D9E76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Not specified</w:t>
            </w:r>
          </w:p>
        </w:tc>
      </w:tr>
      <w:tr w14:paraId="4A088D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7F54F1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Zhe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noWrap/>
            <w:vAlign w:val="center"/>
          </w:tcPr>
          <w:p w14:paraId="78C22A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4BE8FA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43E7DF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 Cox regression</w:t>
            </w:r>
          </w:p>
        </w:tc>
        <w:tc>
          <w:tcPr>
            <w:tcW w:w="387" w:type="pct"/>
            <w:noWrap/>
            <w:vAlign w:val="center"/>
          </w:tcPr>
          <w:p w14:paraId="316F7B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noWrap/>
            <w:vAlign w:val="center"/>
          </w:tcPr>
          <w:p w14:paraId="1CF3CC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006DF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(10-fold cross-validation)</w:t>
            </w:r>
          </w:p>
        </w:tc>
        <w:tc>
          <w:tcPr>
            <w:tcW w:w="1078" w:type="pct"/>
            <w:vAlign w:val="center"/>
          </w:tcPr>
          <w:p w14:paraId="32C29B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19 metabolites and traditional risk factors (age, sex, race, smoking, blood pressure, antihypertensive drugs, diabetes, HDL-C, TC)</w:t>
            </w:r>
          </w:p>
        </w:tc>
        <w:tc>
          <w:tcPr>
            <w:tcW w:w="454" w:type="pct"/>
            <w:vAlign w:val="center"/>
          </w:tcPr>
          <w:p w14:paraId="6EDBD8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C-statistic 0.740 (0.720-0.759)</w:t>
            </w:r>
          </w:p>
        </w:tc>
        <w:tc>
          <w:tcPr>
            <w:tcW w:w="229" w:type="pct"/>
            <w:noWrap/>
            <w:vAlign w:val="center"/>
          </w:tcPr>
          <w:p w14:paraId="030AA2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1F199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53B46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Weiyi Mei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noWrap/>
            <w:vAlign w:val="center"/>
          </w:tcPr>
          <w:p w14:paraId="0E1BD4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5CAC53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5A03CB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387" w:type="pct"/>
            <w:noWrap/>
            <w:vAlign w:val="center"/>
          </w:tcPr>
          <w:p w14:paraId="5EA949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1F67EB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goodness-of-fit test</w:t>
            </w:r>
          </w:p>
        </w:tc>
        <w:tc>
          <w:tcPr>
            <w:tcW w:w="404" w:type="pct"/>
            <w:vAlign w:val="center"/>
          </w:tcPr>
          <w:p w14:paraId="70B33C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72134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ERP, age, sex, BMI, SBP, HDL-C, LDL-C, type 2 diabetes, hypertension, smoking status, ECG</w:t>
            </w:r>
          </w:p>
        </w:tc>
        <w:tc>
          <w:tcPr>
            <w:tcW w:w="454" w:type="pct"/>
            <w:vAlign w:val="center"/>
          </w:tcPr>
          <w:p w14:paraId="3FDC81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0.78(0.75-0.81)</w:t>
            </w:r>
          </w:p>
        </w:tc>
        <w:tc>
          <w:tcPr>
            <w:tcW w:w="229" w:type="pct"/>
            <w:noWrap/>
            <w:vAlign w:val="center"/>
          </w:tcPr>
          <w:p w14:paraId="0956CC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26051B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0C9FAA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James J. Jang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noWrap/>
            <w:vAlign w:val="center"/>
          </w:tcPr>
          <w:p w14:paraId="646F0B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noWrap/>
            <w:vAlign w:val="center"/>
          </w:tcPr>
          <w:p w14:paraId="1317B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08043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Stepwise logistic regression</w:t>
            </w:r>
          </w:p>
        </w:tc>
        <w:tc>
          <w:tcPr>
            <w:tcW w:w="387" w:type="pct"/>
            <w:noWrap/>
            <w:vAlign w:val="center"/>
          </w:tcPr>
          <w:p w14:paraId="23998D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54D3C6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goodness-of-fit test</w:t>
            </w:r>
          </w:p>
        </w:tc>
        <w:tc>
          <w:tcPr>
            <w:tcW w:w="404" w:type="pct"/>
            <w:vAlign w:val="center"/>
          </w:tcPr>
          <w:p w14:paraId="5B6940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(bootstrapping)</w:t>
            </w:r>
          </w:p>
        </w:tc>
        <w:tc>
          <w:tcPr>
            <w:tcW w:w="1078" w:type="pct"/>
            <w:vAlign w:val="center"/>
          </w:tcPr>
          <w:p w14:paraId="6FDA1B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Family history of premature CAD, age, male sex, lower glomerular filtration rate, diabetes mellitus, elevated systolic blood pressure, and angina, smoking</w:t>
            </w:r>
          </w:p>
        </w:tc>
        <w:tc>
          <w:tcPr>
            <w:tcW w:w="454" w:type="pct"/>
            <w:vAlign w:val="center"/>
          </w:tcPr>
          <w:p w14:paraId="1D6E03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C-statistic 0.73(0.71-0.76)</w:t>
            </w:r>
          </w:p>
        </w:tc>
        <w:tc>
          <w:tcPr>
            <w:tcW w:w="229" w:type="pct"/>
            <w:noWrap/>
            <w:vAlign w:val="center"/>
          </w:tcPr>
          <w:p w14:paraId="208EEC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9A1B1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2CFEFC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Jia Zhou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vAlign w:val="center"/>
          </w:tcPr>
          <w:p w14:paraId="4D2C02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2C61CD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CCS and EFV were registered as categorical variables.</w:t>
            </w:r>
          </w:p>
        </w:tc>
        <w:tc>
          <w:tcPr>
            <w:tcW w:w="557" w:type="pct"/>
            <w:vAlign w:val="center"/>
          </w:tcPr>
          <w:p w14:paraId="3F1ED6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Stepwise multivariate logistic regression</w:t>
            </w:r>
          </w:p>
        </w:tc>
        <w:tc>
          <w:tcPr>
            <w:tcW w:w="387" w:type="pct"/>
            <w:vAlign w:val="center"/>
          </w:tcPr>
          <w:p w14:paraId="1D1ABC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Multivariable logistic regression</w:t>
            </w:r>
          </w:p>
        </w:tc>
        <w:tc>
          <w:tcPr>
            <w:tcW w:w="295" w:type="pct"/>
            <w:vAlign w:val="center"/>
          </w:tcPr>
          <w:p w14:paraId="25BCEC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goodness-of-fit test</w:t>
            </w:r>
          </w:p>
        </w:tc>
        <w:tc>
          <w:tcPr>
            <w:tcW w:w="404" w:type="pct"/>
            <w:vAlign w:val="center"/>
          </w:tcPr>
          <w:p w14:paraId="5BD3AB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6276F6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symptom(angina), CCS, EFV</w:t>
            </w:r>
          </w:p>
        </w:tc>
        <w:tc>
          <w:tcPr>
            <w:tcW w:w="454" w:type="pct"/>
            <w:vAlign w:val="center"/>
          </w:tcPr>
          <w:p w14:paraId="08EA5C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AUC 0.8743(0.864-0.883)</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external 0.853(0.831–0.875)</w:t>
            </w:r>
          </w:p>
        </w:tc>
        <w:tc>
          <w:tcPr>
            <w:tcW w:w="229" w:type="pct"/>
            <w:vAlign w:val="center"/>
          </w:tcPr>
          <w:p w14:paraId="21E0D6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00BB75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vAlign w:val="center"/>
          </w:tcPr>
          <w:p w14:paraId="5B24CF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788" w:type="pct"/>
            <w:vAlign w:val="center"/>
          </w:tcPr>
          <w:p w14:paraId="2E394F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 (MCMC and FCS)</w:t>
            </w:r>
          </w:p>
        </w:tc>
        <w:tc>
          <w:tcPr>
            <w:tcW w:w="287" w:type="pct"/>
            <w:vAlign w:val="center"/>
          </w:tcPr>
          <w:p w14:paraId="67AE67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As continuous variables and gender, diabetes mellitus, hypertension, family history of CAD, history of renal disease, and LVEF were used as categorical variables.</w:t>
            </w:r>
          </w:p>
        </w:tc>
        <w:tc>
          <w:tcPr>
            <w:tcW w:w="557" w:type="pct"/>
            <w:vAlign w:val="center"/>
          </w:tcPr>
          <w:p w14:paraId="28C00D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Backward elimination approach</w:t>
            </w:r>
          </w:p>
        </w:tc>
        <w:tc>
          <w:tcPr>
            <w:tcW w:w="387" w:type="pct"/>
            <w:vAlign w:val="center"/>
          </w:tcPr>
          <w:p w14:paraId="6AD8F3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analysis</w:t>
            </w:r>
          </w:p>
        </w:tc>
        <w:tc>
          <w:tcPr>
            <w:tcW w:w="295" w:type="pct"/>
            <w:vAlign w:val="center"/>
          </w:tcPr>
          <w:p w14:paraId="1FF0E7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77E859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 resampling (1000 times repeated), external validation in the PRECOMIN study</w:t>
            </w:r>
          </w:p>
        </w:tc>
        <w:tc>
          <w:tcPr>
            <w:tcW w:w="1078" w:type="pct"/>
            <w:vAlign w:val="center"/>
          </w:tcPr>
          <w:p w14:paraId="27B90D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weight, diabetes, hypertension, family history of CAD, LVEF</w:t>
            </w:r>
          </w:p>
        </w:tc>
        <w:tc>
          <w:tcPr>
            <w:tcW w:w="454" w:type="pct"/>
            <w:vAlign w:val="center"/>
          </w:tcPr>
          <w:p w14:paraId="0140AF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 xml:space="preserve">Development 0.687(0.676-0.697) </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 xml:space="preserve"> validation 0.677</w:t>
            </w:r>
          </w:p>
        </w:tc>
        <w:tc>
          <w:tcPr>
            <w:tcW w:w="229" w:type="pct"/>
            <w:noWrap/>
            <w:vAlign w:val="center"/>
          </w:tcPr>
          <w:p w14:paraId="29A02B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EFF38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jc w:val="center"/>
        </w:trPr>
        <w:tc>
          <w:tcPr>
            <w:tcW w:w="516" w:type="pct"/>
            <w:vAlign w:val="center"/>
          </w:tcPr>
          <w:p w14:paraId="32A664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Inouye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788" w:type="pct"/>
            <w:vAlign w:val="center"/>
          </w:tcPr>
          <w:p w14:paraId="346DAB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6E682B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D695A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3DC44D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regression</w:t>
            </w:r>
          </w:p>
        </w:tc>
        <w:tc>
          <w:tcPr>
            <w:tcW w:w="295" w:type="pct"/>
            <w:noWrap/>
            <w:vAlign w:val="center"/>
          </w:tcPr>
          <w:p w14:paraId="2ECEFC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5AFC4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vAlign w:val="center"/>
          </w:tcPr>
          <w:p w14:paraId="53214E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MetaGRS (based on 3 GRS: 1) a previously published score (GRS46K) of 46,000 SNPs derived from a genetic association study using Metabochip, a genotyping array with a focus on cardiometabolic genetic loci; 2) a score of 202 genetic variants significantly associated with CAD at false discovery rate &lt;0.05 in a recent GWAS from CARDIoGRAMplusC4D; and 3) a genome-wide polygenic score (1000Genomes) based on the same GWAS),conventional risk factors (current smoking, diagnosed diabetes, high blood pressure, high BMI, family history of heart disease, and high cholesterol)</w:t>
            </w:r>
          </w:p>
        </w:tc>
        <w:tc>
          <w:tcPr>
            <w:tcW w:w="454" w:type="pct"/>
            <w:vAlign w:val="center"/>
          </w:tcPr>
          <w:p w14:paraId="3FBB04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 c-index 0.696(0.688-0.703)</w:t>
            </w:r>
          </w:p>
        </w:tc>
        <w:tc>
          <w:tcPr>
            <w:tcW w:w="229" w:type="pct"/>
            <w:noWrap/>
            <w:vAlign w:val="center"/>
          </w:tcPr>
          <w:p w14:paraId="04B92C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37E70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303023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788" w:type="pct"/>
            <w:noWrap/>
            <w:vAlign w:val="center"/>
          </w:tcPr>
          <w:p w14:paraId="41CD7B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 (20 times)</w:t>
            </w:r>
          </w:p>
        </w:tc>
        <w:tc>
          <w:tcPr>
            <w:tcW w:w="287" w:type="pct"/>
            <w:vAlign w:val="center"/>
          </w:tcPr>
          <w:p w14:paraId="030D6C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351A1B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459E84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Ordinal regression with bootstrapping</w:t>
            </w:r>
          </w:p>
        </w:tc>
        <w:tc>
          <w:tcPr>
            <w:tcW w:w="295" w:type="pct"/>
            <w:noWrap/>
            <w:vAlign w:val="center"/>
          </w:tcPr>
          <w:p w14:paraId="6D4842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slopes</w:t>
            </w:r>
          </w:p>
        </w:tc>
        <w:tc>
          <w:tcPr>
            <w:tcW w:w="404" w:type="pct"/>
            <w:noWrap/>
            <w:vAlign w:val="center"/>
          </w:tcPr>
          <w:p w14:paraId="083269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(bootstrapping)</w:t>
            </w:r>
          </w:p>
        </w:tc>
        <w:tc>
          <w:tcPr>
            <w:tcW w:w="1078" w:type="pct"/>
            <w:noWrap/>
            <w:vAlign w:val="center"/>
          </w:tcPr>
          <w:p w14:paraId="10F3C9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chest pain, diabetes, hypertension, dyslipidemia, smoking, HDL, LDL, fibrinogen, CRP</w:t>
            </w:r>
          </w:p>
        </w:tc>
        <w:tc>
          <w:tcPr>
            <w:tcW w:w="454" w:type="pct"/>
            <w:vAlign w:val="center"/>
          </w:tcPr>
          <w:p w14:paraId="7372B2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C-statistic: 0.71 (0.69-0.73)</w:t>
            </w:r>
          </w:p>
        </w:tc>
        <w:tc>
          <w:tcPr>
            <w:tcW w:w="229" w:type="pct"/>
            <w:noWrap/>
            <w:vAlign w:val="center"/>
          </w:tcPr>
          <w:p w14:paraId="12445B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2FE1AE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04BF86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Juan Miguel Fernández-Alvira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788" w:type="pct"/>
            <w:vAlign w:val="center"/>
          </w:tcPr>
          <w:p w14:paraId="429D51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284D0C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ED8B7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4B158F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151F26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67139D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768E95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ICHS f lifestyle factors (smoking, body weight, physical activity, and diet) and 3 established risk factors (blood cholesterol, blood glucose, and blood pressure)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and FBS metrics (blood pressure [B], exercise [E], weight [W], alimentation[A], and tobacco [T])</w:t>
            </w:r>
          </w:p>
        </w:tc>
        <w:tc>
          <w:tcPr>
            <w:tcW w:w="454" w:type="pct"/>
            <w:vAlign w:val="center"/>
          </w:tcPr>
          <w:p w14:paraId="56FF24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for ICHS 0.694 (0.678-0.711)</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AUC for FBS 0.692 (0.676-0.709)</w:t>
            </w:r>
          </w:p>
        </w:tc>
        <w:tc>
          <w:tcPr>
            <w:tcW w:w="229" w:type="pct"/>
            <w:vAlign w:val="center"/>
          </w:tcPr>
          <w:p w14:paraId="152E64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02D01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7FFFF4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Tessa S.S.Genders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(2011)</w:t>
            </w:r>
          </w:p>
        </w:tc>
        <w:tc>
          <w:tcPr>
            <w:tcW w:w="788" w:type="pct"/>
            <w:noWrap/>
            <w:vAlign w:val="center"/>
          </w:tcPr>
          <w:p w14:paraId="196482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Excluded patients with missing data</w:t>
            </w:r>
          </w:p>
        </w:tc>
        <w:tc>
          <w:tcPr>
            <w:tcW w:w="287" w:type="pct"/>
            <w:vAlign w:val="center"/>
          </w:tcPr>
          <w:p w14:paraId="3FE728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202D1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611970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with bootstrapping</w:t>
            </w:r>
          </w:p>
        </w:tc>
        <w:tc>
          <w:tcPr>
            <w:tcW w:w="295" w:type="pct"/>
            <w:vAlign w:val="center"/>
          </w:tcPr>
          <w:p w14:paraId="280292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 calibration plots</w:t>
            </w:r>
          </w:p>
        </w:tc>
        <w:tc>
          <w:tcPr>
            <w:tcW w:w="404" w:type="pct"/>
            <w:noWrap/>
            <w:vAlign w:val="center"/>
          </w:tcPr>
          <w:p w14:paraId="05C3B2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noWrap/>
            <w:vAlign w:val="center"/>
          </w:tcPr>
          <w:p w14:paraId="3FB401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type of chest pain, and hospital heterogeneity</w:t>
            </w:r>
          </w:p>
        </w:tc>
        <w:tc>
          <w:tcPr>
            <w:tcW w:w="454" w:type="pct"/>
            <w:vAlign w:val="center"/>
          </w:tcPr>
          <w:p w14:paraId="77A17F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Update 0.79(0.77-0.81)</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expansion 0.82(0.80-0.84)</w:t>
            </w:r>
          </w:p>
        </w:tc>
        <w:tc>
          <w:tcPr>
            <w:tcW w:w="229" w:type="pct"/>
            <w:noWrap/>
            <w:vAlign w:val="center"/>
          </w:tcPr>
          <w:p w14:paraId="09A028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Online calculator</w:t>
            </w:r>
          </w:p>
        </w:tc>
      </w:tr>
      <w:tr w14:paraId="4F1BA9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399579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Christian Delles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788" w:type="pct"/>
            <w:noWrap/>
            <w:vAlign w:val="center"/>
          </w:tcPr>
          <w:p w14:paraId="366E4B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Excluded missing data</w:t>
            </w:r>
          </w:p>
        </w:tc>
        <w:tc>
          <w:tcPr>
            <w:tcW w:w="287" w:type="pct"/>
            <w:vAlign w:val="center"/>
          </w:tcPr>
          <w:p w14:paraId="405400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1B4C5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noWrap/>
            <w:vAlign w:val="center"/>
          </w:tcPr>
          <w:p w14:paraId="3F1A5E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SVM modeling</w:t>
            </w:r>
          </w:p>
        </w:tc>
        <w:tc>
          <w:tcPr>
            <w:tcW w:w="295" w:type="pct"/>
            <w:vAlign w:val="center"/>
          </w:tcPr>
          <w:p w14:paraId="71A29E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06AF2A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noWrap/>
            <w:vAlign w:val="center"/>
          </w:tcPr>
          <w:p w14:paraId="08FD17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238 CAD-specific polypeptides</w:t>
            </w:r>
          </w:p>
        </w:tc>
        <w:tc>
          <w:tcPr>
            <w:tcW w:w="454" w:type="pct"/>
            <w:vAlign w:val="center"/>
          </w:tcPr>
          <w:p w14:paraId="70844E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Test 0.95(0.93-0.97)</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 0.87 (0.83-0.91)</w:t>
            </w:r>
          </w:p>
        </w:tc>
        <w:tc>
          <w:tcPr>
            <w:tcW w:w="229" w:type="pct"/>
            <w:vAlign w:val="center"/>
          </w:tcPr>
          <w:p w14:paraId="1EC38D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84A8B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noWrap/>
            <w:vAlign w:val="center"/>
          </w:tcPr>
          <w:p w14:paraId="73485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Stefan Bösner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788" w:type="pct"/>
            <w:noWrap/>
            <w:vAlign w:val="center"/>
          </w:tcPr>
          <w:p w14:paraId="3931A0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Excluded missing data</w:t>
            </w:r>
          </w:p>
        </w:tc>
        <w:tc>
          <w:tcPr>
            <w:tcW w:w="287" w:type="pct"/>
            <w:noWrap/>
            <w:vAlign w:val="center"/>
          </w:tcPr>
          <w:p w14:paraId="3FDED2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Age/sex categorization</w:t>
            </w:r>
          </w:p>
        </w:tc>
        <w:tc>
          <w:tcPr>
            <w:tcW w:w="557" w:type="pct"/>
            <w:vAlign w:val="center"/>
          </w:tcPr>
          <w:p w14:paraId="6250C5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Multivariable logistic regression</w:t>
            </w:r>
          </w:p>
        </w:tc>
        <w:tc>
          <w:tcPr>
            <w:tcW w:w="387" w:type="pct"/>
            <w:noWrap/>
            <w:vAlign w:val="center"/>
          </w:tcPr>
          <w:p w14:paraId="4FB36D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295" w:type="pct"/>
            <w:vAlign w:val="center"/>
          </w:tcPr>
          <w:p w14:paraId="3171F0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7B162C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external validation</w:t>
            </w:r>
          </w:p>
        </w:tc>
        <w:tc>
          <w:tcPr>
            <w:tcW w:w="1078" w:type="pct"/>
            <w:noWrap/>
            <w:vAlign w:val="center"/>
          </w:tcPr>
          <w:p w14:paraId="1CBCF1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Age/sex, known vascular disease, pain on exercise, non-reproducible pain</w:t>
            </w:r>
          </w:p>
        </w:tc>
        <w:tc>
          <w:tcPr>
            <w:tcW w:w="454" w:type="pct"/>
            <w:vAlign w:val="center"/>
          </w:tcPr>
          <w:p w14:paraId="17847B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Test 0.87(0.83-0.91)</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 0.90(0.87-0.93)</w:t>
            </w:r>
          </w:p>
        </w:tc>
        <w:tc>
          <w:tcPr>
            <w:tcW w:w="229" w:type="pct"/>
            <w:vAlign w:val="center"/>
          </w:tcPr>
          <w:p w14:paraId="5076CA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450A7C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5EC8CF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Dragana Lakic BPharm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788" w:type="pct"/>
            <w:vAlign w:val="center"/>
          </w:tcPr>
          <w:p w14:paraId="58D3F3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562D31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ECFC9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logistic regression</w:t>
            </w:r>
          </w:p>
        </w:tc>
        <w:tc>
          <w:tcPr>
            <w:tcW w:w="387" w:type="pct"/>
            <w:vAlign w:val="center"/>
          </w:tcPr>
          <w:p w14:paraId="24684B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50124C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690968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9065D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FRS(calculation of gender, age, TC, triglycerides, HDL-C, LDL-C, SBP, hypertension treatment and smoking), SOD, O2-</w:t>
            </w:r>
          </w:p>
        </w:tc>
        <w:tc>
          <w:tcPr>
            <w:tcW w:w="454" w:type="pct"/>
            <w:vAlign w:val="center"/>
          </w:tcPr>
          <w:p w14:paraId="743C3B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0.924(0.894-0.955)</w:t>
            </w:r>
          </w:p>
        </w:tc>
        <w:tc>
          <w:tcPr>
            <w:tcW w:w="229" w:type="pct"/>
            <w:vAlign w:val="center"/>
          </w:tcPr>
          <w:p w14:paraId="45BBE5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3C604AF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35406F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Zufei Wu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788" w:type="pct"/>
            <w:vAlign w:val="center"/>
          </w:tcPr>
          <w:p w14:paraId="03FDB5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w:t>
            </w:r>
          </w:p>
        </w:tc>
        <w:tc>
          <w:tcPr>
            <w:tcW w:w="287" w:type="pct"/>
            <w:vAlign w:val="center"/>
          </w:tcPr>
          <w:p w14:paraId="3716B0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Defining age and neutrophil counts into segmented categories.</w:t>
            </w:r>
          </w:p>
        </w:tc>
        <w:tc>
          <w:tcPr>
            <w:tcW w:w="557" w:type="pct"/>
            <w:vAlign w:val="center"/>
          </w:tcPr>
          <w:p w14:paraId="7C877C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logistic regression</w:t>
            </w:r>
          </w:p>
        </w:tc>
        <w:tc>
          <w:tcPr>
            <w:tcW w:w="387" w:type="pct"/>
            <w:vAlign w:val="center"/>
          </w:tcPr>
          <w:p w14:paraId="74B107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466C3A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40FA4C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(7:3 split)</w:t>
            </w:r>
          </w:p>
        </w:tc>
        <w:tc>
          <w:tcPr>
            <w:tcW w:w="1078" w:type="pct"/>
            <w:vAlign w:val="center"/>
          </w:tcPr>
          <w:p w14:paraId="5D5B41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 diabetes, ECG ST-T changes, neutrophils, coronary artery calcification, and typical chest pain</w:t>
            </w:r>
          </w:p>
        </w:tc>
        <w:tc>
          <w:tcPr>
            <w:tcW w:w="454" w:type="pct"/>
            <w:vAlign w:val="center"/>
          </w:tcPr>
          <w:p w14:paraId="10F3DE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C-index: experimental cohort 0.909</w:t>
            </w:r>
            <w:r>
              <w:rPr>
                <w:rStyle w:val="5"/>
                <w:rFonts w:hint="default"/>
                <w:lang w:bidi="ar"/>
              </w:rPr>
              <w:t>(</w:t>
            </w:r>
            <w:r>
              <w:rPr>
                <w:rFonts w:ascii="Times New Roman" w:hAnsi="Times New Roman" w:eastAsia="宋体" w:cs="Times New Roman"/>
                <w:color w:val="000000"/>
                <w:kern w:val="0"/>
                <w:sz w:val="20"/>
                <w:szCs w:val="20"/>
                <w:lang w:bidi="ar"/>
              </w:rPr>
              <w:t>0.894-0.925)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validation cohort 0.897</w:t>
            </w:r>
          </w:p>
        </w:tc>
        <w:tc>
          <w:tcPr>
            <w:tcW w:w="229" w:type="pct"/>
            <w:vAlign w:val="center"/>
          </w:tcPr>
          <w:p w14:paraId="76A894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184C19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vAlign w:val="center"/>
          </w:tcPr>
          <w:p w14:paraId="5528DA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Yongjin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788" w:type="pct"/>
            <w:vAlign w:val="center"/>
          </w:tcPr>
          <w:p w14:paraId="1B4967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6A1B01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91891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 regression</w:t>
            </w:r>
          </w:p>
        </w:tc>
        <w:tc>
          <w:tcPr>
            <w:tcW w:w="387" w:type="pct"/>
            <w:vAlign w:val="center"/>
          </w:tcPr>
          <w:p w14:paraId="2E97F2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XGBoost model</w:t>
            </w:r>
          </w:p>
        </w:tc>
        <w:tc>
          <w:tcPr>
            <w:tcW w:w="295" w:type="pct"/>
            <w:vAlign w:val="center"/>
          </w:tcPr>
          <w:p w14:paraId="163591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202994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(7:3 split and 5-fold cross-validation)</w:t>
            </w:r>
          </w:p>
        </w:tc>
        <w:tc>
          <w:tcPr>
            <w:tcW w:w="1078" w:type="pct"/>
            <w:vAlign w:val="center"/>
          </w:tcPr>
          <w:p w14:paraId="76326B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 xml:space="preserve">10 features (including SFA, n-3 PUFA, MUFA, history of hypertension, diabetes, nervonic acid, lignoceric acid, </w:t>
            </w:r>
            <w:r>
              <w:rPr>
                <w:rFonts w:hint="eastAsia" w:ascii="Times New Roman" w:hAnsi="Times New Roman" w:eastAsia="宋体" w:cs="Times New Roman"/>
                <w:color w:val="000000"/>
                <w:kern w:val="0"/>
                <w:sz w:val="20"/>
                <w:szCs w:val="20"/>
                <w:lang w:bidi="ar"/>
              </w:rPr>
              <w:t>docosanedioic</w:t>
            </w:r>
            <w:r>
              <w:rPr>
                <w:rFonts w:ascii="Times New Roman" w:hAnsi="Times New Roman" w:eastAsia="宋体" w:cs="Times New Roman"/>
                <w:color w:val="000000"/>
                <w:kern w:val="0"/>
                <w:sz w:val="20"/>
                <w:szCs w:val="20"/>
                <w:lang w:bidi="ar"/>
              </w:rPr>
              <w:t xml:space="preserve"> acid, 20:5n-3 EPA, and alcohol)</w:t>
            </w:r>
          </w:p>
        </w:tc>
        <w:tc>
          <w:tcPr>
            <w:tcW w:w="454" w:type="pct"/>
            <w:vAlign w:val="center"/>
          </w:tcPr>
          <w:p w14:paraId="073FFF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Training 0.910 (0.883-0.940)</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test 0.865 (0.818-0.918)</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refresh model training 0.985 test 0.896 validation 0.885</w:t>
            </w:r>
          </w:p>
        </w:tc>
        <w:tc>
          <w:tcPr>
            <w:tcW w:w="229" w:type="pct"/>
            <w:vAlign w:val="center"/>
          </w:tcPr>
          <w:p w14:paraId="3D30E8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Online computing platform</w:t>
            </w:r>
          </w:p>
        </w:tc>
      </w:tr>
      <w:tr w14:paraId="328141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3A85B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Runlu Sun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788" w:type="pct"/>
            <w:vAlign w:val="center"/>
          </w:tcPr>
          <w:p w14:paraId="36FBD6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76587B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3B8599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 regression and logistic regression</w:t>
            </w:r>
          </w:p>
        </w:tc>
        <w:tc>
          <w:tcPr>
            <w:tcW w:w="387" w:type="pct"/>
            <w:vAlign w:val="center"/>
          </w:tcPr>
          <w:p w14:paraId="0F5864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4D03A2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1F74C6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(10-fold cross-validation)</w:t>
            </w:r>
          </w:p>
        </w:tc>
        <w:tc>
          <w:tcPr>
            <w:tcW w:w="1078" w:type="pct"/>
            <w:vAlign w:val="center"/>
          </w:tcPr>
          <w:p w14:paraId="5DE16E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7 variables (BMI, history of PCAD, glucose, ApoA1, HDL-C, TC, and triglyceride)</w:t>
            </w:r>
          </w:p>
        </w:tc>
        <w:tc>
          <w:tcPr>
            <w:tcW w:w="454" w:type="pct"/>
            <w:vAlign w:val="center"/>
          </w:tcPr>
          <w:p w14:paraId="2C5FAD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=0.8745 (0</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8258-0.9232)</w:t>
            </w:r>
          </w:p>
        </w:tc>
        <w:tc>
          <w:tcPr>
            <w:tcW w:w="229" w:type="pct"/>
            <w:vAlign w:val="center"/>
          </w:tcPr>
          <w:p w14:paraId="6D8C17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5C5A56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516" w:type="pct"/>
            <w:vAlign w:val="center"/>
          </w:tcPr>
          <w:p w14:paraId="23B581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Wenqian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053F6A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 method</w:t>
            </w:r>
          </w:p>
        </w:tc>
        <w:tc>
          <w:tcPr>
            <w:tcW w:w="287" w:type="pct"/>
            <w:vAlign w:val="center"/>
          </w:tcPr>
          <w:p w14:paraId="6CF7FC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For simplicity, age, LVEF, and hs-cTnI were coded as dichotomous variables. Age was transformed into a binary variable according to the best cut-off value used to diagnose functionally significant CAD. LVEF was transformed into a binary variable with a cut-off value of 55% according to the British Society of Echocardiography guideline; meanwhile, LVEF 55% was also the best cut-off value used to diagnose functionally significant CAD. And the elevated hs-cTnI was defined when it is above the upper limit of the 99th percentile for the healthy population (34.2 ng/L for men, 15.6 ng/L for women).</w:t>
            </w:r>
          </w:p>
        </w:tc>
        <w:tc>
          <w:tcPr>
            <w:tcW w:w="557" w:type="pct"/>
            <w:vAlign w:val="center"/>
          </w:tcPr>
          <w:p w14:paraId="00AEA6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Univariate and multivariate logistic regression analysis</w:t>
            </w:r>
          </w:p>
        </w:tc>
        <w:tc>
          <w:tcPr>
            <w:tcW w:w="387" w:type="pct"/>
            <w:vAlign w:val="center"/>
          </w:tcPr>
          <w:p w14:paraId="472803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Multivariate stepwise regression analysis</w:t>
            </w:r>
          </w:p>
        </w:tc>
        <w:tc>
          <w:tcPr>
            <w:tcW w:w="295" w:type="pct"/>
            <w:vAlign w:val="center"/>
          </w:tcPr>
          <w:p w14:paraId="6509D3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44F0A5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 with 1000 replicates), external validation</w:t>
            </w:r>
          </w:p>
        </w:tc>
        <w:tc>
          <w:tcPr>
            <w:tcW w:w="1078" w:type="pct"/>
            <w:vAlign w:val="center"/>
          </w:tcPr>
          <w:p w14:paraId="5EF7EB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hyperlipidemia, hs-cTnI, LVEF</w:t>
            </w:r>
          </w:p>
        </w:tc>
        <w:tc>
          <w:tcPr>
            <w:tcW w:w="454" w:type="pct"/>
            <w:vAlign w:val="center"/>
          </w:tcPr>
          <w:p w14:paraId="680B39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Derivation cohort: AUC 0.807 (0</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760-0.855)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external validation cohort: AUC 0.704 (0.570-0.838)</w:t>
            </w:r>
          </w:p>
        </w:tc>
        <w:tc>
          <w:tcPr>
            <w:tcW w:w="229" w:type="pct"/>
            <w:vAlign w:val="center"/>
          </w:tcPr>
          <w:p w14:paraId="11B809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549646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10B35B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Sadiya S. Khan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4BD7D7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328059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0105C3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553CAF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models</w:t>
            </w:r>
          </w:p>
        </w:tc>
        <w:tc>
          <w:tcPr>
            <w:tcW w:w="295" w:type="pct"/>
            <w:vAlign w:val="center"/>
          </w:tcPr>
          <w:p w14:paraId="141D25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Greenwood-Nam D’Agostino χ2 test</w:t>
            </w:r>
          </w:p>
        </w:tc>
        <w:tc>
          <w:tcPr>
            <w:tcW w:w="404" w:type="pct"/>
            <w:vAlign w:val="center"/>
          </w:tcPr>
          <w:p w14:paraId="3D472F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and external validation (MESA and RS)</w:t>
            </w:r>
          </w:p>
        </w:tc>
        <w:tc>
          <w:tcPr>
            <w:tcW w:w="1078" w:type="pct"/>
            <w:vAlign w:val="center"/>
          </w:tcPr>
          <w:p w14:paraId="6EE7E5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(PCEs include age,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sex, smoking status (current vs none or former), SBP, TC, HDL-C, type 2 diabetes status, and treatment for hypertension for adults aged 45 through 79 years), CACS.</w:t>
            </w:r>
          </w:p>
        </w:tc>
        <w:tc>
          <w:tcPr>
            <w:tcW w:w="454" w:type="pct"/>
            <w:vAlign w:val="center"/>
          </w:tcPr>
          <w:p w14:paraId="514DB1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MESA: C statistic 0.76(0.71-0.79)</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RS: C statistic 0.78 (0.73-0.81)</w:t>
            </w:r>
          </w:p>
        </w:tc>
        <w:tc>
          <w:tcPr>
            <w:tcW w:w="229" w:type="pct"/>
            <w:vAlign w:val="center"/>
          </w:tcPr>
          <w:p w14:paraId="2CABC4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4954F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241C04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Simon Winther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61E783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09B8C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0AA24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6A39AF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models</w:t>
            </w:r>
          </w:p>
        </w:tc>
        <w:tc>
          <w:tcPr>
            <w:tcW w:w="295" w:type="pct"/>
            <w:vAlign w:val="center"/>
          </w:tcPr>
          <w:p w14:paraId="41FE73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9B3EB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(WDHR and PROMISE)</w:t>
            </w:r>
          </w:p>
        </w:tc>
        <w:tc>
          <w:tcPr>
            <w:tcW w:w="1078" w:type="pct"/>
            <w:vAlign w:val="center"/>
          </w:tcPr>
          <w:p w14:paraId="666DCB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 sex, family history, smoking, dyslipidemia, hypertension, and diabetes), CACS</w:t>
            </w:r>
          </w:p>
        </w:tc>
        <w:tc>
          <w:tcPr>
            <w:tcW w:w="454" w:type="pct"/>
            <w:vAlign w:val="center"/>
          </w:tcPr>
          <w:p w14:paraId="1D2855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RF-CL model: Harrell’s C-statistic 0.64 (0.63-0.65)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CACS-CL model: Harrell’s C-statistic 0.69 (0.67-0.70)</w:t>
            </w:r>
          </w:p>
        </w:tc>
        <w:tc>
          <w:tcPr>
            <w:tcW w:w="229" w:type="pct"/>
            <w:vAlign w:val="center"/>
          </w:tcPr>
          <w:p w14:paraId="2F61C3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E1EE6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516" w:type="pct"/>
            <w:vAlign w:val="center"/>
          </w:tcPr>
          <w:p w14:paraId="7F0B57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Austin King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71194D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Imputation method</w:t>
            </w:r>
          </w:p>
        </w:tc>
        <w:tc>
          <w:tcPr>
            <w:tcW w:w="287" w:type="pct"/>
            <w:vAlign w:val="center"/>
          </w:tcPr>
          <w:p w14:paraId="72C0CA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91BE3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6DFC0E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models</w:t>
            </w:r>
          </w:p>
        </w:tc>
        <w:tc>
          <w:tcPr>
            <w:tcW w:w="295" w:type="pct"/>
            <w:vAlign w:val="center"/>
          </w:tcPr>
          <w:p w14:paraId="79C0F8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7B0B49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7B20F9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PRS for CAD was derived as weighted sums of risk alleles using 3 CAD GWAS datasets (CARDIoGRAMplusC4D, FinnGen Biobank, Japan Biobank) that had no overlap with the present UKB study. The 3 GWAS datasets were filtered to only include SNPs present in the imputed UKB data. For all datasets, we aligned β and allele frequencies to the hg19 alternate allele. First, we performed a fixed-effect meta-analysis focused on GWAS datasets with subjects of European ancestry, specifically the CARDIoGRAMplusC4D and FinnGen datasets. Second, the PRSs were calculated by using either Japan Biobank data or combined European data and their corresponding population-specific 1000 Genome Project constructed reference panels.</w:t>
            </w:r>
          </w:p>
        </w:tc>
        <w:tc>
          <w:tcPr>
            <w:tcW w:w="454" w:type="pct"/>
            <w:vAlign w:val="center"/>
          </w:tcPr>
          <w:p w14:paraId="3B1701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PRS 0.640</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(0.634-0.646)</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PCE 0.718</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(0.713-0.723)</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PRS+PCE 0.753</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(0.748-0.758)</w:t>
            </w:r>
          </w:p>
        </w:tc>
        <w:tc>
          <w:tcPr>
            <w:tcW w:w="229" w:type="pct"/>
            <w:vAlign w:val="center"/>
          </w:tcPr>
          <w:p w14:paraId="7CAE84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39DC4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516" w:type="pct"/>
            <w:vAlign w:val="center"/>
          </w:tcPr>
          <w:p w14:paraId="127773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Casper G.M.J. Eurlings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0B9870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721F5E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387248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135459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Machine-learning model</w:t>
            </w:r>
          </w:p>
        </w:tc>
        <w:tc>
          <w:tcPr>
            <w:tcW w:w="295" w:type="pct"/>
            <w:vAlign w:val="center"/>
          </w:tcPr>
          <w:p w14:paraId="25EB04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4428C0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 validation</w:t>
            </w:r>
          </w:p>
        </w:tc>
        <w:tc>
          <w:tcPr>
            <w:tcW w:w="1078" w:type="pct"/>
            <w:vAlign w:val="center"/>
          </w:tcPr>
          <w:p w14:paraId="6A7593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Clinical: age, sex, weight, height, presence and type of chest pain, diabetes, nicotine use, pathological Q-waves (at ECG), systolic and diastolic blood pressure and relevant medication like statin use; laboratory results: MCHC, white blood cells, urea, uric acid, troponin, glucose, TC, LDL-C, HDL-C, ALAT, alkaline phosphatase, amylase, total protein, albumin and bilirubin. Three of these input variables (pathological Q-waves, white blood cells, and MCHC) were not available in the data collected in the CVC cohort, and the missing values were replaced with a constant value within the normal range. Missing values in BMI (n=205), SBP</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 xml:space="preserve"> and DBP (n=73) variables were replaced by the median value within </w:t>
            </w:r>
            <w:r>
              <w:rPr>
                <w:rFonts w:hint="eastAsia" w:ascii="Times New Roman" w:hAnsi="Times New Roman" w:eastAsia="宋体" w:cs="Times New Roman"/>
                <w:color w:val="000000"/>
                <w:kern w:val="0"/>
                <w:sz w:val="20"/>
                <w:szCs w:val="20"/>
                <w:lang w:bidi="ar"/>
              </w:rPr>
              <w:t xml:space="preserve">the </w:t>
            </w:r>
            <w:r>
              <w:rPr>
                <w:rFonts w:ascii="Times New Roman" w:hAnsi="Times New Roman" w:eastAsia="宋体" w:cs="Times New Roman"/>
                <w:color w:val="000000"/>
                <w:kern w:val="0"/>
                <w:sz w:val="20"/>
                <w:szCs w:val="20"/>
                <w:lang w:bidi="ar"/>
              </w:rPr>
              <w:t>corresponding age group and sex. Missing values regarding smoking (n=140) were replaced with 0 (non-smoker).</w:t>
            </w:r>
          </w:p>
        </w:tc>
        <w:tc>
          <w:tcPr>
            <w:tcW w:w="454" w:type="pct"/>
            <w:vAlign w:val="center"/>
          </w:tcPr>
          <w:p w14:paraId="3BAC6F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MPA 0.87</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(0.84-0.91)</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PTP 0.80</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(0.76-0.85)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CAD2 0.82</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(0.79-0.85)</w:t>
            </w:r>
          </w:p>
        </w:tc>
        <w:tc>
          <w:tcPr>
            <w:tcW w:w="229" w:type="pct"/>
            <w:vAlign w:val="center"/>
          </w:tcPr>
          <w:p w14:paraId="613CC6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1CF0DF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069273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Juntae Kim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3B6DE5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MissForest algorithm for imputation of missing values in the ML models, except for boosting algorithms</w:t>
            </w:r>
          </w:p>
        </w:tc>
        <w:tc>
          <w:tcPr>
            <w:tcW w:w="287" w:type="pct"/>
            <w:vAlign w:val="center"/>
          </w:tcPr>
          <w:p w14:paraId="01FD19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5D2D6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6489A1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Eight machine learning algorithms (CatBoost, XGBoost, etc.)</w:t>
            </w:r>
          </w:p>
        </w:tc>
        <w:tc>
          <w:tcPr>
            <w:tcW w:w="295" w:type="pct"/>
            <w:vAlign w:val="center"/>
          </w:tcPr>
          <w:p w14:paraId="0F0655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0118E4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(80% training, 20% validation)</w:t>
            </w:r>
          </w:p>
        </w:tc>
        <w:tc>
          <w:tcPr>
            <w:tcW w:w="1078" w:type="pct"/>
            <w:vAlign w:val="center"/>
          </w:tcPr>
          <w:p w14:paraId="32FD9E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cardiovascular risk factors [hypertension, diabetes, dyslipidemia, CKD, and smoking status], and biomarkers [HbA1c, creatinine clearance, high</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sensitivity cardiac troponin T, and lipid profile].</w:t>
            </w:r>
          </w:p>
        </w:tc>
        <w:tc>
          <w:tcPr>
            <w:tcW w:w="454" w:type="pct"/>
            <w:vAlign w:val="center"/>
          </w:tcPr>
          <w:p w14:paraId="46C5B2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CatBoost AUROC 0.796</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(0.74-0.853)</w:t>
            </w:r>
          </w:p>
        </w:tc>
        <w:tc>
          <w:tcPr>
            <w:tcW w:w="229" w:type="pct"/>
            <w:vAlign w:val="center"/>
          </w:tcPr>
          <w:p w14:paraId="296183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5A322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5FB2B9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Bao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6691B5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7EF52A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E6DA9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LASSO regression and multivariable logistic regression</w:t>
            </w:r>
          </w:p>
        </w:tc>
        <w:tc>
          <w:tcPr>
            <w:tcW w:w="387" w:type="pct"/>
            <w:vAlign w:val="center"/>
          </w:tcPr>
          <w:p w14:paraId="70133E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w:t>
            </w:r>
          </w:p>
        </w:tc>
        <w:tc>
          <w:tcPr>
            <w:tcW w:w="295" w:type="pct"/>
            <w:vAlign w:val="center"/>
          </w:tcPr>
          <w:p w14:paraId="2D5FAF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4ADCA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(enhanced bootstrapping validation, 500 bootstrap resamples)</w:t>
            </w:r>
          </w:p>
        </w:tc>
        <w:tc>
          <w:tcPr>
            <w:tcW w:w="1078" w:type="pct"/>
            <w:vAlign w:val="center"/>
          </w:tcPr>
          <w:p w14:paraId="0F1489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SRS ≥ 4, SMS ≥ 2, STS ≥ 2, hypertension, diabetes, hyperlipidemia</w:t>
            </w:r>
          </w:p>
        </w:tc>
        <w:tc>
          <w:tcPr>
            <w:tcW w:w="454" w:type="pct"/>
            <w:vAlign w:val="center"/>
          </w:tcPr>
          <w:p w14:paraId="21F2FB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0.795 (0.741-0.843)</w:t>
            </w:r>
          </w:p>
        </w:tc>
        <w:tc>
          <w:tcPr>
            <w:tcW w:w="229" w:type="pct"/>
            <w:vAlign w:val="center"/>
          </w:tcPr>
          <w:p w14:paraId="01AC2F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Nomogram</w:t>
            </w:r>
          </w:p>
        </w:tc>
      </w:tr>
      <w:tr w14:paraId="573E81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516" w:type="pct"/>
            <w:vAlign w:val="center"/>
          </w:tcPr>
          <w:p w14:paraId="1E7784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Chenchi Chang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6A3521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135975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9FC0F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w:t>
            </w:r>
          </w:p>
        </w:tc>
        <w:tc>
          <w:tcPr>
            <w:tcW w:w="387" w:type="pct"/>
            <w:vAlign w:val="center"/>
          </w:tcPr>
          <w:p w14:paraId="05F04C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Machine learning models (decision tree, random forest, SVM, XGBoost, lightGBM)</w:t>
            </w:r>
          </w:p>
        </w:tc>
        <w:tc>
          <w:tcPr>
            <w:tcW w:w="295" w:type="pct"/>
            <w:vAlign w:val="center"/>
          </w:tcPr>
          <w:p w14:paraId="6EA87A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506A94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(5-fold cross-validation)</w:t>
            </w:r>
          </w:p>
        </w:tc>
        <w:tc>
          <w:tcPr>
            <w:tcW w:w="1078" w:type="pct"/>
            <w:vAlign w:val="center"/>
          </w:tcPr>
          <w:p w14:paraId="23C284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hypertension, hyperglycemia, diabetes, ESRD, smoking, drinking, TC, HDL-C, LDL-C, TG, AACT</w:t>
            </w:r>
          </w:p>
        </w:tc>
        <w:tc>
          <w:tcPr>
            <w:tcW w:w="454" w:type="pct"/>
            <w:vAlign w:val="center"/>
          </w:tcPr>
          <w:p w14:paraId="786963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LightGBM AUC 0.822 (0.77-0.874)</w:t>
            </w:r>
          </w:p>
        </w:tc>
        <w:tc>
          <w:tcPr>
            <w:tcW w:w="229" w:type="pct"/>
            <w:vAlign w:val="center"/>
          </w:tcPr>
          <w:p w14:paraId="7E09C1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13183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jc w:val="center"/>
        </w:trPr>
        <w:tc>
          <w:tcPr>
            <w:tcW w:w="516" w:type="pct"/>
            <w:vAlign w:val="center"/>
          </w:tcPr>
          <w:p w14:paraId="13F938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5AFD30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3E3206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03C06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39C1B6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w:t>
            </w:r>
          </w:p>
        </w:tc>
        <w:tc>
          <w:tcPr>
            <w:tcW w:w="295" w:type="pct"/>
            <w:vAlign w:val="center"/>
          </w:tcPr>
          <w:p w14:paraId="577CB3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660E29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486BBC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symptom typicality, diabetes, hypertension, hyperlipidemia, smoking status, CAC</w:t>
            </w:r>
          </w:p>
        </w:tc>
        <w:tc>
          <w:tcPr>
            <w:tcW w:w="454" w:type="pct"/>
            <w:vAlign w:val="center"/>
          </w:tcPr>
          <w:p w14:paraId="682D10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CAD2 clinical model AUC 0.718 (0.668-0.767)</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CAD2 extended model AUC 0.896 (0.867-0.925)</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LAH clinical model AUC 0.767 (0.721-0.814)</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LAH extended model AUC 0.926 (0.900-0.951)</w:t>
            </w:r>
          </w:p>
        </w:tc>
        <w:tc>
          <w:tcPr>
            <w:tcW w:w="229" w:type="pct"/>
            <w:vAlign w:val="center"/>
          </w:tcPr>
          <w:p w14:paraId="23F09F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192DEB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516" w:type="pct"/>
            <w:vAlign w:val="center"/>
          </w:tcPr>
          <w:p w14:paraId="4389EC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Saaket Agrawal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788" w:type="pct"/>
            <w:vAlign w:val="center"/>
          </w:tcPr>
          <w:p w14:paraId="1D435A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3BEDCC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CC609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Elastic net regularized Cox regression</w:t>
            </w:r>
          </w:p>
        </w:tc>
        <w:tc>
          <w:tcPr>
            <w:tcW w:w="387" w:type="pct"/>
            <w:vAlign w:val="center"/>
          </w:tcPr>
          <w:p w14:paraId="445F3F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ML4HEN-COX model</w:t>
            </w:r>
          </w:p>
        </w:tc>
        <w:tc>
          <w:tcPr>
            <w:tcW w:w="295" w:type="pct"/>
            <w:vAlign w:val="center"/>
          </w:tcPr>
          <w:p w14:paraId="1509DB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3634D8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(5-fold cross-validation)</w:t>
            </w:r>
          </w:p>
        </w:tc>
        <w:tc>
          <w:tcPr>
            <w:tcW w:w="1078" w:type="pct"/>
            <w:vAlign w:val="center"/>
          </w:tcPr>
          <w:p w14:paraId="245899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51 predictors(age, sex, smoking status, alcohol intake, hypertension (self-reported), lipid-lowering medication, diabetes, hypertension, BP-lowering medication, SBP, hip circumference, waist circumference, GPSCAD, PC, HDL-C, glycated hemoglobin, LDL-C, testosterone, ApoB, cystatin C, Lp(a), neutrophil count, ApoA, alkaline phosphatase, CRP, monocyte count, triglycerides, red blood cell distribution width, reticulocyte percentage, alanine aminotransferase, basophil count, total protein, calcium, total bilirubin, mean sphered cell volume, white blood cell count, mean corpuscular volume, monocyte percentage, hemoglobin concentration, albumin, urate, platelet crit, etc.)</w:t>
            </w:r>
          </w:p>
        </w:tc>
        <w:tc>
          <w:tcPr>
            <w:tcW w:w="454" w:type="pct"/>
            <w:vAlign w:val="center"/>
          </w:tcPr>
          <w:p w14:paraId="761771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Holdout 0.796 (0.784-0.809)</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development 0.790 (0.783-0.797)</w:t>
            </w:r>
          </w:p>
        </w:tc>
        <w:tc>
          <w:tcPr>
            <w:tcW w:w="229" w:type="pct"/>
            <w:vAlign w:val="center"/>
          </w:tcPr>
          <w:p w14:paraId="7C6DBE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F27E46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6" w:hRule="atLeast"/>
          <w:jc w:val="center"/>
        </w:trPr>
        <w:tc>
          <w:tcPr>
            <w:tcW w:w="516" w:type="pct"/>
            <w:vAlign w:val="center"/>
          </w:tcPr>
          <w:p w14:paraId="119D55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vAlign w:val="center"/>
          </w:tcPr>
          <w:p w14:paraId="5BEFEF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1ED192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8ED3E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7072F3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04FA59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135900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and external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(10-fold cross-validation)</w:t>
            </w:r>
          </w:p>
        </w:tc>
        <w:tc>
          <w:tcPr>
            <w:tcW w:w="1078" w:type="pct"/>
            <w:vAlign w:val="center"/>
          </w:tcPr>
          <w:p w14:paraId="5882EC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SNPs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(UKB 1940, EB 375822, DE 3423987)</w:t>
            </w:r>
          </w:p>
        </w:tc>
        <w:tc>
          <w:tcPr>
            <w:tcW w:w="454" w:type="pct"/>
            <w:vAlign w:val="center"/>
          </w:tcPr>
          <w:p w14:paraId="31B269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DEmodel</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DE</w:t>
            </w:r>
            <w:r>
              <w:rPr>
                <w:rStyle w:val="5"/>
                <w:rFonts w:hint="default"/>
                <w:lang w:bidi="ar"/>
              </w:rPr>
              <w:t>：</w:t>
            </w:r>
            <w:r>
              <w:rPr>
                <w:rFonts w:ascii="Times New Roman" w:hAnsi="Times New Roman" w:eastAsia="宋体" w:cs="Times New Roman"/>
                <w:color w:val="000000"/>
                <w:kern w:val="0"/>
                <w:sz w:val="20"/>
                <w:szCs w:val="20"/>
                <w:lang w:bidi="ar"/>
              </w:rPr>
              <w:t>0.6752(0.6612-0.6891) EB</w:t>
            </w:r>
            <w:r>
              <w:rPr>
                <w:rStyle w:val="5"/>
                <w:rFonts w:hint="default"/>
                <w:lang w:bidi="ar"/>
              </w:rPr>
              <w:t>：</w:t>
            </w:r>
            <w:r>
              <w:rPr>
                <w:rFonts w:ascii="Times New Roman" w:hAnsi="Times New Roman" w:eastAsia="宋体" w:cs="Times New Roman"/>
                <w:color w:val="000000"/>
                <w:kern w:val="0"/>
                <w:sz w:val="20"/>
                <w:szCs w:val="20"/>
                <w:lang w:bidi="ar"/>
              </w:rPr>
              <w:t>0.6156(0.5963-0.6349) UKB</w:t>
            </w:r>
            <w:r>
              <w:rPr>
                <w:rStyle w:val="5"/>
                <w:rFonts w:hint="default"/>
                <w:lang w:bidi="ar"/>
              </w:rPr>
              <w:t>：</w:t>
            </w:r>
            <w:r>
              <w:rPr>
                <w:rFonts w:ascii="Times New Roman" w:hAnsi="Times New Roman" w:eastAsia="宋体" w:cs="Times New Roman"/>
                <w:color w:val="000000"/>
                <w:kern w:val="0"/>
                <w:sz w:val="20"/>
                <w:szCs w:val="20"/>
                <w:lang w:bidi="ar"/>
              </w:rPr>
              <w:t>0.5989(0.5950-0.6028)</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EBmodel</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EB</w:t>
            </w:r>
            <w:r>
              <w:rPr>
                <w:rStyle w:val="5"/>
                <w:rFonts w:hint="default"/>
                <w:lang w:bidi="ar"/>
              </w:rPr>
              <w:t>：</w:t>
            </w:r>
            <w:r>
              <w:rPr>
                <w:rFonts w:ascii="Times New Roman" w:hAnsi="Times New Roman" w:eastAsia="宋体" w:cs="Times New Roman"/>
                <w:color w:val="000000"/>
                <w:kern w:val="0"/>
                <w:sz w:val="20"/>
                <w:szCs w:val="20"/>
                <w:lang w:bidi="ar"/>
              </w:rPr>
              <w:t>0.6565(0.6369-0.6760) DE</w:t>
            </w:r>
            <w:r>
              <w:rPr>
                <w:rStyle w:val="5"/>
                <w:rFonts w:hint="default"/>
                <w:lang w:bidi="ar"/>
              </w:rPr>
              <w:t>：</w:t>
            </w:r>
            <w:r>
              <w:rPr>
                <w:rFonts w:ascii="Times New Roman" w:hAnsi="Times New Roman" w:eastAsia="宋体" w:cs="Times New Roman"/>
                <w:color w:val="000000"/>
                <w:kern w:val="0"/>
                <w:sz w:val="20"/>
                <w:szCs w:val="20"/>
                <w:lang w:bidi="ar"/>
              </w:rPr>
              <w:t>0.5407(0.5253-0.5561)</w:t>
            </w:r>
            <w:r>
              <w:rPr>
                <w:rStyle w:val="5"/>
                <w:rFonts w:hint="default"/>
                <w:lang w:bidi="ar"/>
              </w:rPr>
              <w:t xml:space="preserve"> </w:t>
            </w:r>
            <w:r>
              <w:rPr>
                <w:rFonts w:ascii="Times New Roman" w:hAnsi="Times New Roman" w:eastAsia="宋体" w:cs="Times New Roman"/>
                <w:color w:val="000000"/>
                <w:kern w:val="0"/>
                <w:sz w:val="20"/>
                <w:szCs w:val="20"/>
                <w:lang w:bidi="ar"/>
              </w:rPr>
              <w:t>UKB</w:t>
            </w:r>
            <w:r>
              <w:rPr>
                <w:rStyle w:val="5"/>
                <w:rFonts w:hint="default"/>
                <w:lang w:bidi="ar"/>
              </w:rPr>
              <w:t>：</w:t>
            </w:r>
            <w:r>
              <w:rPr>
                <w:rFonts w:ascii="Times New Roman" w:hAnsi="Times New Roman" w:eastAsia="宋体" w:cs="Times New Roman"/>
                <w:color w:val="000000"/>
                <w:kern w:val="0"/>
                <w:sz w:val="20"/>
                <w:szCs w:val="20"/>
                <w:lang w:bidi="ar"/>
              </w:rPr>
              <w:t>0.6043(0.6004-0.6082)</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UKBmodel</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UKB</w:t>
            </w:r>
            <w:r>
              <w:rPr>
                <w:rStyle w:val="5"/>
                <w:rFonts w:hint="default"/>
                <w:lang w:bidi="ar"/>
              </w:rPr>
              <w:t>：</w:t>
            </w:r>
            <w:r>
              <w:rPr>
                <w:rFonts w:ascii="Times New Roman" w:hAnsi="Times New Roman" w:eastAsia="宋体" w:cs="Times New Roman"/>
                <w:color w:val="000000"/>
                <w:kern w:val="0"/>
                <w:sz w:val="20"/>
                <w:szCs w:val="20"/>
                <w:lang w:bidi="ar"/>
              </w:rPr>
              <w:t>0.6133(0.6094-0.6172) DE</w:t>
            </w:r>
            <w:r>
              <w:rPr>
                <w:rStyle w:val="5"/>
                <w:rFonts w:hint="default"/>
                <w:lang w:bidi="ar"/>
              </w:rPr>
              <w:t>：</w:t>
            </w:r>
            <w:r>
              <w:rPr>
                <w:rFonts w:ascii="Times New Roman" w:hAnsi="Times New Roman" w:eastAsia="宋体" w:cs="Times New Roman"/>
                <w:color w:val="000000"/>
                <w:kern w:val="0"/>
                <w:sz w:val="20"/>
                <w:szCs w:val="20"/>
                <w:lang w:bidi="ar"/>
              </w:rPr>
              <w:t>0.5143(0.4992-0.5294) EB</w:t>
            </w:r>
            <w:r>
              <w:rPr>
                <w:rStyle w:val="5"/>
                <w:rFonts w:hint="default"/>
                <w:lang w:bidi="ar"/>
              </w:rPr>
              <w:t>：</w:t>
            </w:r>
            <w:r>
              <w:rPr>
                <w:rFonts w:ascii="Times New Roman" w:hAnsi="Times New Roman" w:eastAsia="宋体" w:cs="Times New Roman"/>
                <w:color w:val="000000"/>
                <w:kern w:val="0"/>
                <w:sz w:val="20"/>
                <w:szCs w:val="20"/>
                <w:lang w:bidi="ar"/>
              </w:rPr>
              <w:t>0.6049(0.5857-0.6241)</w:t>
            </w:r>
          </w:p>
        </w:tc>
        <w:tc>
          <w:tcPr>
            <w:tcW w:w="229" w:type="pct"/>
            <w:vAlign w:val="center"/>
          </w:tcPr>
          <w:p w14:paraId="248A0D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code</w:t>
            </w:r>
          </w:p>
        </w:tc>
      </w:tr>
      <w:tr w14:paraId="13EDE6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516" w:type="pct"/>
            <w:vAlign w:val="center"/>
          </w:tcPr>
          <w:p w14:paraId="1871AB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Naderian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788" w:type="pct"/>
            <w:vAlign w:val="center"/>
          </w:tcPr>
          <w:p w14:paraId="5BDC22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Predictive mean matching, polynomial regression</w:t>
            </w:r>
          </w:p>
        </w:tc>
        <w:tc>
          <w:tcPr>
            <w:tcW w:w="287" w:type="pct"/>
            <w:vAlign w:val="center"/>
          </w:tcPr>
          <w:p w14:paraId="271D6B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EA35B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Elastic net regression, XGBoost</w:t>
            </w:r>
          </w:p>
        </w:tc>
        <w:tc>
          <w:tcPr>
            <w:tcW w:w="387" w:type="pct"/>
            <w:vAlign w:val="center"/>
          </w:tcPr>
          <w:p w14:paraId="4BEAE2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Cox proportional hazards models</w:t>
            </w:r>
          </w:p>
        </w:tc>
        <w:tc>
          <w:tcPr>
            <w:tcW w:w="295" w:type="pct"/>
            <w:vAlign w:val="center"/>
          </w:tcPr>
          <w:p w14:paraId="0CF815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figure</w:t>
            </w:r>
          </w:p>
        </w:tc>
        <w:tc>
          <w:tcPr>
            <w:tcW w:w="404" w:type="pct"/>
            <w:vAlign w:val="center"/>
          </w:tcPr>
          <w:p w14:paraId="2463DA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25AEF1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PSSCHD(education level, income level, housing type, social activity participation, frequency and intensity of physical activity, mental health status and sleep quality et al.), PRSCHD(multi-gene risk score based on 1.7 million SNVs), PCE(age, sex, race, smoking status, TC, HDL-C, SBP, height, and weight, whether you have diabetes, whether you use antihypertensive drugs, etc.), PREVENT(age, sex, TC, HDL-C, SBP, height, weight, creatinine level, diabetes, smoking status, use of antihypertensive drugs, use of lipid-lowering drugs, etc.), QRISK3(age, sex, race, smoking status, TC level, HDL-C, the standard deviation of SBP, height and weight, etc.)</w:t>
            </w:r>
          </w:p>
        </w:tc>
        <w:tc>
          <w:tcPr>
            <w:tcW w:w="454" w:type="pct"/>
            <w:vAlign w:val="center"/>
          </w:tcPr>
          <w:p w14:paraId="4366B6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CRSPCE 0.776 (0.764-0.788)</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 xml:space="preserve">CRSPREVENT 0.768 (0.756-0.780) </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CRSQRISK3 0.777 (0.765-0.789)</w:t>
            </w:r>
          </w:p>
        </w:tc>
        <w:tc>
          <w:tcPr>
            <w:tcW w:w="229" w:type="pct"/>
            <w:vAlign w:val="center"/>
          </w:tcPr>
          <w:p w14:paraId="568052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code and formula</w:t>
            </w:r>
          </w:p>
        </w:tc>
      </w:tr>
      <w:tr w14:paraId="0B15C89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516" w:type="pct"/>
            <w:vAlign w:val="center"/>
          </w:tcPr>
          <w:p w14:paraId="28B4FA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Alexander 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4208C4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6561A9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EA706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Univariate logistic models, then XGBoost</w:t>
            </w:r>
          </w:p>
        </w:tc>
        <w:tc>
          <w:tcPr>
            <w:tcW w:w="387" w:type="pct"/>
            <w:vAlign w:val="center"/>
          </w:tcPr>
          <w:p w14:paraId="18AE0E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XGBoost model</w:t>
            </w:r>
          </w:p>
        </w:tc>
        <w:tc>
          <w:tcPr>
            <w:tcW w:w="295" w:type="pct"/>
            <w:vAlign w:val="center"/>
          </w:tcPr>
          <w:p w14:paraId="68736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2EEF54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(Train: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test (80:20))</w:t>
            </w:r>
          </w:p>
        </w:tc>
        <w:tc>
          <w:tcPr>
            <w:tcW w:w="1078" w:type="pct"/>
            <w:vAlign w:val="center"/>
          </w:tcPr>
          <w:p w14:paraId="2E9163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58 features(Age, platelet count,</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albumin creatinine ratio,</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TC, blood urea nitrogen, blood lead, segmented neutrophils num, cholesterol, refrigerated serum, gender, HDL-C, lymphocyte percent, emphysema, albumin, urine, glycohemoglobin,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Segmented neutrophils percent, creatinine, urine, alkaline phosphatase, lactate dehydrogenase, LDL-C, red cell distribution width, creatinine, refrigerated serum, osmolality, Uric acid, red blood cell folate, serum total folate, tetrahydrofolate, glucose, refrigerated serum, mean cell volume, total protein, monocyte percent, 5-methyl-tetrahydrofolate, fasting glucose, monocyte number, total bilirubin ,etc.)</w:t>
            </w:r>
          </w:p>
        </w:tc>
        <w:tc>
          <w:tcPr>
            <w:tcW w:w="454" w:type="pct"/>
            <w:vAlign w:val="center"/>
          </w:tcPr>
          <w:p w14:paraId="1A9DEF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AUROC 0.89</w:t>
            </w:r>
          </w:p>
        </w:tc>
        <w:tc>
          <w:tcPr>
            <w:tcW w:w="229" w:type="pct"/>
            <w:vAlign w:val="center"/>
          </w:tcPr>
          <w:p w14:paraId="37EC9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34731A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5DBD8C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Maria Isabel Mendonc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788" w:type="pct"/>
            <w:vAlign w:val="center"/>
          </w:tcPr>
          <w:p w14:paraId="4BC961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07AD16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632F7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3C58D3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models</w:t>
            </w:r>
          </w:p>
        </w:tc>
        <w:tc>
          <w:tcPr>
            <w:tcW w:w="295" w:type="pct"/>
            <w:vAlign w:val="center"/>
          </w:tcPr>
          <w:p w14:paraId="36C159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test</w:t>
            </w:r>
          </w:p>
        </w:tc>
        <w:tc>
          <w:tcPr>
            <w:tcW w:w="404" w:type="pct"/>
            <w:vAlign w:val="center"/>
          </w:tcPr>
          <w:p w14:paraId="329366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5BBE15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 gender, smoking and alcohol habits, BMI, diabetes, dyslipidemia, physical inactivity</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 xml:space="preserve"> and arterial hypertension) and mGRS.</w:t>
            </w:r>
          </w:p>
        </w:tc>
        <w:tc>
          <w:tcPr>
            <w:tcW w:w="454" w:type="pct"/>
            <w:vAlign w:val="center"/>
          </w:tcPr>
          <w:p w14:paraId="26430C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traditional model with mGRS 0.75</w:t>
            </w:r>
          </w:p>
        </w:tc>
        <w:tc>
          <w:tcPr>
            <w:tcW w:w="229" w:type="pct"/>
            <w:vAlign w:val="center"/>
          </w:tcPr>
          <w:p w14:paraId="75435D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4E2280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3ECD93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Lingyun Zhou et al.</w:t>
            </w:r>
          </w:p>
          <w:p w14:paraId="6FAAC7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(2020)</w:t>
            </w:r>
          </w:p>
        </w:tc>
        <w:tc>
          <w:tcPr>
            <w:tcW w:w="788" w:type="pct"/>
            <w:vAlign w:val="center"/>
          </w:tcPr>
          <w:p w14:paraId="05B573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w:t>
            </w:r>
          </w:p>
        </w:tc>
        <w:tc>
          <w:tcPr>
            <w:tcW w:w="287" w:type="pct"/>
            <w:vAlign w:val="center"/>
          </w:tcPr>
          <w:p w14:paraId="1D1D50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08B7EE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13472A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Random forest method</w:t>
            </w:r>
          </w:p>
        </w:tc>
        <w:tc>
          <w:tcPr>
            <w:tcW w:w="295" w:type="pct"/>
            <w:vAlign w:val="center"/>
          </w:tcPr>
          <w:p w14:paraId="2C243F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plots</w:t>
            </w:r>
          </w:p>
        </w:tc>
        <w:tc>
          <w:tcPr>
            <w:tcW w:w="404" w:type="pct"/>
            <w:vAlign w:val="center"/>
          </w:tcPr>
          <w:p w14:paraId="059502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w:t>
            </w:r>
          </w:p>
        </w:tc>
        <w:tc>
          <w:tcPr>
            <w:tcW w:w="1078" w:type="pct"/>
            <w:vAlign w:val="center"/>
          </w:tcPr>
          <w:p w14:paraId="407DF0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Eight laboratory and non-laboratory variables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 gender, type of chest pain, hypertension, type 2 diabetes mellitus, smoking, LDL-C, and creatine)</w:t>
            </w:r>
          </w:p>
        </w:tc>
        <w:tc>
          <w:tcPr>
            <w:tcW w:w="454" w:type="pct"/>
            <w:vAlign w:val="center"/>
          </w:tcPr>
          <w:p w14:paraId="3A8782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The training set AUC 0.939</w:t>
            </w:r>
            <w:r>
              <w:rPr>
                <w:rFonts w:ascii="Times New Roman" w:hAnsi="Times New Roman" w:eastAsia="宋体" w:cs="Times New Roman"/>
                <w:color w:val="000000"/>
                <w:kern w:val="0"/>
                <w:sz w:val="20"/>
                <w:szCs w:val="20"/>
                <w:lang w:bidi="ar"/>
              </w:rPr>
              <w:br w:type="textWrapping"/>
            </w:r>
            <w:r>
              <w:rPr>
                <w:rFonts w:hint="eastAsia" w:ascii="Times New Roman" w:hAnsi="Times New Roman" w:eastAsia="宋体" w:cs="Times New Roman"/>
                <w:color w:val="000000"/>
                <w:kern w:val="0"/>
                <w:sz w:val="20"/>
                <w:szCs w:val="20"/>
                <w:lang w:bidi="ar"/>
              </w:rPr>
              <w:t xml:space="preserve">The </w:t>
            </w:r>
            <w:r>
              <w:rPr>
                <w:rFonts w:ascii="Times New Roman" w:hAnsi="Times New Roman" w:eastAsia="宋体" w:cs="Times New Roman"/>
                <w:color w:val="000000"/>
                <w:kern w:val="0"/>
                <w:sz w:val="20"/>
                <w:szCs w:val="20"/>
                <w:lang w:bidi="ar"/>
              </w:rPr>
              <w:t>validation set 0.927</w:t>
            </w:r>
          </w:p>
        </w:tc>
        <w:tc>
          <w:tcPr>
            <w:tcW w:w="229" w:type="pct"/>
            <w:vAlign w:val="center"/>
          </w:tcPr>
          <w:p w14:paraId="7BB79D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35E36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1CA408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Vijay Nambi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788" w:type="pct"/>
            <w:vAlign w:val="center"/>
          </w:tcPr>
          <w:p w14:paraId="5BEE47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Single imputation.</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Individuals with missing data were excluded.</w:t>
            </w:r>
          </w:p>
        </w:tc>
        <w:tc>
          <w:tcPr>
            <w:tcW w:w="287" w:type="pct"/>
            <w:vAlign w:val="center"/>
          </w:tcPr>
          <w:p w14:paraId="5F2740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FE990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3E6411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 models</w:t>
            </w:r>
          </w:p>
        </w:tc>
        <w:tc>
          <w:tcPr>
            <w:tcW w:w="295" w:type="pct"/>
            <w:vAlign w:val="center"/>
          </w:tcPr>
          <w:p w14:paraId="1FF711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plots</w:t>
            </w:r>
          </w:p>
        </w:tc>
        <w:tc>
          <w:tcPr>
            <w:tcW w:w="404" w:type="pct"/>
            <w:vAlign w:val="center"/>
          </w:tcPr>
          <w:p w14:paraId="646C22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validation(cross-validation)</w:t>
            </w:r>
          </w:p>
        </w:tc>
        <w:tc>
          <w:tcPr>
            <w:tcW w:w="1078" w:type="pct"/>
            <w:vAlign w:val="center"/>
          </w:tcPr>
          <w:p w14:paraId="23787B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(age,</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gender,</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TC, HDL-C, smoking, SBP, diabetes), CIMT, plaque</w:t>
            </w:r>
          </w:p>
        </w:tc>
        <w:tc>
          <w:tcPr>
            <w:tcW w:w="454" w:type="pct"/>
            <w:vAlign w:val="center"/>
          </w:tcPr>
          <w:p w14:paraId="602062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TRF + CCA-IMT + plaque AUC 0.753</w:t>
            </w:r>
          </w:p>
        </w:tc>
        <w:tc>
          <w:tcPr>
            <w:tcW w:w="229" w:type="pct"/>
            <w:vAlign w:val="center"/>
          </w:tcPr>
          <w:p w14:paraId="5577E3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0D4A5A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004B96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Mingjun Xu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788" w:type="pct"/>
            <w:vAlign w:val="center"/>
          </w:tcPr>
          <w:p w14:paraId="6EDFD5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1C19A5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EDC4B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04404E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Binary logistic regression</w:t>
            </w:r>
          </w:p>
        </w:tc>
        <w:tc>
          <w:tcPr>
            <w:tcW w:w="295" w:type="pct"/>
            <w:vAlign w:val="center"/>
          </w:tcPr>
          <w:p w14:paraId="320183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Bland-Altman analysis</w:t>
            </w:r>
          </w:p>
        </w:tc>
        <w:tc>
          <w:tcPr>
            <w:tcW w:w="404" w:type="pct"/>
            <w:vAlign w:val="center"/>
          </w:tcPr>
          <w:p w14:paraId="7F1625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(reproducibility assessment)</w:t>
            </w:r>
          </w:p>
        </w:tc>
        <w:tc>
          <w:tcPr>
            <w:tcW w:w="1078" w:type="pct"/>
            <w:vAlign w:val="center"/>
          </w:tcPr>
          <w:p w14:paraId="0FA35F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Traditional risk factors</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(smoking, triglycerides), RIT, CIMT</w:t>
            </w:r>
          </w:p>
        </w:tc>
        <w:tc>
          <w:tcPr>
            <w:tcW w:w="454" w:type="pct"/>
            <w:vAlign w:val="center"/>
          </w:tcPr>
          <w:p w14:paraId="099A97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0.867</w:t>
            </w:r>
          </w:p>
        </w:tc>
        <w:tc>
          <w:tcPr>
            <w:tcW w:w="229" w:type="pct"/>
            <w:vAlign w:val="center"/>
          </w:tcPr>
          <w:p w14:paraId="0ABCEF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formula</w:t>
            </w:r>
          </w:p>
        </w:tc>
      </w:tr>
      <w:tr w14:paraId="1F82B5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78709F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Hongzeng Xu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788" w:type="pct"/>
            <w:vAlign w:val="center"/>
          </w:tcPr>
          <w:p w14:paraId="139CE5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052BC1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noWrap/>
            <w:vAlign w:val="center"/>
          </w:tcPr>
          <w:p w14:paraId="7AAC3B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Stepwise multivariate logistic regression analysis</w:t>
            </w:r>
          </w:p>
        </w:tc>
        <w:tc>
          <w:tcPr>
            <w:tcW w:w="387" w:type="pct"/>
            <w:vAlign w:val="center"/>
          </w:tcPr>
          <w:p w14:paraId="3C69CC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295" w:type="pct"/>
            <w:vAlign w:val="center"/>
          </w:tcPr>
          <w:p w14:paraId="41DB45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140ECE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170A89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Eight significant risk factors including sex, age, smoking status, diabetes, hypertension, dyslipidaemia, serum creatinine</w:t>
            </w:r>
            <w:r>
              <w:rPr>
                <w:rFonts w:hint="eastAsia" w:ascii="Times New Roman" w:hAnsi="Times New Roman" w:eastAsia="宋体" w:cs="Times New Roman"/>
                <w:color w:val="000000"/>
                <w:kern w:val="0"/>
                <w:sz w:val="20"/>
                <w:szCs w:val="20"/>
                <w:lang w:bidi="ar"/>
              </w:rPr>
              <w:t>,</w:t>
            </w:r>
            <w:r>
              <w:rPr>
                <w:rFonts w:ascii="Times New Roman" w:hAnsi="Times New Roman" w:eastAsia="宋体" w:cs="Times New Roman"/>
                <w:color w:val="000000"/>
                <w:kern w:val="0"/>
                <w:sz w:val="20"/>
                <w:szCs w:val="20"/>
                <w:lang w:bidi="ar"/>
              </w:rPr>
              <w:t xml:space="preserve"> and angina</w:t>
            </w:r>
          </w:p>
        </w:tc>
        <w:tc>
          <w:tcPr>
            <w:tcW w:w="454" w:type="pct"/>
            <w:vAlign w:val="center"/>
          </w:tcPr>
          <w:p w14:paraId="0A3F16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of 0.74 (0.88-0.96)</w:t>
            </w:r>
          </w:p>
        </w:tc>
        <w:tc>
          <w:tcPr>
            <w:tcW w:w="229" w:type="pct"/>
            <w:vAlign w:val="center"/>
          </w:tcPr>
          <w:p w14:paraId="315831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Model formula</w:t>
            </w:r>
          </w:p>
        </w:tc>
      </w:tr>
      <w:tr w14:paraId="3FE7A3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746FC8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Masayuki Kawabe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788" w:type="pct"/>
            <w:vAlign w:val="center"/>
          </w:tcPr>
          <w:p w14:paraId="7F6964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093CA2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62370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Univariate and multivariate logistic regression</w:t>
            </w:r>
          </w:p>
        </w:tc>
        <w:tc>
          <w:tcPr>
            <w:tcW w:w="387" w:type="pct"/>
            <w:vAlign w:val="center"/>
          </w:tcPr>
          <w:p w14:paraId="48951E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Multivariable logistic analysis</w:t>
            </w:r>
          </w:p>
        </w:tc>
        <w:tc>
          <w:tcPr>
            <w:tcW w:w="295" w:type="pct"/>
            <w:vAlign w:val="center"/>
          </w:tcPr>
          <w:p w14:paraId="1BAF20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404" w:type="pct"/>
            <w:vAlign w:val="center"/>
          </w:tcPr>
          <w:p w14:paraId="287552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w:t>
            </w:r>
          </w:p>
        </w:tc>
        <w:tc>
          <w:tcPr>
            <w:tcW w:w="1078" w:type="pct"/>
            <w:vAlign w:val="center"/>
          </w:tcPr>
          <w:p w14:paraId="37F09F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BNP, Duke clinical score</w:t>
            </w:r>
          </w:p>
        </w:tc>
        <w:tc>
          <w:tcPr>
            <w:tcW w:w="454" w:type="pct"/>
            <w:vAlign w:val="center"/>
          </w:tcPr>
          <w:p w14:paraId="2531E1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0.745</w:t>
            </w:r>
          </w:p>
        </w:tc>
        <w:tc>
          <w:tcPr>
            <w:tcW w:w="229" w:type="pct"/>
            <w:vAlign w:val="center"/>
          </w:tcPr>
          <w:p w14:paraId="059BAA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258544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34725A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Shiqun Chen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788" w:type="pct"/>
            <w:vAlign w:val="center"/>
          </w:tcPr>
          <w:p w14:paraId="22042A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interpolation or direct deletion</w:t>
            </w:r>
          </w:p>
        </w:tc>
        <w:tc>
          <w:tcPr>
            <w:tcW w:w="287" w:type="pct"/>
            <w:vAlign w:val="center"/>
          </w:tcPr>
          <w:p w14:paraId="14E4B9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259A5C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Univariate analysis</w:t>
            </w:r>
          </w:p>
        </w:tc>
        <w:tc>
          <w:tcPr>
            <w:tcW w:w="387" w:type="pct"/>
            <w:vAlign w:val="center"/>
          </w:tcPr>
          <w:p w14:paraId="2DEE38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295" w:type="pct"/>
            <w:vAlign w:val="center"/>
          </w:tcPr>
          <w:p w14:paraId="27095A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 and Lemeshow goodness-of-fit test</w:t>
            </w:r>
          </w:p>
        </w:tc>
        <w:tc>
          <w:tcPr>
            <w:tcW w:w="404" w:type="pct"/>
            <w:vAlign w:val="center"/>
          </w:tcPr>
          <w:p w14:paraId="2CE741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Internal validation (bootstrap)</w:t>
            </w:r>
          </w:p>
        </w:tc>
        <w:tc>
          <w:tcPr>
            <w:tcW w:w="1078" w:type="pct"/>
            <w:vAlign w:val="center"/>
          </w:tcPr>
          <w:p w14:paraId="3EC063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Anemia, hs-CRP, LVEF, age, sex, TC, HDL-C, hypertension</w:t>
            </w:r>
          </w:p>
        </w:tc>
        <w:tc>
          <w:tcPr>
            <w:tcW w:w="454" w:type="pct"/>
            <w:vAlign w:val="center"/>
          </w:tcPr>
          <w:p w14:paraId="75A62D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 statistic 0.729(0.69-0.77)</w:t>
            </w:r>
          </w:p>
        </w:tc>
        <w:tc>
          <w:tcPr>
            <w:tcW w:w="229" w:type="pct"/>
            <w:vAlign w:val="center"/>
          </w:tcPr>
          <w:p w14:paraId="032B0C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153923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04AEC0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 Lenselink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788" w:type="pct"/>
            <w:vAlign w:val="center"/>
          </w:tcPr>
          <w:p w14:paraId="3F2666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3F378F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519187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571269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78552B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Intercept and regression</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slope</w:t>
            </w:r>
          </w:p>
        </w:tc>
        <w:tc>
          <w:tcPr>
            <w:tcW w:w="404" w:type="pct"/>
            <w:vAlign w:val="center"/>
          </w:tcPr>
          <w:p w14:paraId="767D6E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 validation in three large cohorts</w:t>
            </w:r>
          </w:p>
        </w:tc>
        <w:tc>
          <w:tcPr>
            <w:tcW w:w="1078" w:type="pct"/>
            <w:vAlign w:val="center"/>
          </w:tcPr>
          <w:p w14:paraId="4504EC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gender,</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BMI, smoking, HDL, LDL, TC, diabetes, hypertension, SBP, DBP, etc.</w:t>
            </w:r>
          </w:p>
        </w:tc>
        <w:tc>
          <w:tcPr>
            <w:tcW w:w="454" w:type="pct"/>
            <w:vAlign w:val="center"/>
          </w:tcPr>
          <w:p w14:paraId="68E0C0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C-index for CAD: 0.698(SE 0.053) (UKB), 0.786(SE 0.097) (LifeLines), 0.754(SE 0.076) (PREVEND)</w:t>
            </w:r>
          </w:p>
        </w:tc>
        <w:tc>
          <w:tcPr>
            <w:tcW w:w="229" w:type="pct"/>
            <w:vAlign w:val="center"/>
          </w:tcPr>
          <w:p w14:paraId="11556C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37954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C1BFE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Dennis T. Ko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788" w:type="pct"/>
            <w:vAlign w:val="center"/>
          </w:tcPr>
          <w:p w14:paraId="690E61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Multiple imputation analysis</w:t>
            </w:r>
          </w:p>
        </w:tc>
        <w:tc>
          <w:tcPr>
            <w:tcW w:w="287" w:type="pct"/>
            <w:vAlign w:val="center"/>
          </w:tcPr>
          <w:p w14:paraId="67C8AB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1879D2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148BC7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516D2E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Calibration curve</w:t>
            </w:r>
          </w:p>
        </w:tc>
        <w:tc>
          <w:tcPr>
            <w:tcW w:w="404" w:type="pct"/>
            <w:vAlign w:val="center"/>
          </w:tcPr>
          <w:p w14:paraId="64AF28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 validation</w:t>
            </w:r>
          </w:p>
        </w:tc>
        <w:tc>
          <w:tcPr>
            <w:tcW w:w="1078" w:type="pct"/>
            <w:vAlign w:val="center"/>
          </w:tcPr>
          <w:p w14:paraId="2EB172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FRS and PCE</w:t>
            </w:r>
          </w:p>
        </w:tc>
        <w:tc>
          <w:tcPr>
            <w:tcW w:w="454" w:type="pct"/>
            <w:vAlign w:val="center"/>
          </w:tcPr>
          <w:p w14:paraId="68831E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FRS: C statistic 0.74</w:t>
            </w:r>
            <w:r>
              <w:rPr>
                <w:rFonts w:ascii="Times New Roman" w:hAnsi="Times New Roman" w:eastAsia="宋体" w:cs="Times New Roman"/>
                <w:color w:val="000000"/>
                <w:kern w:val="0"/>
                <w:sz w:val="20"/>
                <w:szCs w:val="20"/>
                <w:lang w:bidi="ar"/>
              </w:rPr>
              <w:br w:type="textWrapping"/>
            </w:r>
            <w:r>
              <w:rPr>
                <w:rFonts w:ascii="Times New Roman" w:hAnsi="Times New Roman" w:eastAsia="宋体" w:cs="Times New Roman"/>
                <w:color w:val="000000"/>
                <w:kern w:val="0"/>
                <w:sz w:val="20"/>
                <w:szCs w:val="20"/>
                <w:lang w:bidi="ar"/>
              </w:rPr>
              <w:t>PCE: C statistic 0.73</w:t>
            </w:r>
          </w:p>
        </w:tc>
        <w:tc>
          <w:tcPr>
            <w:tcW w:w="229" w:type="pct"/>
            <w:vAlign w:val="center"/>
          </w:tcPr>
          <w:p w14:paraId="093F7B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77382F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16" w:type="pct"/>
            <w:vAlign w:val="center"/>
          </w:tcPr>
          <w:p w14:paraId="40AF51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788" w:type="pct"/>
            <w:vAlign w:val="center"/>
          </w:tcPr>
          <w:p w14:paraId="20E474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87" w:type="pct"/>
            <w:vAlign w:val="center"/>
          </w:tcPr>
          <w:p w14:paraId="776113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622D06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7451AF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295" w:type="pct"/>
            <w:vAlign w:val="center"/>
          </w:tcPr>
          <w:p w14:paraId="7CD051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Hosmer-Lemeshow goodness-of-fit</w:t>
            </w:r>
          </w:p>
        </w:tc>
        <w:tc>
          <w:tcPr>
            <w:tcW w:w="404" w:type="pct"/>
            <w:vAlign w:val="center"/>
          </w:tcPr>
          <w:p w14:paraId="5EDA87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External validation</w:t>
            </w:r>
          </w:p>
        </w:tc>
        <w:tc>
          <w:tcPr>
            <w:tcW w:w="1078" w:type="pct"/>
            <w:vAlign w:val="center"/>
          </w:tcPr>
          <w:p w14:paraId="007A28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Age, sex, symptom, smoking status, diabetes, hyperlipidemia, hypertension, BMI (CAD2)</w:t>
            </w:r>
          </w:p>
        </w:tc>
        <w:tc>
          <w:tcPr>
            <w:tcW w:w="454" w:type="pct"/>
            <w:vAlign w:val="center"/>
          </w:tcPr>
          <w:p w14:paraId="697EE8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AUC for CAD2: 0.790(0.77-0.81)</w:t>
            </w:r>
          </w:p>
        </w:tc>
        <w:tc>
          <w:tcPr>
            <w:tcW w:w="229" w:type="pct"/>
            <w:vAlign w:val="center"/>
          </w:tcPr>
          <w:p w14:paraId="44A489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6A454F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417E527D">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Michael Edlinger et al</w:t>
            </w:r>
            <w:r>
              <w:rPr>
                <w:rFonts w:hint="eastAsia" w:ascii="Times New Roman" w:hAnsi="Times New Roman" w:eastAsia="宋体" w:cs="Times New Roman"/>
                <w:color w:val="222222"/>
                <w:kern w:val="0"/>
                <w:sz w:val="20"/>
                <w:szCs w:val="20"/>
                <w:lang w:bidi="ar"/>
              </w:rPr>
              <w:t xml:space="preserve">. </w:t>
            </w:r>
            <w:r>
              <w:rPr>
                <w:rFonts w:ascii="Times New Roman" w:hAnsi="Times New Roman" w:eastAsia="宋体" w:cs="Times New Roman"/>
                <w:color w:val="222222"/>
                <w:kern w:val="0"/>
                <w:sz w:val="20"/>
                <w:szCs w:val="20"/>
                <w:lang w:bidi="ar"/>
              </w:rPr>
              <w:t>(2017)</w:t>
            </w:r>
          </w:p>
        </w:tc>
        <w:tc>
          <w:tcPr>
            <w:tcW w:w="788" w:type="pct"/>
            <w:vAlign w:val="center"/>
          </w:tcPr>
          <w:p w14:paraId="262F4C5F">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Multiple imputation</w:t>
            </w:r>
          </w:p>
        </w:tc>
        <w:tc>
          <w:tcPr>
            <w:tcW w:w="287" w:type="pct"/>
            <w:vAlign w:val="center"/>
          </w:tcPr>
          <w:p w14:paraId="7F918C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0DC859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Logistic regression</w:t>
            </w:r>
          </w:p>
        </w:tc>
        <w:tc>
          <w:tcPr>
            <w:tcW w:w="387" w:type="pct"/>
            <w:vAlign w:val="center"/>
          </w:tcPr>
          <w:p w14:paraId="5A2524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Multivariable logistic analysis</w:t>
            </w:r>
          </w:p>
        </w:tc>
        <w:tc>
          <w:tcPr>
            <w:tcW w:w="295" w:type="pct"/>
            <w:vAlign w:val="center"/>
          </w:tcPr>
          <w:p w14:paraId="5E02B0D4">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Hosmer-Lemeshow test</w:t>
            </w:r>
          </w:p>
        </w:tc>
        <w:tc>
          <w:tcPr>
            <w:tcW w:w="404" w:type="pct"/>
            <w:vAlign w:val="center"/>
          </w:tcPr>
          <w:p w14:paraId="2846B0B9">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Internal validation</w:t>
            </w:r>
          </w:p>
        </w:tc>
        <w:tc>
          <w:tcPr>
            <w:tcW w:w="1078" w:type="pct"/>
            <w:vAlign w:val="center"/>
          </w:tcPr>
          <w:p w14:paraId="3AF67EC7">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Age, sex, chest pain, diabetes, hypertension, dyslipidemia, smoking, HDL, LDL, fibrinogen, CRP</w:t>
            </w:r>
          </w:p>
        </w:tc>
        <w:tc>
          <w:tcPr>
            <w:tcW w:w="454" w:type="pct"/>
            <w:vAlign w:val="center"/>
          </w:tcPr>
          <w:p w14:paraId="1D6A5C68">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C-statistic: 0.72</w:t>
            </w:r>
            <w:r>
              <w:rPr>
                <w:rFonts w:hint="eastAsia" w:ascii="Times New Roman" w:hAnsi="Times New Roman" w:eastAsia="宋体" w:cs="Times New Roman"/>
                <w:color w:val="222222"/>
                <w:kern w:val="0"/>
                <w:sz w:val="20"/>
                <w:szCs w:val="20"/>
                <w:lang w:bidi="ar"/>
              </w:rPr>
              <w:t xml:space="preserve"> </w:t>
            </w:r>
            <w:r>
              <w:rPr>
                <w:rFonts w:ascii="Times New Roman" w:hAnsi="Times New Roman" w:eastAsia="宋体" w:cs="Times New Roman"/>
                <w:color w:val="222222"/>
                <w:kern w:val="0"/>
                <w:sz w:val="20"/>
                <w:szCs w:val="20"/>
                <w:lang w:bidi="ar"/>
              </w:rPr>
              <w:t>(0.71-0.74)</w:t>
            </w:r>
          </w:p>
        </w:tc>
        <w:tc>
          <w:tcPr>
            <w:tcW w:w="229" w:type="pct"/>
            <w:vAlign w:val="center"/>
          </w:tcPr>
          <w:p w14:paraId="1467B9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r w14:paraId="5BB89B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516" w:type="pct"/>
            <w:vAlign w:val="center"/>
          </w:tcPr>
          <w:p w14:paraId="7FFF2B75">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Jacob K Kariuki et al.</w:t>
            </w:r>
            <w:r>
              <w:rPr>
                <w:rFonts w:hint="eastAsia" w:ascii="Times New Roman" w:hAnsi="Times New Roman" w:eastAsia="宋体" w:cs="Times New Roman"/>
                <w:color w:val="222222"/>
                <w:kern w:val="0"/>
                <w:sz w:val="20"/>
                <w:szCs w:val="20"/>
                <w:lang w:bidi="ar"/>
              </w:rPr>
              <w:t xml:space="preserve"> </w:t>
            </w:r>
            <w:r>
              <w:rPr>
                <w:rFonts w:ascii="Times New Roman" w:hAnsi="Times New Roman" w:eastAsia="宋体" w:cs="Times New Roman"/>
                <w:color w:val="222222"/>
                <w:kern w:val="0"/>
                <w:sz w:val="20"/>
                <w:szCs w:val="20"/>
                <w:lang w:bidi="ar"/>
              </w:rPr>
              <w:t>(2017)</w:t>
            </w:r>
          </w:p>
        </w:tc>
        <w:tc>
          <w:tcPr>
            <w:tcW w:w="788" w:type="pct"/>
            <w:vAlign w:val="center"/>
          </w:tcPr>
          <w:p w14:paraId="7B333172">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Exclusion of missing data</w:t>
            </w:r>
          </w:p>
        </w:tc>
        <w:tc>
          <w:tcPr>
            <w:tcW w:w="287" w:type="pct"/>
            <w:vAlign w:val="center"/>
          </w:tcPr>
          <w:p w14:paraId="75FCCB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557" w:type="pct"/>
            <w:vAlign w:val="center"/>
          </w:tcPr>
          <w:p w14:paraId="7E1F00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c>
          <w:tcPr>
            <w:tcW w:w="387" w:type="pct"/>
            <w:vAlign w:val="center"/>
          </w:tcPr>
          <w:p w14:paraId="066B6E56">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Cox proportional hazards model</w:t>
            </w:r>
          </w:p>
        </w:tc>
        <w:tc>
          <w:tcPr>
            <w:tcW w:w="295" w:type="pct"/>
            <w:vAlign w:val="center"/>
          </w:tcPr>
          <w:p w14:paraId="62748479">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Hosmer-Lemeshow test</w:t>
            </w:r>
          </w:p>
        </w:tc>
        <w:tc>
          <w:tcPr>
            <w:tcW w:w="404" w:type="pct"/>
            <w:vAlign w:val="center"/>
          </w:tcPr>
          <w:p w14:paraId="2B0B0EBE">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Internal validation (ARIC dataset)</w:t>
            </w:r>
          </w:p>
        </w:tc>
        <w:tc>
          <w:tcPr>
            <w:tcW w:w="1078" w:type="pct"/>
            <w:vAlign w:val="center"/>
          </w:tcPr>
          <w:p w14:paraId="6241615E">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Non-laboratory-based Framingham variables (age, sex, BMI, SBP, antihypertensive use, smoking, diabetes)</w:t>
            </w:r>
          </w:p>
        </w:tc>
        <w:tc>
          <w:tcPr>
            <w:tcW w:w="454" w:type="pct"/>
            <w:vAlign w:val="center"/>
          </w:tcPr>
          <w:p w14:paraId="014144E5">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C-statistic: 0.706 (non-LB) vs. 0.710 (LB)</w:t>
            </w:r>
          </w:p>
        </w:tc>
        <w:tc>
          <w:tcPr>
            <w:tcW w:w="229" w:type="pct"/>
            <w:vAlign w:val="center"/>
          </w:tcPr>
          <w:p w14:paraId="3FFCAE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No special report</w:t>
            </w:r>
          </w:p>
        </w:tc>
      </w:tr>
    </w:tbl>
    <w:p w14:paraId="5437C0B0">
      <w:pPr>
        <w:spacing w:line="360" w:lineRule="auto"/>
        <w:rPr>
          <w:rFonts w:ascii="Times New Roman" w:hAnsi="Times New Roman"/>
          <w:sz w:val="24"/>
        </w:rPr>
      </w:pPr>
      <w:r>
        <w:rPr>
          <w:rFonts w:hint="eastAsia" w:ascii="Times New Roman" w:hAnsi="Times New Roman"/>
          <w:sz w:val="24"/>
        </w:rPr>
        <w:t xml:space="preserve">WHI, Women's Health Initiative; AESurv, Deep learning autoencoder survival analysis; BMI, body mass index; SBP, systolic blood pressure; HDL-C, high-density lipoprotein cholesterol; LDL-C, low-density lipoprotein cholesterol; SHS, Strong Heart Study; LASSO, least absolute shrinkage and selection operator; DBP, diastolic blood pressure; CAD, coronary artery disease; MILC, multiple imputation based on latent class; MICE, multivariate imputation by chained equation; Apo, apolipoprotein; Lp(a), lipoprotein A; FRS, Framingham risk score; TC, total cholesterol; IL, interleukin; TNF, tumor necrosis factor; SNP, single-nucleotide polymorphism; ADRB3, β3-adrenergic receptor gene； EN-RAGE, Extracellular newly identified receptor for advanced glycation end-products binding protein; CRP, C-reactive protein; RANTES, regulated on activation, normal T cell expressed and secreted; CCA, carotid artery; CIMT, carotid intima-media thickness; PGS003727, Polygenic score 003727; ATVB, the Atherosclerosis, Thrombosis, and Vascular Biology Italian Study Group; IGHA2 Ig alpha-2 chain C region; HPT, haptoglobin; CHD, coronary heart disease; GRS, genetic risk score; PDGF, platelet-derived growth factors; DYSF, dysferlin; BACH2, BTB domain and CNC homolog 2 ; CDKN1B, cyclin dependent kinase inhibitor 1B; DHCR24, 24-dehydrocholesterol reductase; MPO, myeloperoxidase; ATG7, autophagy related 7; UKB, UK Biobank; cPL, carotid plaques; eCS, echocardiographic cardiac calcium score; WHR, waist to hip ratio; PCs, principal components; GPSCAD, the genome-wide polygenic score; PCE, the pooled cohort equations; PRS, polygenic risk scores; SA, sialic acid; VN, vitronectin; PAI-1, plasminogen activator inhibitor-1; OX-LDL, oxidized low density lipoprotein; MDA, malondialdehyde; ERP, early repolarization pattern; ECG, electrocardiogram; CCS, coronary calcium score; EFV, epicardial fat volume; MCMC, Markov Chain Monte Carlo; FCS, fully conditional specification; PRECOMIN, predictive value of contrast volume to creatinine clearance ratio; LVEF, left ventricular ejection fraction; GWAS, genome-wide association study; ICHS, Ideal Cardiovascular Health Score; FBS, Fuster-BEWAT score; SVM, support vector machine; SOD, superoxide dismutase; O2-, superoxide anion; SFA, saturated fatty acids; PUFA, polyunsaturated fatty acids; MUFA, monounsaturated fatty acids; EPA, eicosapentaenoic acid; PCAD, premature coronary artery disease; CACS, coronary artery calcium score; MCHC, mean corpuscular haemoglobin concentration; ALAT, alanine aminotransferase; CVC, cardiovascular clinic; MPA, memetic pattern-based algorithm; PTP, pretest probability; CAD2, CAD consortium clinical model; CKD, chronic kidney disease; HbA1c, hemoglobin A1c; SRS, summed rest score; SMS, summed motion score; STS, summed thickening score; AACT, alpha-1-antichymotrypsin; LAH, local assessment of the heart; EB, Estonian biobanks; DE, German population; PSS, polysocial score; PREVENT, Predicting Risk of cardiovascular disease EVENTs; RIT, radial artery intima thickness; BNP, B-type natriuretic peptide; PREVEND, Prevention of Renal and Vascular Endstage Disease. </w:t>
      </w:r>
    </w:p>
    <w:p w14:paraId="79E7FF2B">
      <w:pPr>
        <w:spacing w:line="360" w:lineRule="auto"/>
        <w:rPr>
          <w:rFonts w:ascii="Times New Roman" w:hAnsi="Times New Roman"/>
          <w:sz w:val="24"/>
        </w:rPr>
      </w:pPr>
    </w:p>
    <w:p w14:paraId="54350FA7">
      <w:pPr>
        <w:rPr>
          <w:rFonts w:ascii="Times New Roman" w:hAnsi="Times New Roman"/>
          <w:sz w:val="24"/>
        </w:rPr>
      </w:pPr>
      <w:r>
        <w:rPr>
          <w:rFonts w:ascii="Times New Roman" w:hAnsi="Times New Roman"/>
          <w:sz w:val="24"/>
        </w:rPr>
        <w:br w:type="page"/>
      </w:r>
    </w:p>
    <w:p w14:paraId="12A65D67">
      <w:pPr>
        <w:spacing w:line="360" w:lineRule="auto"/>
        <w:rPr>
          <w:rFonts w:ascii="Times New Roman" w:hAnsi="Times New Roman"/>
          <w:sz w:val="24"/>
        </w:rPr>
      </w:pPr>
      <w:r>
        <w:rPr>
          <w:rFonts w:ascii="Times New Roman" w:hAnsi="Times New Roman"/>
          <w:sz w:val="24"/>
        </w:rPr>
        <w:t xml:space="preserve">Table </w:t>
      </w:r>
      <w:r>
        <w:rPr>
          <w:rFonts w:hint="eastAsia" w:ascii="Times New Roman" w:hAnsi="Times New Roman"/>
          <w:sz w:val="24"/>
        </w:rPr>
        <w:t>S</w:t>
      </w:r>
      <w:r>
        <w:rPr>
          <w:rFonts w:ascii="Times New Roman" w:hAnsi="Times New Roman"/>
          <w:sz w:val="24"/>
        </w:rPr>
        <w:t>3</w:t>
      </w:r>
      <w:r>
        <w:rPr>
          <w:rFonts w:hint="eastAsia" w:ascii="Times New Roman" w:hAnsi="Times New Roman"/>
          <w:sz w:val="24"/>
        </w:rPr>
        <w:t xml:space="preserve"> </w:t>
      </w:r>
      <w:r>
        <w:rPr>
          <w:rFonts w:ascii="Times New Roman" w:hAnsi="Times New Roman"/>
          <w:sz w:val="24"/>
        </w:rPr>
        <w:t>PROBAST results of the included studies</w:t>
      </w:r>
    </w:p>
    <w:tbl>
      <w:tblPr>
        <w:tblStyle w:val="2"/>
        <w:tblW w:w="4999" w:type="pct"/>
        <w:jc w:val="center"/>
        <w:tblLayout w:type="autofit"/>
        <w:tblCellMar>
          <w:top w:w="0" w:type="dxa"/>
          <w:left w:w="108" w:type="dxa"/>
          <w:bottom w:w="0" w:type="dxa"/>
          <w:right w:w="108" w:type="dxa"/>
        </w:tblCellMar>
      </w:tblPr>
      <w:tblGrid>
        <w:gridCol w:w="1610"/>
        <w:gridCol w:w="722"/>
        <w:gridCol w:w="793"/>
        <w:gridCol w:w="707"/>
        <w:gridCol w:w="645"/>
        <w:gridCol w:w="615"/>
        <w:gridCol w:w="793"/>
        <w:gridCol w:w="707"/>
        <w:gridCol w:w="645"/>
        <w:gridCol w:w="455"/>
        <w:gridCol w:w="830"/>
      </w:tblGrid>
      <w:tr w14:paraId="1327E455">
        <w:tblPrEx>
          <w:tblCellMar>
            <w:top w:w="0" w:type="dxa"/>
            <w:left w:w="108" w:type="dxa"/>
            <w:bottom w:w="0" w:type="dxa"/>
            <w:right w:w="108" w:type="dxa"/>
          </w:tblCellMar>
        </w:tblPrEx>
        <w:trPr>
          <w:trHeight w:val="264" w:hRule="atLeast"/>
          <w:jc w:val="center"/>
        </w:trPr>
        <w:tc>
          <w:tcPr>
            <w:tcW w:w="1277" w:type="pct"/>
            <w:vMerge w:val="restart"/>
            <w:tcBorders>
              <w:top w:val="single" w:color="auto" w:sz="4" w:space="0"/>
              <w:left w:val="nil"/>
              <w:bottom w:val="nil"/>
              <w:right w:val="nil"/>
            </w:tcBorders>
            <w:noWrap/>
            <w:vAlign w:val="center"/>
          </w:tcPr>
          <w:p w14:paraId="1359E2D5">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Author</w:t>
            </w:r>
            <w:r>
              <w:rPr>
                <w:rFonts w:hint="eastAsia" w:ascii="Times New Roman" w:hAnsi="Times New Roman" w:eastAsia="宋体" w:cs="Times New Roman"/>
                <w:b/>
                <w:bCs/>
                <w:color w:val="231F20"/>
                <w:kern w:val="0"/>
                <w:sz w:val="20"/>
                <w:szCs w:val="20"/>
                <w:lang w:bidi="ar"/>
              </w:rPr>
              <w:t xml:space="preserve"> </w:t>
            </w:r>
            <w:r>
              <w:rPr>
                <w:rFonts w:ascii="Times New Roman" w:hAnsi="Times New Roman" w:eastAsia="宋体" w:cs="Times New Roman"/>
                <w:b/>
                <w:bCs/>
                <w:color w:val="231F20"/>
                <w:kern w:val="0"/>
                <w:sz w:val="20"/>
                <w:szCs w:val="20"/>
                <w:lang w:bidi="ar"/>
              </w:rPr>
              <w:t>(Year)</w:t>
            </w:r>
          </w:p>
        </w:tc>
        <w:tc>
          <w:tcPr>
            <w:tcW w:w="372" w:type="pct"/>
            <w:vMerge w:val="restart"/>
            <w:tcBorders>
              <w:top w:val="single" w:color="auto" w:sz="4" w:space="0"/>
              <w:left w:val="nil"/>
              <w:bottom w:val="nil"/>
              <w:right w:val="nil"/>
            </w:tcBorders>
            <w:noWrap/>
            <w:vAlign w:val="center"/>
          </w:tcPr>
          <w:p w14:paraId="7A5FB182">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Study type</w:t>
            </w:r>
          </w:p>
        </w:tc>
        <w:tc>
          <w:tcPr>
            <w:tcW w:w="1488" w:type="pct"/>
            <w:gridSpan w:val="4"/>
            <w:tcBorders>
              <w:top w:val="single" w:color="auto" w:sz="4" w:space="0"/>
              <w:left w:val="nil"/>
              <w:bottom w:val="single" w:color="auto" w:sz="4" w:space="0"/>
              <w:right w:val="nil"/>
            </w:tcBorders>
            <w:noWrap/>
            <w:vAlign w:val="center"/>
          </w:tcPr>
          <w:p w14:paraId="4429C7E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ROB</w:t>
            </w:r>
          </w:p>
        </w:tc>
        <w:tc>
          <w:tcPr>
            <w:tcW w:w="1173" w:type="pct"/>
            <w:gridSpan w:val="3"/>
            <w:tcBorders>
              <w:top w:val="single" w:color="auto" w:sz="4" w:space="0"/>
              <w:left w:val="nil"/>
              <w:bottom w:val="single" w:color="auto" w:sz="4" w:space="0"/>
              <w:right w:val="nil"/>
            </w:tcBorders>
            <w:noWrap/>
            <w:vAlign w:val="center"/>
          </w:tcPr>
          <w:p w14:paraId="11E6D68B">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Applicability</w:t>
            </w:r>
          </w:p>
        </w:tc>
        <w:tc>
          <w:tcPr>
            <w:tcW w:w="687" w:type="pct"/>
            <w:gridSpan w:val="2"/>
            <w:tcBorders>
              <w:top w:val="single" w:color="auto" w:sz="4" w:space="0"/>
              <w:left w:val="nil"/>
              <w:bottom w:val="single" w:color="auto" w:sz="4" w:space="0"/>
              <w:right w:val="nil"/>
            </w:tcBorders>
            <w:noWrap/>
            <w:vAlign w:val="center"/>
          </w:tcPr>
          <w:p w14:paraId="5FC13C01">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Overall</w:t>
            </w:r>
          </w:p>
        </w:tc>
      </w:tr>
      <w:tr w14:paraId="5C879BB7">
        <w:tblPrEx>
          <w:tblCellMar>
            <w:top w:w="0" w:type="dxa"/>
            <w:left w:w="108" w:type="dxa"/>
            <w:bottom w:w="0" w:type="dxa"/>
            <w:right w:w="108" w:type="dxa"/>
          </w:tblCellMar>
        </w:tblPrEx>
        <w:trPr>
          <w:trHeight w:val="264" w:hRule="atLeast"/>
          <w:jc w:val="center"/>
        </w:trPr>
        <w:tc>
          <w:tcPr>
            <w:tcW w:w="1277" w:type="pct"/>
            <w:vMerge w:val="continue"/>
            <w:tcBorders>
              <w:top w:val="nil"/>
              <w:left w:val="nil"/>
              <w:bottom w:val="single" w:color="auto" w:sz="4" w:space="0"/>
              <w:right w:val="nil"/>
            </w:tcBorders>
            <w:noWrap/>
            <w:vAlign w:val="center"/>
          </w:tcPr>
          <w:p w14:paraId="7C6F4EEB">
            <w:pPr>
              <w:jc w:val="center"/>
              <w:rPr>
                <w:rFonts w:ascii="Times New Roman" w:hAnsi="Times New Roman" w:eastAsia="宋体" w:cs="Times New Roman"/>
                <w:b/>
                <w:bCs/>
                <w:color w:val="231F20"/>
                <w:sz w:val="20"/>
                <w:szCs w:val="20"/>
              </w:rPr>
            </w:pPr>
          </w:p>
        </w:tc>
        <w:tc>
          <w:tcPr>
            <w:tcW w:w="372" w:type="pct"/>
            <w:vMerge w:val="continue"/>
            <w:tcBorders>
              <w:top w:val="nil"/>
              <w:left w:val="nil"/>
              <w:bottom w:val="single" w:color="auto" w:sz="4" w:space="0"/>
              <w:right w:val="nil"/>
            </w:tcBorders>
            <w:noWrap/>
            <w:vAlign w:val="center"/>
          </w:tcPr>
          <w:p w14:paraId="5533767F">
            <w:pPr>
              <w:jc w:val="center"/>
              <w:rPr>
                <w:rFonts w:ascii="Times New Roman" w:hAnsi="Times New Roman" w:eastAsia="宋体" w:cs="Times New Roman"/>
                <w:b/>
                <w:bCs/>
                <w:color w:val="000000"/>
                <w:sz w:val="20"/>
                <w:szCs w:val="20"/>
              </w:rPr>
            </w:pPr>
          </w:p>
        </w:tc>
        <w:tc>
          <w:tcPr>
            <w:tcW w:w="445" w:type="pct"/>
            <w:tcBorders>
              <w:top w:val="single" w:color="auto" w:sz="4" w:space="0"/>
              <w:left w:val="nil"/>
              <w:bottom w:val="single" w:color="auto" w:sz="4" w:space="0"/>
              <w:right w:val="nil"/>
            </w:tcBorders>
            <w:noWrap/>
            <w:vAlign w:val="center"/>
          </w:tcPr>
          <w:p w14:paraId="3255B9FC">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Participants</w:t>
            </w:r>
          </w:p>
        </w:tc>
        <w:tc>
          <w:tcPr>
            <w:tcW w:w="384" w:type="pct"/>
            <w:tcBorders>
              <w:top w:val="single" w:color="auto" w:sz="4" w:space="0"/>
              <w:left w:val="nil"/>
              <w:bottom w:val="single" w:color="auto" w:sz="4" w:space="0"/>
              <w:right w:val="nil"/>
            </w:tcBorders>
            <w:noWrap/>
            <w:vAlign w:val="center"/>
          </w:tcPr>
          <w:p w14:paraId="1DCCB5D7">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Predictors</w:t>
            </w:r>
          </w:p>
        </w:tc>
        <w:tc>
          <w:tcPr>
            <w:tcW w:w="338" w:type="pct"/>
            <w:tcBorders>
              <w:top w:val="single" w:color="auto" w:sz="4" w:space="0"/>
              <w:left w:val="nil"/>
              <w:bottom w:val="single" w:color="auto" w:sz="4" w:space="0"/>
              <w:right w:val="nil"/>
            </w:tcBorders>
            <w:noWrap/>
            <w:vAlign w:val="center"/>
          </w:tcPr>
          <w:p w14:paraId="5168C2E9">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Outcome</w:t>
            </w:r>
          </w:p>
        </w:tc>
        <w:tc>
          <w:tcPr>
            <w:tcW w:w="320" w:type="pct"/>
            <w:tcBorders>
              <w:top w:val="single" w:color="auto" w:sz="4" w:space="0"/>
              <w:left w:val="nil"/>
              <w:bottom w:val="single" w:color="auto" w:sz="4" w:space="0"/>
              <w:right w:val="nil"/>
            </w:tcBorders>
            <w:noWrap/>
            <w:vAlign w:val="center"/>
          </w:tcPr>
          <w:p w14:paraId="3B0A3B43">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Analysis</w:t>
            </w:r>
          </w:p>
        </w:tc>
        <w:tc>
          <w:tcPr>
            <w:tcW w:w="445" w:type="pct"/>
            <w:tcBorders>
              <w:top w:val="single" w:color="auto" w:sz="4" w:space="0"/>
              <w:left w:val="nil"/>
              <w:bottom w:val="single" w:color="auto" w:sz="4" w:space="0"/>
              <w:right w:val="nil"/>
            </w:tcBorders>
            <w:noWrap/>
            <w:vAlign w:val="center"/>
          </w:tcPr>
          <w:p w14:paraId="12905248">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Participants</w:t>
            </w:r>
          </w:p>
        </w:tc>
        <w:tc>
          <w:tcPr>
            <w:tcW w:w="389" w:type="pct"/>
            <w:tcBorders>
              <w:top w:val="single" w:color="auto" w:sz="4" w:space="0"/>
              <w:left w:val="nil"/>
              <w:bottom w:val="single" w:color="auto" w:sz="4" w:space="0"/>
              <w:right w:val="nil"/>
            </w:tcBorders>
            <w:noWrap/>
            <w:vAlign w:val="center"/>
          </w:tcPr>
          <w:p w14:paraId="45B15EEF">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Predictors</w:t>
            </w:r>
          </w:p>
        </w:tc>
        <w:tc>
          <w:tcPr>
            <w:tcW w:w="338" w:type="pct"/>
            <w:tcBorders>
              <w:top w:val="single" w:color="auto" w:sz="4" w:space="0"/>
              <w:left w:val="nil"/>
              <w:bottom w:val="single" w:color="auto" w:sz="4" w:space="0"/>
              <w:right w:val="nil"/>
            </w:tcBorders>
            <w:noWrap/>
            <w:vAlign w:val="center"/>
          </w:tcPr>
          <w:p w14:paraId="4093DB4E">
            <w:pPr>
              <w:widowControl/>
              <w:jc w:val="center"/>
              <w:textAlignment w:val="center"/>
              <w:rPr>
                <w:rFonts w:ascii="Times New Roman" w:hAnsi="Times New Roman" w:eastAsia="宋体" w:cs="Times New Roman"/>
                <w:b/>
                <w:bCs/>
                <w:color w:val="231F20"/>
                <w:sz w:val="20"/>
                <w:szCs w:val="20"/>
              </w:rPr>
            </w:pPr>
            <w:r>
              <w:rPr>
                <w:rFonts w:ascii="Times New Roman" w:hAnsi="Times New Roman" w:eastAsia="宋体" w:cs="Times New Roman"/>
                <w:b/>
                <w:bCs/>
                <w:color w:val="231F20"/>
                <w:kern w:val="0"/>
                <w:sz w:val="20"/>
                <w:szCs w:val="20"/>
                <w:lang w:bidi="ar"/>
              </w:rPr>
              <w:t>Outcome</w:t>
            </w:r>
          </w:p>
        </w:tc>
        <w:tc>
          <w:tcPr>
            <w:tcW w:w="221" w:type="pct"/>
            <w:tcBorders>
              <w:top w:val="single" w:color="auto" w:sz="4" w:space="0"/>
              <w:left w:val="nil"/>
              <w:bottom w:val="single" w:color="auto" w:sz="4" w:space="0"/>
              <w:right w:val="nil"/>
            </w:tcBorders>
            <w:noWrap/>
            <w:vAlign w:val="center"/>
          </w:tcPr>
          <w:p w14:paraId="03510912">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ROB</w:t>
            </w:r>
          </w:p>
        </w:tc>
        <w:tc>
          <w:tcPr>
            <w:tcW w:w="465" w:type="pct"/>
            <w:tcBorders>
              <w:top w:val="single" w:color="auto" w:sz="4" w:space="0"/>
              <w:left w:val="nil"/>
              <w:bottom w:val="single" w:color="auto" w:sz="4" w:space="0"/>
              <w:right w:val="nil"/>
            </w:tcBorders>
            <w:noWrap/>
            <w:vAlign w:val="center"/>
          </w:tcPr>
          <w:p w14:paraId="56D5A0D3">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Applicability</w:t>
            </w:r>
          </w:p>
        </w:tc>
      </w:tr>
      <w:tr w14:paraId="77B822F9">
        <w:tblPrEx>
          <w:tblCellMar>
            <w:top w:w="0" w:type="dxa"/>
            <w:left w:w="108" w:type="dxa"/>
            <w:bottom w:w="0" w:type="dxa"/>
            <w:right w:w="108" w:type="dxa"/>
          </w:tblCellMar>
        </w:tblPrEx>
        <w:trPr>
          <w:trHeight w:val="264" w:hRule="atLeast"/>
          <w:jc w:val="center"/>
        </w:trPr>
        <w:tc>
          <w:tcPr>
            <w:tcW w:w="1277" w:type="pct"/>
            <w:tcBorders>
              <w:top w:val="single" w:color="auto" w:sz="4" w:space="0"/>
              <w:left w:val="nil"/>
              <w:bottom w:val="nil"/>
              <w:right w:val="nil"/>
            </w:tcBorders>
            <w:noWrap/>
            <w:vAlign w:val="center"/>
          </w:tcPr>
          <w:p w14:paraId="596D9C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Yike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72" w:type="pct"/>
            <w:tcBorders>
              <w:top w:val="single" w:color="auto" w:sz="4" w:space="0"/>
              <w:left w:val="nil"/>
              <w:bottom w:val="nil"/>
              <w:right w:val="nil"/>
            </w:tcBorders>
            <w:vAlign w:val="center"/>
          </w:tcPr>
          <w:p w14:paraId="5D288F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single" w:color="auto" w:sz="4" w:space="0"/>
              <w:left w:val="nil"/>
              <w:bottom w:val="nil"/>
              <w:right w:val="nil"/>
            </w:tcBorders>
            <w:noWrap/>
            <w:vAlign w:val="center"/>
          </w:tcPr>
          <w:p w14:paraId="78121B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single" w:color="auto" w:sz="4" w:space="0"/>
              <w:left w:val="nil"/>
              <w:bottom w:val="nil"/>
              <w:right w:val="nil"/>
            </w:tcBorders>
            <w:noWrap/>
            <w:vAlign w:val="center"/>
          </w:tcPr>
          <w:p w14:paraId="69AADA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single" w:color="auto" w:sz="4" w:space="0"/>
              <w:left w:val="nil"/>
              <w:bottom w:val="nil"/>
              <w:right w:val="nil"/>
            </w:tcBorders>
            <w:noWrap/>
            <w:vAlign w:val="center"/>
          </w:tcPr>
          <w:p w14:paraId="5A942C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single" w:color="auto" w:sz="4" w:space="0"/>
              <w:left w:val="nil"/>
              <w:bottom w:val="nil"/>
              <w:right w:val="nil"/>
            </w:tcBorders>
            <w:noWrap/>
            <w:vAlign w:val="center"/>
          </w:tcPr>
          <w:p w14:paraId="018EAF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single" w:color="auto" w:sz="4" w:space="0"/>
              <w:left w:val="nil"/>
              <w:bottom w:val="nil"/>
              <w:right w:val="nil"/>
            </w:tcBorders>
            <w:noWrap/>
            <w:vAlign w:val="center"/>
          </w:tcPr>
          <w:p w14:paraId="59E976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single" w:color="auto" w:sz="4" w:space="0"/>
              <w:left w:val="nil"/>
              <w:bottom w:val="nil"/>
              <w:right w:val="nil"/>
            </w:tcBorders>
            <w:noWrap/>
            <w:vAlign w:val="center"/>
          </w:tcPr>
          <w:p w14:paraId="6C7D44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single" w:color="auto" w:sz="4" w:space="0"/>
              <w:left w:val="nil"/>
              <w:bottom w:val="nil"/>
              <w:right w:val="nil"/>
            </w:tcBorders>
            <w:noWrap/>
            <w:vAlign w:val="center"/>
          </w:tcPr>
          <w:p w14:paraId="1CBC69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single" w:color="auto" w:sz="4" w:space="0"/>
              <w:left w:val="nil"/>
              <w:bottom w:val="nil"/>
              <w:right w:val="nil"/>
            </w:tcBorders>
            <w:noWrap/>
            <w:vAlign w:val="center"/>
          </w:tcPr>
          <w:p w14:paraId="0324A9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single" w:color="auto" w:sz="4" w:space="0"/>
              <w:left w:val="nil"/>
              <w:bottom w:val="nil"/>
              <w:right w:val="nil"/>
            </w:tcBorders>
            <w:noWrap/>
            <w:vAlign w:val="center"/>
          </w:tcPr>
          <w:p w14:paraId="307446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EE9D603">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6E22A8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Kuangmao Chiang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42B4EA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18B43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69B5D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16A2A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0FCF1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2C119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4F521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B0972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47AD2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6E65F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50A530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BC413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Ekram W. Abd El-Wahab</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372" w:type="pct"/>
            <w:tcBorders>
              <w:top w:val="nil"/>
              <w:left w:val="nil"/>
              <w:bottom w:val="nil"/>
              <w:right w:val="nil"/>
            </w:tcBorders>
            <w:vAlign w:val="center"/>
          </w:tcPr>
          <w:p w14:paraId="4C232F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CF281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E58FC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6DCFF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7406C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D949A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8ECB9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CA099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581D89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031E4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0A35D16">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82124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Dingyu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vAlign w:val="center"/>
          </w:tcPr>
          <w:p w14:paraId="3A7C07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32B8E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918F9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E3871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673BA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0C828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9D53D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4A116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52EDA9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28558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E13F2E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2636E7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Zuqiang Fu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vAlign w:val="center"/>
          </w:tcPr>
          <w:p w14:paraId="235B96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0BB242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09F96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556B9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B1E25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E9718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5587BC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36417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1E9B8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E4592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53A48E1">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2E5B67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Wafa Omer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372" w:type="pct"/>
            <w:tcBorders>
              <w:top w:val="nil"/>
              <w:left w:val="nil"/>
              <w:bottom w:val="nil"/>
              <w:right w:val="nil"/>
            </w:tcBorders>
            <w:vAlign w:val="center"/>
          </w:tcPr>
          <w:p w14:paraId="03A93C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0E9203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2AA49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9D125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796E1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25310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57A638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ECF02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69D6A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01B5F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C6CDDB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780AA9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Isaac Subirana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72" w:type="pct"/>
            <w:tcBorders>
              <w:top w:val="nil"/>
              <w:left w:val="nil"/>
              <w:bottom w:val="nil"/>
              <w:right w:val="nil"/>
            </w:tcBorders>
            <w:vAlign w:val="center"/>
          </w:tcPr>
          <w:p w14:paraId="4C08B0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0471F0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214BE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0EE88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29FB86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16BDD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21367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D6E84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3EE92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280A5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FC4ADE3">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678354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Jinyu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345479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27D222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3794E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FBD40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A6343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D20BE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C2974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D6A7E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982DB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4C3CB3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733A2E9">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474FBB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Symen Ligthart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(2014)</w:t>
            </w:r>
          </w:p>
        </w:tc>
        <w:tc>
          <w:tcPr>
            <w:tcW w:w="372" w:type="pct"/>
            <w:tcBorders>
              <w:top w:val="nil"/>
              <w:left w:val="nil"/>
              <w:bottom w:val="nil"/>
              <w:right w:val="nil"/>
            </w:tcBorders>
            <w:vAlign w:val="center"/>
          </w:tcPr>
          <w:p w14:paraId="58D336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9CC65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153AB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1D6C5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75C0D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174B7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5A02C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CD9A5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4B91E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CDF8D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0C9E64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72FDA7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Joseph F. Polak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72" w:type="pct"/>
            <w:tcBorders>
              <w:top w:val="nil"/>
              <w:left w:val="nil"/>
              <w:bottom w:val="nil"/>
              <w:right w:val="nil"/>
            </w:tcBorders>
            <w:vAlign w:val="center"/>
          </w:tcPr>
          <w:p w14:paraId="080EBD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87D2B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4F18C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1985D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D5ABA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CC403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6CC06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C1548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7898A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28484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71C1C8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5C94BE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Carla Debernardi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72" w:type="pct"/>
            <w:tcBorders>
              <w:top w:val="nil"/>
              <w:left w:val="nil"/>
              <w:bottom w:val="nil"/>
              <w:right w:val="nil"/>
            </w:tcBorders>
            <w:vAlign w:val="center"/>
          </w:tcPr>
          <w:p w14:paraId="516522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2FE6EB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8DA96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4CFF1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86243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2CC073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E2282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CF8FD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72B84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B82E1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15D00B0">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5C8053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Estefanía Nuneza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noWrap/>
            <w:vAlign w:val="center"/>
          </w:tcPr>
          <w:p w14:paraId="420476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403BAA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BF706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EBB27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4CD7CE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E21F3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7922D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DE58C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A485B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44EB49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2653834">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37F018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Shuna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10E632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6A2CC3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25F6A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17C2B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3AF48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68B57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5AB9BC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2928E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B7623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E2F94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424D4E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302A15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Pengfei Wei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72" w:type="pct"/>
            <w:tcBorders>
              <w:top w:val="nil"/>
              <w:left w:val="nil"/>
              <w:bottom w:val="nil"/>
              <w:right w:val="nil"/>
            </w:tcBorders>
            <w:noWrap/>
            <w:vAlign w:val="center"/>
          </w:tcPr>
          <w:p w14:paraId="598E98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E7EC8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0D696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36306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8F349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8699A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6466D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6D0D2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542C0E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93512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AF7DCB0">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409BA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372" w:type="pct"/>
            <w:tcBorders>
              <w:top w:val="nil"/>
              <w:left w:val="nil"/>
              <w:bottom w:val="nil"/>
              <w:right w:val="nil"/>
            </w:tcBorders>
            <w:noWrap/>
            <w:vAlign w:val="center"/>
          </w:tcPr>
          <w:p w14:paraId="14502C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62C734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0F3B35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D8A9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8D9D7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822CF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A8D64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D6758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0B95C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221EF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07DC787">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1DA25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38D9B5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3190F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37ADF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BDC02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2251C3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5CDA7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DAF4F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97AF1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C92F0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C1FF1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BB0F7B7">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45C53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34F448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A8E31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C1508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E052E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7CAC8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98BEB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7D14D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3A4F3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A1F26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807BB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DA20CB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5F1BF5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Iain S. Forrest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noWrap/>
            <w:vAlign w:val="center"/>
          </w:tcPr>
          <w:p w14:paraId="4EAB0C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131099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ED672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3F623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4ACA0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D9991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75DA1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DF710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A49E6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402CB1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65A7565">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1CCF59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Nicola Gaibazzi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372" w:type="pct"/>
            <w:tcBorders>
              <w:top w:val="nil"/>
              <w:left w:val="nil"/>
              <w:bottom w:val="nil"/>
              <w:right w:val="nil"/>
            </w:tcBorders>
            <w:vAlign w:val="center"/>
          </w:tcPr>
          <w:p w14:paraId="59ACF9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5BDE49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9C2C7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05F9A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2EABB8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CC45B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4076F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C5DFF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D26D0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52A64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E7314FE">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375683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Yujia Yang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72" w:type="pct"/>
            <w:tcBorders>
              <w:top w:val="nil"/>
              <w:left w:val="nil"/>
              <w:bottom w:val="nil"/>
              <w:right w:val="nil"/>
            </w:tcBorders>
            <w:vAlign w:val="center"/>
          </w:tcPr>
          <w:p w14:paraId="0CFDB1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B9D32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894AF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B14F8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4E9F91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A9980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DE81E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CEE38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9F4BC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CF217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7DD955E">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4FF942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Chiara Caselli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372" w:type="pct"/>
            <w:tcBorders>
              <w:top w:val="nil"/>
              <w:left w:val="nil"/>
              <w:bottom w:val="nil"/>
              <w:right w:val="nil"/>
            </w:tcBorders>
            <w:noWrap/>
            <w:vAlign w:val="center"/>
          </w:tcPr>
          <w:p w14:paraId="286D3D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01E1E5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2232A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A1E66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B4DEB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2742FD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500AAC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49589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7C9B6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06042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04EF1E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2AB7EC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Jayashree Shanker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372" w:type="pct"/>
            <w:tcBorders>
              <w:top w:val="nil"/>
              <w:left w:val="nil"/>
              <w:bottom w:val="nil"/>
              <w:right w:val="nil"/>
            </w:tcBorders>
            <w:vAlign w:val="center"/>
          </w:tcPr>
          <w:p w14:paraId="6CF8AA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AB43B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0F65A5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99C03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13707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72A56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E375E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D2B55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27329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7039A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1A51BD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4FA394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George Hindy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5183A0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41A1DD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9BAC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DA2D4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ACB1B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CE0A7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17F6B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05472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2C7A6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405540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706D48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562A36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vAlign w:val="center"/>
          </w:tcPr>
          <w:p w14:paraId="2C8B61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A19AF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66959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28C1D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462F5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37651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D15C2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6E5EC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DAFCC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4C4967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F749AD2">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1C1504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Yingying Zheng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6D58D1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035D68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18145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7576D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00511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D8F4C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5D6883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D8B9F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07A69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33F53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B5854D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7641A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Joshua Elliot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36697E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0831E7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D9B08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FAA7F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AF185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E8B8A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A48D9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7C510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E1C9A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A64E2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A5290CB">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6BCC2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528F0F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554284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3E8B7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1E18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43F59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D4E79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69190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95C1B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D97BD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15022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42567EC">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C89A2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Sakhavat Abolhasani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vAlign w:val="center"/>
          </w:tcPr>
          <w:p w14:paraId="272DB6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FCA4C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EEE8A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04853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41A4CF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AC05E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0FA98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8B5B2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D989D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2D22D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BD2EC41">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2A107A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Zhe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vAlign w:val="center"/>
          </w:tcPr>
          <w:p w14:paraId="553AB8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8B6D7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97CF4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9B0EE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3C0DB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28A086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1462B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C00B2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1D978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EF3D8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8CA102B">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5BE30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Weiyi Mei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vAlign w:val="center"/>
          </w:tcPr>
          <w:p w14:paraId="7C6736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EA007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C470F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D2647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089EB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62327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DA040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7C9EF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9086B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31FDF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BC6930C">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ADAF9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James J. Jang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vAlign w:val="center"/>
          </w:tcPr>
          <w:p w14:paraId="5D9D6A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B0706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78868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7236B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4D4FE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A3B7A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6D2D0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08D02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CB8A3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2741E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ABD0374">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C0407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Jia Zhou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noWrap/>
            <w:vAlign w:val="center"/>
          </w:tcPr>
          <w:p w14:paraId="619DD9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7FA0B7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3A635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A71D3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BB861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B7960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A6D4C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E27B2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3F03A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20B68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1AE8A7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03A64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72" w:type="pct"/>
            <w:tcBorders>
              <w:top w:val="nil"/>
              <w:left w:val="nil"/>
              <w:bottom w:val="nil"/>
              <w:right w:val="nil"/>
            </w:tcBorders>
            <w:noWrap/>
            <w:vAlign w:val="center"/>
          </w:tcPr>
          <w:p w14:paraId="1B235B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366E05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5DC6B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402D9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C660F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262F9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9FE8D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585DE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BBD7C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F5958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C9F2514">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600344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Inouye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72" w:type="pct"/>
            <w:tcBorders>
              <w:top w:val="nil"/>
              <w:left w:val="nil"/>
              <w:bottom w:val="nil"/>
              <w:right w:val="nil"/>
            </w:tcBorders>
            <w:noWrap/>
            <w:vAlign w:val="center"/>
          </w:tcPr>
          <w:p w14:paraId="785AAA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494E56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D4898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50E53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19494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C1F50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85E43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3427D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8C6B4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A14D7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82D2C85">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05E41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372" w:type="pct"/>
            <w:tcBorders>
              <w:top w:val="nil"/>
              <w:left w:val="nil"/>
              <w:bottom w:val="nil"/>
              <w:right w:val="nil"/>
            </w:tcBorders>
            <w:vAlign w:val="center"/>
          </w:tcPr>
          <w:p w14:paraId="7B0BCD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0EE957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8C7AF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FA452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2DF588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F7D73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ACFC6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002E0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97CD6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5480D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BBE2C6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6811A9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Juan Miguel Fernández-Alvira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372" w:type="pct"/>
            <w:tcBorders>
              <w:top w:val="nil"/>
              <w:left w:val="nil"/>
              <w:bottom w:val="nil"/>
              <w:right w:val="nil"/>
            </w:tcBorders>
            <w:vAlign w:val="center"/>
          </w:tcPr>
          <w:p w14:paraId="089712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26B299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CB8D7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A3385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5A41A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39E38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7F21D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E5AA0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5C1FD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E234F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09D7E14">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29BB89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Tessa S.S.Genders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(2011)</w:t>
            </w:r>
          </w:p>
        </w:tc>
        <w:tc>
          <w:tcPr>
            <w:tcW w:w="372" w:type="pct"/>
            <w:tcBorders>
              <w:top w:val="nil"/>
              <w:left w:val="nil"/>
              <w:bottom w:val="nil"/>
              <w:right w:val="nil"/>
            </w:tcBorders>
            <w:vAlign w:val="center"/>
          </w:tcPr>
          <w:p w14:paraId="1A9896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6AE2DE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C7E13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BBD7C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F61AE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16408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59AB5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B1F07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0804B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4CDA7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3002FE8">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64FABD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Christian Delles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372" w:type="pct"/>
            <w:tcBorders>
              <w:top w:val="nil"/>
              <w:left w:val="nil"/>
              <w:bottom w:val="nil"/>
              <w:right w:val="nil"/>
            </w:tcBorders>
            <w:noWrap/>
            <w:vAlign w:val="center"/>
          </w:tcPr>
          <w:p w14:paraId="023FEC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695963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5556A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8F459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107FA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A2FFF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E6E62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BD735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A3CDE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C43E0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3653E50">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noWrap/>
            <w:vAlign w:val="center"/>
          </w:tcPr>
          <w:p w14:paraId="593A93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Stefan Bösner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372" w:type="pct"/>
            <w:tcBorders>
              <w:top w:val="nil"/>
              <w:left w:val="nil"/>
              <w:bottom w:val="nil"/>
              <w:right w:val="nil"/>
            </w:tcBorders>
            <w:noWrap/>
            <w:vAlign w:val="center"/>
          </w:tcPr>
          <w:p w14:paraId="373A57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54291E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88029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7B613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F0D76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28E07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DBC55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D1D28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22AE09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9A7BF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14D8092">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E1429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Dragana Lakic BPharm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372" w:type="pct"/>
            <w:tcBorders>
              <w:top w:val="nil"/>
              <w:left w:val="nil"/>
              <w:bottom w:val="nil"/>
              <w:right w:val="nil"/>
            </w:tcBorders>
            <w:vAlign w:val="center"/>
          </w:tcPr>
          <w:p w14:paraId="468054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43E0A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B28A8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1D173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B3788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C75A0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796C4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DF717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B4B42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1331F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287F223">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54A24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Zufei Wu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372" w:type="pct"/>
            <w:tcBorders>
              <w:top w:val="nil"/>
              <w:left w:val="nil"/>
              <w:bottom w:val="nil"/>
              <w:right w:val="nil"/>
            </w:tcBorders>
            <w:vAlign w:val="center"/>
          </w:tcPr>
          <w:p w14:paraId="586901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F7CAC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CF709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C3E21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69B1D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7C115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55B19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2EDCD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7F30E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2730B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B0EDEE6">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460EC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Yongjin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72" w:type="pct"/>
            <w:tcBorders>
              <w:top w:val="nil"/>
              <w:left w:val="nil"/>
              <w:bottom w:val="nil"/>
              <w:right w:val="nil"/>
            </w:tcBorders>
            <w:vAlign w:val="center"/>
          </w:tcPr>
          <w:p w14:paraId="155070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A092F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D6A88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AF729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701BB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88B76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942AC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DDF29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54AA5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BC762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DCBDDE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7489E3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Runlu Sun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372" w:type="pct"/>
            <w:tcBorders>
              <w:top w:val="nil"/>
              <w:left w:val="nil"/>
              <w:bottom w:val="nil"/>
              <w:right w:val="nil"/>
            </w:tcBorders>
            <w:vAlign w:val="center"/>
          </w:tcPr>
          <w:p w14:paraId="68D6D2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1457DA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095581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048EA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85BB3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0FCC5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C3E6E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221CA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5567B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1C496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1A0A3D8">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710D3F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Wenqian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noWrap/>
            <w:vAlign w:val="center"/>
          </w:tcPr>
          <w:p w14:paraId="245109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53D5D1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CE546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2DCDE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E439C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2C900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4321F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1DE4B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814B0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CCD78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C4645AC">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ABA7E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Sadiya S. Khan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noWrap/>
            <w:vAlign w:val="center"/>
          </w:tcPr>
          <w:p w14:paraId="7FA5C0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14D0B8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6319A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8078B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46E78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D0C97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7228B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3508E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47E05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1B5F3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5F8649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EEBC0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Simon Winther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153D75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1BFA8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609E9C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FED0A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3BA0F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3EC95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61E7F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B025D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4C91A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1F9C4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4DCCCD6">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6538FA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Austin King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vAlign w:val="center"/>
          </w:tcPr>
          <w:p w14:paraId="55E86F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50FD61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38E2F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0D1F8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23C2E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9D681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52B4F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995A3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CBD12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C8567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B19B27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75AAEF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Casper G.M.J. Eurlings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39A87A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w:t>
            </w:r>
          </w:p>
        </w:tc>
        <w:tc>
          <w:tcPr>
            <w:tcW w:w="445" w:type="pct"/>
            <w:tcBorders>
              <w:top w:val="nil"/>
              <w:left w:val="nil"/>
              <w:bottom w:val="nil"/>
              <w:right w:val="nil"/>
            </w:tcBorders>
            <w:vAlign w:val="center"/>
          </w:tcPr>
          <w:p w14:paraId="0F7D13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C60D7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A3771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C02C5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161BA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D4E82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7F524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29400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2ED0D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CC971FB">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3E143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Juntae Kim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03DF85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0FEAC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51CCC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CE570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90977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B3D00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E5257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7F9B1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1251E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809D8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05DD758">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72698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Bao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6EC5A7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2FC7CA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EBCBC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98D99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84E03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3FB5E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1D5780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0E92D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C8180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F1E16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9F9766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B1B24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Chenchi Chang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2B460C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9488D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2F64D9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B0512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C9EB2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F320F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0E78FF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2DE7E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3CA505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1CFBF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1BF28C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324092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7234C8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6DED5B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5E2A1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2506D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27A98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43803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3FDFD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1EB04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502435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825EB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64E2B3E0">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D8D3A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Saaket Agrawal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372" w:type="pct"/>
            <w:tcBorders>
              <w:top w:val="nil"/>
              <w:left w:val="nil"/>
              <w:bottom w:val="nil"/>
              <w:right w:val="nil"/>
            </w:tcBorders>
            <w:vAlign w:val="center"/>
          </w:tcPr>
          <w:p w14:paraId="4E19A8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9614B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48BFF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79DBEB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4F7EF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6B063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7E717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788BA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35C7F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EA4D7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4702B6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681B7B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noWrap/>
            <w:vAlign w:val="center"/>
          </w:tcPr>
          <w:p w14:paraId="015829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w:t>
            </w:r>
          </w:p>
        </w:tc>
        <w:tc>
          <w:tcPr>
            <w:tcW w:w="445" w:type="pct"/>
            <w:tcBorders>
              <w:top w:val="nil"/>
              <w:left w:val="nil"/>
              <w:bottom w:val="nil"/>
              <w:right w:val="nil"/>
            </w:tcBorders>
            <w:vAlign w:val="center"/>
          </w:tcPr>
          <w:p w14:paraId="2E4B4B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9A4A7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CB75D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17C34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4FCF0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6A894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C5E7E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01665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6479D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2C0BF1F">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2E3EEE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Naderian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372" w:type="pct"/>
            <w:tcBorders>
              <w:top w:val="nil"/>
              <w:left w:val="nil"/>
              <w:bottom w:val="nil"/>
              <w:right w:val="nil"/>
            </w:tcBorders>
            <w:vAlign w:val="center"/>
          </w:tcPr>
          <w:p w14:paraId="3F61F8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2C7CD7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C5EBB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95706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4A98C0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10DF4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F5ED5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426AD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ACC47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09EA0B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192290A">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6770F7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Alexander 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vAlign w:val="center"/>
          </w:tcPr>
          <w:p w14:paraId="73E34B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1D963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BBFF5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E288C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04A3CF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1B5239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C81CF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AFED4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D3D2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E4895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2BACAD6">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F3D43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Maria Isabel Mendonc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372" w:type="pct"/>
            <w:tcBorders>
              <w:top w:val="nil"/>
              <w:left w:val="nil"/>
              <w:bottom w:val="nil"/>
              <w:right w:val="nil"/>
            </w:tcBorders>
            <w:vAlign w:val="center"/>
          </w:tcPr>
          <w:p w14:paraId="7C4D51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D31D1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B4959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7F36D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20B177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534ADC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79FA3B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FB905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80919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01578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4D793BC">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30465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Lingyun Zhou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vAlign w:val="center"/>
          </w:tcPr>
          <w:p w14:paraId="5ABBD5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2F23E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25ECF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A4F1E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84215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A39CB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2645A0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820A8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7ED82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DB286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4F4777E1">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D4B8A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Vijay Nambi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372" w:type="pct"/>
            <w:tcBorders>
              <w:top w:val="nil"/>
              <w:left w:val="nil"/>
              <w:bottom w:val="nil"/>
              <w:right w:val="nil"/>
            </w:tcBorders>
            <w:vAlign w:val="center"/>
          </w:tcPr>
          <w:p w14:paraId="25FC37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57EB9E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051A0D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38289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51F16B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35BC1F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0D056A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3DD1A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4479C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7A3B48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879F3E1">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3CEE1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Mingjun Xu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372" w:type="pct"/>
            <w:tcBorders>
              <w:top w:val="nil"/>
              <w:left w:val="nil"/>
              <w:bottom w:val="nil"/>
              <w:right w:val="nil"/>
            </w:tcBorders>
            <w:vAlign w:val="center"/>
          </w:tcPr>
          <w:p w14:paraId="32A477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6A929A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54D52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26111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70E42C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C806D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5EF10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1F54ED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82DD5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1745F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B63EFC2">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598DDA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Hongzeng Xu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372" w:type="pct"/>
            <w:tcBorders>
              <w:top w:val="nil"/>
              <w:left w:val="nil"/>
              <w:bottom w:val="nil"/>
              <w:right w:val="nil"/>
            </w:tcBorders>
            <w:vAlign w:val="center"/>
          </w:tcPr>
          <w:p w14:paraId="3210B3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45C545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3C137C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29EE8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354DFD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BF7F3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423EE1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153C7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0616EB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384A09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808D09B">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13F1AF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Masayuki Kawabe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372" w:type="pct"/>
            <w:tcBorders>
              <w:top w:val="nil"/>
              <w:left w:val="nil"/>
              <w:bottom w:val="nil"/>
              <w:right w:val="nil"/>
            </w:tcBorders>
            <w:vAlign w:val="center"/>
          </w:tcPr>
          <w:p w14:paraId="39D874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3FE838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4ABC94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F955F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06F1B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217365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314F6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6478A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718750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F298C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04519062">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753788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Shiqun Chen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72" w:type="pct"/>
            <w:tcBorders>
              <w:top w:val="nil"/>
              <w:left w:val="nil"/>
              <w:bottom w:val="nil"/>
              <w:right w:val="nil"/>
            </w:tcBorders>
            <w:vAlign w:val="center"/>
          </w:tcPr>
          <w:p w14:paraId="6E8506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006318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4B876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639B92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251A4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71286E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72F67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090F0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35CDC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5C74B5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1804C10D">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81CB3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 Lenselink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372" w:type="pct"/>
            <w:tcBorders>
              <w:top w:val="nil"/>
              <w:left w:val="nil"/>
              <w:bottom w:val="nil"/>
              <w:right w:val="nil"/>
            </w:tcBorders>
            <w:vAlign w:val="center"/>
          </w:tcPr>
          <w:p w14:paraId="103156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w:t>
            </w:r>
          </w:p>
        </w:tc>
        <w:tc>
          <w:tcPr>
            <w:tcW w:w="445" w:type="pct"/>
            <w:tcBorders>
              <w:top w:val="nil"/>
              <w:left w:val="nil"/>
              <w:bottom w:val="nil"/>
              <w:right w:val="nil"/>
            </w:tcBorders>
            <w:vAlign w:val="center"/>
          </w:tcPr>
          <w:p w14:paraId="4FCBE2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5BB41D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7D9A6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63D391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467DC7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24A25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517F09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119F3B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24ACE6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7DE7D835">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096ED3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Dennis T. Ko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372" w:type="pct"/>
            <w:tcBorders>
              <w:top w:val="nil"/>
              <w:left w:val="nil"/>
              <w:bottom w:val="nil"/>
              <w:right w:val="nil"/>
            </w:tcBorders>
            <w:vAlign w:val="center"/>
          </w:tcPr>
          <w:p w14:paraId="7BB031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w:t>
            </w:r>
          </w:p>
        </w:tc>
        <w:tc>
          <w:tcPr>
            <w:tcW w:w="445" w:type="pct"/>
            <w:tcBorders>
              <w:top w:val="nil"/>
              <w:left w:val="nil"/>
              <w:bottom w:val="nil"/>
              <w:right w:val="nil"/>
            </w:tcBorders>
            <w:vAlign w:val="center"/>
          </w:tcPr>
          <w:p w14:paraId="315ECF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1D438F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43E3C7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1478FC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008AF9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6E9DAC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31E9B6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6E143E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19C036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5BCC54AE">
        <w:tblPrEx>
          <w:tblCellMar>
            <w:top w:w="0" w:type="dxa"/>
            <w:left w:w="108" w:type="dxa"/>
            <w:bottom w:w="0" w:type="dxa"/>
            <w:right w:w="108" w:type="dxa"/>
          </w:tblCellMar>
        </w:tblPrEx>
        <w:trPr>
          <w:trHeight w:val="567" w:hRule="atLeast"/>
          <w:jc w:val="center"/>
        </w:trPr>
        <w:tc>
          <w:tcPr>
            <w:tcW w:w="1277" w:type="pct"/>
            <w:tcBorders>
              <w:top w:val="nil"/>
              <w:left w:val="nil"/>
              <w:right w:val="nil"/>
            </w:tcBorders>
            <w:vAlign w:val="center"/>
          </w:tcPr>
          <w:p w14:paraId="425E70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372" w:type="pct"/>
            <w:tcBorders>
              <w:top w:val="nil"/>
              <w:left w:val="nil"/>
              <w:right w:val="nil"/>
            </w:tcBorders>
            <w:vAlign w:val="center"/>
          </w:tcPr>
          <w:p w14:paraId="3C1D12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w:t>
            </w:r>
          </w:p>
        </w:tc>
        <w:tc>
          <w:tcPr>
            <w:tcW w:w="445" w:type="pct"/>
            <w:tcBorders>
              <w:top w:val="nil"/>
              <w:left w:val="nil"/>
              <w:right w:val="nil"/>
            </w:tcBorders>
            <w:vAlign w:val="center"/>
          </w:tcPr>
          <w:p w14:paraId="425C6D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right w:val="nil"/>
            </w:tcBorders>
            <w:vAlign w:val="center"/>
          </w:tcPr>
          <w:p w14:paraId="6EE78A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right w:val="nil"/>
            </w:tcBorders>
            <w:vAlign w:val="center"/>
          </w:tcPr>
          <w:p w14:paraId="43C264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right w:val="nil"/>
            </w:tcBorders>
            <w:vAlign w:val="center"/>
          </w:tcPr>
          <w:p w14:paraId="138910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right w:val="nil"/>
            </w:tcBorders>
            <w:vAlign w:val="center"/>
          </w:tcPr>
          <w:p w14:paraId="0C5639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right w:val="nil"/>
            </w:tcBorders>
            <w:vAlign w:val="center"/>
          </w:tcPr>
          <w:p w14:paraId="62F34E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right w:val="nil"/>
            </w:tcBorders>
            <w:vAlign w:val="center"/>
          </w:tcPr>
          <w:p w14:paraId="2B1F06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right w:val="nil"/>
            </w:tcBorders>
            <w:vAlign w:val="center"/>
          </w:tcPr>
          <w:p w14:paraId="605629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right w:val="nil"/>
            </w:tcBorders>
            <w:vAlign w:val="center"/>
          </w:tcPr>
          <w:p w14:paraId="64819F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35DA2433">
        <w:tblPrEx>
          <w:tblCellMar>
            <w:top w:w="0" w:type="dxa"/>
            <w:left w:w="108" w:type="dxa"/>
            <w:bottom w:w="0" w:type="dxa"/>
            <w:right w:w="108" w:type="dxa"/>
          </w:tblCellMar>
        </w:tblPrEx>
        <w:trPr>
          <w:trHeight w:val="264" w:hRule="atLeast"/>
          <w:jc w:val="center"/>
        </w:trPr>
        <w:tc>
          <w:tcPr>
            <w:tcW w:w="1277" w:type="pct"/>
            <w:tcBorders>
              <w:top w:val="nil"/>
              <w:left w:val="nil"/>
              <w:bottom w:val="nil"/>
              <w:right w:val="nil"/>
            </w:tcBorders>
            <w:vAlign w:val="center"/>
          </w:tcPr>
          <w:p w14:paraId="48D98E7F">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Michael Edlinger et al.</w:t>
            </w:r>
            <w:r>
              <w:rPr>
                <w:rFonts w:hint="eastAsia" w:ascii="Times New Roman" w:hAnsi="Times New Roman" w:eastAsia="宋体" w:cs="Times New Roman"/>
                <w:color w:val="222222"/>
                <w:kern w:val="0"/>
                <w:sz w:val="20"/>
                <w:szCs w:val="20"/>
                <w:lang w:bidi="ar"/>
              </w:rPr>
              <w:t xml:space="preserve"> </w:t>
            </w:r>
            <w:r>
              <w:rPr>
                <w:rFonts w:ascii="Times New Roman" w:hAnsi="Times New Roman" w:eastAsia="宋体" w:cs="Times New Roman"/>
                <w:color w:val="222222"/>
                <w:kern w:val="0"/>
                <w:sz w:val="20"/>
                <w:szCs w:val="20"/>
                <w:lang w:bidi="ar"/>
              </w:rPr>
              <w:t>(2017)</w:t>
            </w:r>
          </w:p>
        </w:tc>
        <w:tc>
          <w:tcPr>
            <w:tcW w:w="372" w:type="pct"/>
            <w:tcBorders>
              <w:top w:val="nil"/>
              <w:left w:val="nil"/>
              <w:bottom w:val="nil"/>
              <w:right w:val="nil"/>
            </w:tcBorders>
            <w:vAlign w:val="center"/>
          </w:tcPr>
          <w:p w14:paraId="5D3C7E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nil"/>
              <w:right w:val="nil"/>
            </w:tcBorders>
            <w:vAlign w:val="center"/>
          </w:tcPr>
          <w:p w14:paraId="74D078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nil"/>
              <w:right w:val="nil"/>
            </w:tcBorders>
            <w:vAlign w:val="center"/>
          </w:tcPr>
          <w:p w14:paraId="7C9CB8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236075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nil"/>
              <w:right w:val="nil"/>
            </w:tcBorders>
            <w:vAlign w:val="center"/>
          </w:tcPr>
          <w:p w14:paraId="4684C0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nil"/>
              <w:right w:val="nil"/>
            </w:tcBorders>
            <w:vAlign w:val="center"/>
          </w:tcPr>
          <w:p w14:paraId="6DCEE8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nil"/>
              <w:right w:val="nil"/>
            </w:tcBorders>
            <w:vAlign w:val="center"/>
          </w:tcPr>
          <w:p w14:paraId="35CCA7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nil"/>
              <w:right w:val="nil"/>
            </w:tcBorders>
            <w:vAlign w:val="center"/>
          </w:tcPr>
          <w:p w14:paraId="073CC3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nil"/>
              <w:right w:val="nil"/>
            </w:tcBorders>
            <w:vAlign w:val="center"/>
          </w:tcPr>
          <w:p w14:paraId="413021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nil"/>
              <w:right w:val="nil"/>
            </w:tcBorders>
            <w:vAlign w:val="center"/>
          </w:tcPr>
          <w:p w14:paraId="6E6F10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r w14:paraId="208A761C">
        <w:tblPrEx>
          <w:tblCellMar>
            <w:top w:w="0" w:type="dxa"/>
            <w:left w:w="108" w:type="dxa"/>
            <w:bottom w:w="0" w:type="dxa"/>
            <w:right w:w="108" w:type="dxa"/>
          </w:tblCellMar>
        </w:tblPrEx>
        <w:trPr>
          <w:trHeight w:val="264" w:hRule="atLeast"/>
          <w:jc w:val="center"/>
        </w:trPr>
        <w:tc>
          <w:tcPr>
            <w:tcW w:w="1277" w:type="pct"/>
            <w:tcBorders>
              <w:top w:val="nil"/>
              <w:left w:val="nil"/>
              <w:bottom w:val="single" w:color="auto" w:sz="4" w:space="0"/>
              <w:right w:val="nil"/>
            </w:tcBorders>
            <w:vAlign w:val="center"/>
          </w:tcPr>
          <w:p w14:paraId="0CAB767F">
            <w:pPr>
              <w:widowControl/>
              <w:jc w:val="center"/>
              <w:textAlignment w:val="center"/>
              <w:rPr>
                <w:rFonts w:ascii="Times New Roman" w:hAnsi="Times New Roman" w:eastAsia="宋体" w:cs="Times New Roman"/>
                <w:color w:val="222222"/>
                <w:sz w:val="20"/>
                <w:szCs w:val="20"/>
              </w:rPr>
            </w:pPr>
            <w:r>
              <w:rPr>
                <w:rFonts w:ascii="Times New Roman" w:hAnsi="Times New Roman" w:eastAsia="宋体" w:cs="Times New Roman"/>
                <w:color w:val="222222"/>
                <w:kern w:val="0"/>
                <w:sz w:val="20"/>
                <w:szCs w:val="20"/>
                <w:lang w:bidi="ar"/>
              </w:rPr>
              <w:t>Jacob K Kariuki et al.</w:t>
            </w:r>
            <w:r>
              <w:rPr>
                <w:rFonts w:hint="eastAsia" w:ascii="Times New Roman" w:hAnsi="Times New Roman" w:eastAsia="宋体" w:cs="Times New Roman"/>
                <w:color w:val="222222"/>
                <w:kern w:val="0"/>
                <w:sz w:val="20"/>
                <w:szCs w:val="20"/>
                <w:lang w:bidi="ar"/>
              </w:rPr>
              <w:t xml:space="preserve"> </w:t>
            </w:r>
            <w:r>
              <w:rPr>
                <w:rFonts w:ascii="Times New Roman" w:hAnsi="Times New Roman" w:eastAsia="宋体" w:cs="Times New Roman"/>
                <w:color w:val="222222"/>
                <w:kern w:val="0"/>
                <w:sz w:val="20"/>
                <w:szCs w:val="20"/>
                <w:lang w:bidi="ar"/>
              </w:rPr>
              <w:t>(2017)</w:t>
            </w:r>
          </w:p>
        </w:tc>
        <w:tc>
          <w:tcPr>
            <w:tcW w:w="372" w:type="pct"/>
            <w:tcBorders>
              <w:top w:val="nil"/>
              <w:left w:val="nil"/>
              <w:bottom w:val="single" w:color="auto" w:sz="4" w:space="0"/>
              <w:right w:val="nil"/>
            </w:tcBorders>
            <w:vAlign w:val="center"/>
          </w:tcPr>
          <w:p w14:paraId="28EDA1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w:t>
            </w:r>
          </w:p>
        </w:tc>
        <w:tc>
          <w:tcPr>
            <w:tcW w:w="445" w:type="pct"/>
            <w:tcBorders>
              <w:top w:val="nil"/>
              <w:left w:val="nil"/>
              <w:bottom w:val="single" w:color="auto" w:sz="4" w:space="0"/>
              <w:right w:val="nil"/>
            </w:tcBorders>
            <w:vAlign w:val="center"/>
          </w:tcPr>
          <w:p w14:paraId="3F69FF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4" w:type="pct"/>
            <w:tcBorders>
              <w:top w:val="nil"/>
              <w:left w:val="nil"/>
              <w:bottom w:val="single" w:color="auto" w:sz="4" w:space="0"/>
              <w:right w:val="nil"/>
            </w:tcBorders>
            <w:vAlign w:val="center"/>
          </w:tcPr>
          <w:p w14:paraId="6075FC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single" w:color="auto" w:sz="4" w:space="0"/>
              <w:right w:val="nil"/>
            </w:tcBorders>
            <w:vAlign w:val="center"/>
          </w:tcPr>
          <w:p w14:paraId="2951AA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20" w:type="pct"/>
            <w:tcBorders>
              <w:top w:val="nil"/>
              <w:left w:val="nil"/>
              <w:bottom w:val="single" w:color="auto" w:sz="4" w:space="0"/>
              <w:right w:val="nil"/>
            </w:tcBorders>
            <w:vAlign w:val="center"/>
          </w:tcPr>
          <w:p w14:paraId="3CFA44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45" w:type="pct"/>
            <w:tcBorders>
              <w:top w:val="nil"/>
              <w:left w:val="nil"/>
              <w:bottom w:val="single" w:color="auto" w:sz="4" w:space="0"/>
              <w:right w:val="nil"/>
            </w:tcBorders>
            <w:vAlign w:val="center"/>
          </w:tcPr>
          <w:p w14:paraId="682F79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89" w:type="pct"/>
            <w:tcBorders>
              <w:top w:val="nil"/>
              <w:left w:val="nil"/>
              <w:bottom w:val="single" w:color="auto" w:sz="4" w:space="0"/>
              <w:right w:val="nil"/>
            </w:tcBorders>
            <w:vAlign w:val="center"/>
          </w:tcPr>
          <w:p w14:paraId="0066E9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338" w:type="pct"/>
            <w:tcBorders>
              <w:top w:val="nil"/>
              <w:left w:val="nil"/>
              <w:bottom w:val="single" w:color="auto" w:sz="4" w:space="0"/>
              <w:right w:val="nil"/>
            </w:tcBorders>
            <w:vAlign w:val="center"/>
          </w:tcPr>
          <w:p w14:paraId="072134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221" w:type="pct"/>
            <w:tcBorders>
              <w:top w:val="nil"/>
              <w:left w:val="nil"/>
              <w:bottom w:val="single" w:color="auto" w:sz="4" w:space="0"/>
              <w:right w:val="nil"/>
            </w:tcBorders>
            <w:vAlign w:val="center"/>
          </w:tcPr>
          <w:p w14:paraId="1FF17B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c>
          <w:tcPr>
            <w:tcW w:w="465" w:type="pct"/>
            <w:tcBorders>
              <w:top w:val="nil"/>
              <w:left w:val="nil"/>
              <w:bottom w:val="single" w:color="auto" w:sz="4" w:space="0"/>
              <w:right w:val="nil"/>
            </w:tcBorders>
            <w:vAlign w:val="center"/>
          </w:tcPr>
          <w:p w14:paraId="0E2445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t>
            </w:r>
          </w:p>
        </w:tc>
      </w:tr>
    </w:tbl>
    <w:p w14:paraId="7AE1DA03">
      <w:pPr>
        <w:spacing w:line="360" w:lineRule="auto"/>
        <w:rPr>
          <w:rFonts w:ascii="Times New Roman" w:hAnsi="Times New Roman"/>
          <w:sz w:val="24"/>
        </w:rPr>
      </w:pPr>
      <w:r>
        <w:rPr>
          <w:rFonts w:hint="eastAsia" w:ascii="Times New Roman" w:hAnsi="Times New Roman"/>
          <w:sz w:val="24"/>
        </w:rPr>
        <w:t xml:space="preserve">PROBAST, Prediction model Risk of Bias Assessment Tool; ROB, risk of bias. A indicates “development only”; B indicates “development and (external) validation in the same publication”, C indicates “validation only”. + indicates low ROB/ low concern regarding applicability; - indicates high ROB/ high concern regarding application; ? indicates unclear ROB/unclear concern regarding applicability. </w:t>
      </w:r>
    </w:p>
    <w:p w14:paraId="4575925F">
      <w:pPr>
        <w:spacing w:line="360" w:lineRule="auto"/>
        <w:jc w:val="left"/>
        <w:rPr>
          <w:rFonts w:ascii="Times New Roman" w:hAnsi="Times New Roman"/>
          <w:sz w:val="24"/>
        </w:rPr>
      </w:pPr>
    </w:p>
    <w:p w14:paraId="4A7D30AF">
      <w:pPr>
        <w:spacing w:line="360" w:lineRule="auto"/>
        <w:jc w:val="left"/>
        <w:rPr>
          <w:rFonts w:ascii="Times New Roman" w:hAnsi="Times New Roman"/>
          <w:sz w:val="24"/>
        </w:rPr>
      </w:pPr>
      <w:r>
        <w:rPr>
          <w:rFonts w:hint="eastAsia" w:ascii="Times New Roman" w:hAnsi="Times New Roman"/>
          <w:sz w:val="24"/>
        </w:rPr>
        <w:t>Table S4. Sensitivity analysis results of 58 articles</w:t>
      </w:r>
    </w:p>
    <w:tbl>
      <w:tblPr>
        <w:tblStyle w:val="2"/>
        <w:tblW w:w="4999" w:type="pct"/>
        <w:jc w:val="center"/>
        <w:tblLayout w:type="autofit"/>
        <w:tblCellMar>
          <w:top w:w="0" w:type="dxa"/>
          <w:left w:w="108" w:type="dxa"/>
          <w:bottom w:w="0" w:type="dxa"/>
          <w:right w:w="108" w:type="dxa"/>
        </w:tblCellMar>
      </w:tblPr>
      <w:tblGrid>
        <w:gridCol w:w="3693"/>
        <w:gridCol w:w="2413"/>
        <w:gridCol w:w="2414"/>
      </w:tblGrid>
      <w:tr w14:paraId="15B7549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FC1922D">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Study omitted</w:t>
            </w:r>
          </w:p>
        </w:tc>
        <w:tc>
          <w:tcPr>
            <w:tcW w:w="1484" w:type="pct"/>
            <w:tcBorders>
              <w:top w:val="nil"/>
              <w:left w:val="nil"/>
              <w:bottom w:val="nil"/>
              <w:right w:val="nil"/>
            </w:tcBorders>
            <w:vAlign w:val="center"/>
          </w:tcPr>
          <w:p w14:paraId="001191B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Estimate</w:t>
            </w:r>
          </w:p>
        </w:tc>
        <w:tc>
          <w:tcPr>
            <w:tcW w:w="1484" w:type="pct"/>
            <w:tcBorders>
              <w:top w:val="nil"/>
              <w:left w:val="nil"/>
              <w:bottom w:val="nil"/>
              <w:right w:val="nil"/>
            </w:tcBorders>
            <w:vAlign w:val="center"/>
          </w:tcPr>
          <w:p w14:paraId="3D0F7990">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95% Conf. Interval</w:t>
            </w:r>
          </w:p>
        </w:tc>
      </w:tr>
      <w:tr w14:paraId="16AEC1D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53607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Yike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484" w:type="pct"/>
            <w:tcBorders>
              <w:top w:val="nil"/>
              <w:left w:val="nil"/>
              <w:bottom w:val="nil"/>
              <w:right w:val="nil"/>
            </w:tcBorders>
            <w:vAlign w:val="center"/>
          </w:tcPr>
          <w:p w14:paraId="74CD1B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0.80637896</w:t>
            </w:r>
          </w:p>
        </w:tc>
        <w:tc>
          <w:tcPr>
            <w:tcW w:w="1484" w:type="pct"/>
            <w:tcBorders>
              <w:top w:val="nil"/>
              <w:left w:val="nil"/>
              <w:bottom w:val="nil"/>
              <w:right w:val="nil"/>
            </w:tcBorders>
            <w:vAlign w:val="center"/>
          </w:tcPr>
          <w:p w14:paraId="7B9824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[0.78485543, 0.82790244]</w:t>
            </w:r>
          </w:p>
        </w:tc>
      </w:tr>
      <w:tr w14:paraId="6DA32361">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94FCD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Kuangmao Chiang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158B39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0.80608016</w:t>
            </w:r>
          </w:p>
        </w:tc>
        <w:tc>
          <w:tcPr>
            <w:tcW w:w="1484" w:type="pct"/>
            <w:tcBorders>
              <w:top w:val="nil"/>
              <w:left w:val="nil"/>
              <w:bottom w:val="nil"/>
              <w:right w:val="nil"/>
            </w:tcBorders>
            <w:vAlign w:val="center"/>
          </w:tcPr>
          <w:p w14:paraId="193A53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[0.78470939, 0.82745099]</w:t>
            </w:r>
          </w:p>
        </w:tc>
      </w:tr>
      <w:tr w14:paraId="63C3706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269129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Ekram W. Abd El-Wahab</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484" w:type="pct"/>
            <w:tcBorders>
              <w:top w:val="nil"/>
              <w:left w:val="nil"/>
              <w:bottom w:val="nil"/>
              <w:right w:val="nil"/>
            </w:tcBorders>
            <w:vAlign w:val="center"/>
          </w:tcPr>
          <w:p w14:paraId="29E129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0.80332416</w:t>
            </w:r>
          </w:p>
        </w:tc>
        <w:tc>
          <w:tcPr>
            <w:tcW w:w="1484" w:type="pct"/>
            <w:tcBorders>
              <w:top w:val="nil"/>
              <w:left w:val="nil"/>
              <w:bottom w:val="nil"/>
              <w:right w:val="nil"/>
            </w:tcBorders>
            <w:vAlign w:val="center"/>
          </w:tcPr>
          <w:p w14:paraId="3DF464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[0.78209555, 0.82455277]</w:t>
            </w:r>
          </w:p>
        </w:tc>
      </w:tr>
      <w:tr w14:paraId="283755D3">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5BBD37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Dingyu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04F4E6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0.80538684</w:t>
            </w:r>
          </w:p>
        </w:tc>
        <w:tc>
          <w:tcPr>
            <w:tcW w:w="1484" w:type="pct"/>
            <w:tcBorders>
              <w:top w:val="nil"/>
              <w:left w:val="nil"/>
              <w:bottom w:val="nil"/>
              <w:right w:val="nil"/>
            </w:tcBorders>
            <w:vAlign w:val="center"/>
          </w:tcPr>
          <w:p w14:paraId="422F35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[0.78395486, 0.82681888]</w:t>
            </w:r>
          </w:p>
        </w:tc>
      </w:tr>
      <w:tr w14:paraId="13F99493">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DE43F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Zuqiang Fu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484" w:type="pct"/>
            <w:tcBorders>
              <w:top w:val="nil"/>
              <w:left w:val="nil"/>
              <w:bottom w:val="nil"/>
              <w:right w:val="nil"/>
            </w:tcBorders>
            <w:vAlign w:val="center"/>
          </w:tcPr>
          <w:p w14:paraId="686495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0.80634803</w:t>
            </w:r>
          </w:p>
        </w:tc>
        <w:tc>
          <w:tcPr>
            <w:tcW w:w="1484" w:type="pct"/>
            <w:tcBorders>
              <w:top w:val="nil"/>
              <w:left w:val="nil"/>
              <w:bottom w:val="nil"/>
              <w:right w:val="nil"/>
            </w:tcBorders>
            <w:vAlign w:val="center"/>
          </w:tcPr>
          <w:p w14:paraId="75C14E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[0.78369230, 0.82900369]</w:t>
            </w:r>
          </w:p>
        </w:tc>
      </w:tr>
      <w:tr w14:paraId="5308E5D0">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8C58D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Wafa Omer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1484" w:type="pct"/>
            <w:tcBorders>
              <w:top w:val="nil"/>
              <w:left w:val="nil"/>
              <w:bottom w:val="nil"/>
              <w:right w:val="nil"/>
            </w:tcBorders>
            <w:vAlign w:val="center"/>
          </w:tcPr>
          <w:p w14:paraId="7DD4B6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0.80268478</w:t>
            </w:r>
          </w:p>
        </w:tc>
        <w:tc>
          <w:tcPr>
            <w:tcW w:w="1484" w:type="pct"/>
            <w:tcBorders>
              <w:top w:val="nil"/>
              <w:left w:val="nil"/>
              <w:bottom w:val="nil"/>
              <w:right w:val="nil"/>
            </w:tcBorders>
            <w:vAlign w:val="center"/>
          </w:tcPr>
          <w:p w14:paraId="64595B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[0.78160644, 0.82376313]</w:t>
            </w:r>
          </w:p>
        </w:tc>
      </w:tr>
      <w:tr w14:paraId="5C6C4129">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7652F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Isaac Subirana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484" w:type="pct"/>
            <w:tcBorders>
              <w:top w:val="nil"/>
              <w:left w:val="nil"/>
              <w:bottom w:val="nil"/>
              <w:right w:val="nil"/>
            </w:tcBorders>
            <w:vAlign w:val="center"/>
          </w:tcPr>
          <w:p w14:paraId="1FDF4A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0.80502945</w:t>
            </w:r>
          </w:p>
        </w:tc>
        <w:tc>
          <w:tcPr>
            <w:tcW w:w="1484" w:type="pct"/>
            <w:tcBorders>
              <w:top w:val="nil"/>
              <w:left w:val="nil"/>
              <w:bottom w:val="nil"/>
              <w:right w:val="nil"/>
            </w:tcBorders>
            <w:vAlign w:val="center"/>
          </w:tcPr>
          <w:p w14:paraId="5447AA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[0.78361952, 0.82643944]</w:t>
            </w:r>
          </w:p>
        </w:tc>
      </w:tr>
      <w:tr w14:paraId="04F4F4DB">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00C9B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Jinyu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3EAB2D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0.80686671</w:t>
            </w:r>
          </w:p>
        </w:tc>
        <w:tc>
          <w:tcPr>
            <w:tcW w:w="1484" w:type="pct"/>
            <w:tcBorders>
              <w:top w:val="nil"/>
              <w:left w:val="nil"/>
              <w:bottom w:val="nil"/>
              <w:right w:val="nil"/>
            </w:tcBorders>
            <w:vAlign w:val="center"/>
          </w:tcPr>
          <w:p w14:paraId="480BBA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[0.78546530, 0.82826817]</w:t>
            </w:r>
          </w:p>
        </w:tc>
      </w:tr>
      <w:tr w14:paraId="6B9A3D5D">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46233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Symen Ligthart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(2014)</w:t>
            </w:r>
          </w:p>
        </w:tc>
        <w:tc>
          <w:tcPr>
            <w:tcW w:w="1484" w:type="pct"/>
            <w:tcBorders>
              <w:top w:val="nil"/>
              <w:left w:val="nil"/>
              <w:bottom w:val="nil"/>
              <w:right w:val="nil"/>
            </w:tcBorders>
            <w:vAlign w:val="center"/>
          </w:tcPr>
          <w:p w14:paraId="06625D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0.80645621</w:t>
            </w:r>
          </w:p>
        </w:tc>
        <w:tc>
          <w:tcPr>
            <w:tcW w:w="1484" w:type="pct"/>
            <w:tcBorders>
              <w:top w:val="nil"/>
              <w:left w:val="nil"/>
              <w:bottom w:val="nil"/>
              <w:right w:val="nil"/>
            </w:tcBorders>
            <w:vAlign w:val="center"/>
          </w:tcPr>
          <w:p w14:paraId="06B1BC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[0.78507560, 0.82783681]</w:t>
            </w:r>
          </w:p>
        </w:tc>
      </w:tr>
      <w:tr w14:paraId="0DC9904E">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7310D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Joseph F. Polak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484" w:type="pct"/>
            <w:tcBorders>
              <w:top w:val="nil"/>
              <w:left w:val="nil"/>
              <w:bottom w:val="nil"/>
              <w:right w:val="nil"/>
            </w:tcBorders>
            <w:vAlign w:val="center"/>
          </w:tcPr>
          <w:p w14:paraId="4FCF68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0.80659765</w:t>
            </w:r>
          </w:p>
        </w:tc>
        <w:tc>
          <w:tcPr>
            <w:tcW w:w="1484" w:type="pct"/>
            <w:tcBorders>
              <w:top w:val="nil"/>
              <w:left w:val="nil"/>
              <w:bottom w:val="nil"/>
              <w:right w:val="nil"/>
            </w:tcBorders>
            <w:vAlign w:val="center"/>
          </w:tcPr>
          <w:p w14:paraId="62DB2F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[0.78510964, 0.82808566]</w:t>
            </w:r>
          </w:p>
        </w:tc>
      </w:tr>
      <w:tr w14:paraId="4C70E663">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8B1BC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Carla Debernardi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484" w:type="pct"/>
            <w:tcBorders>
              <w:top w:val="nil"/>
              <w:left w:val="nil"/>
              <w:bottom w:val="nil"/>
              <w:right w:val="nil"/>
            </w:tcBorders>
            <w:vAlign w:val="center"/>
          </w:tcPr>
          <w:p w14:paraId="259C55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0.80459446</w:t>
            </w:r>
          </w:p>
        </w:tc>
        <w:tc>
          <w:tcPr>
            <w:tcW w:w="1484" w:type="pct"/>
            <w:tcBorders>
              <w:top w:val="nil"/>
              <w:left w:val="nil"/>
              <w:bottom w:val="nil"/>
              <w:right w:val="nil"/>
            </w:tcBorders>
            <w:vAlign w:val="center"/>
          </w:tcPr>
          <w:p w14:paraId="7979B0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[0.78320479, 0.82598412]</w:t>
            </w:r>
          </w:p>
        </w:tc>
      </w:tr>
      <w:tr w14:paraId="707775A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noWrap/>
            <w:vAlign w:val="center"/>
          </w:tcPr>
          <w:p w14:paraId="224339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Estefanía Nuneza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080BA0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0.80678952</w:t>
            </w:r>
          </w:p>
        </w:tc>
        <w:tc>
          <w:tcPr>
            <w:tcW w:w="1484" w:type="pct"/>
            <w:tcBorders>
              <w:top w:val="nil"/>
              <w:left w:val="nil"/>
              <w:bottom w:val="nil"/>
              <w:right w:val="nil"/>
            </w:tcBorders>
            <w:vAlign w:val="center"/>
          </w:tcPr>
          <w:p w14:paraId="4118D3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[0.78502518, 0.82855380]</w:t>
            </w:r>
          </w:p>
        </w:tc>
      </w:tr>
      <w:tr w14:paraId="677EC159">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1EA37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Shuna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017157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0.80685568</w:t>
            </w:r>
          </w:p>
        </w:tc>
        <w:tc>
          <w:tcPr>
            <w:tcW w:w="1484" w:type="pct"/>
            <w:tcBorders>
              <w:top w:val="nil"/>
              <w:left w:val="nil"/>
              <w:bottom w:val="nil"/>
              <w:right w:val="nil"/>
            </w:tcBorders>
            <w:vAlign w:val="center"/>
          </w:tcPr>
          <w:p w14:paraId="7443C8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[0.78538674, 0.82832462]</w:t>
            </w:r>
          </w:p>
        </w:tc>
      </w:tr>
      <w:tr w14:paraId="2DB4D494">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4CC55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Pengfei Wei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484" w:type="pct"/>
            <w:tcBorders>
              <w:top w:val="nil"/>
              <w:left w:val="nil"/>
              <w:bottom w:val="nil"/>
              <w:right w:val="nil"/>
            </w:tcBorders>
            <w:vAlign w:val="center"/>
          </w:tcPr>
          <w:p w14:paraId="2E0113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0.80328512</w:t>
            </w:r>
          </w:p>
        </w:tc>
        <w:tc>
          <w:tcPr>
            <w:tcW w:w="1484" w:type="pct"/>
            <w:tcBorders>
              <w:top w:val="nil"/>
              <w:left w:val="nil"/>
              <w:bottom w:val="nil"/>
              <w:right w:val="nil"/>
            </w:tcBorders>
            <w:vAlign w:val="center"/>
          </w:tcPr>
          <w:p w14:paraId="7A65C7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[0.78215051, 0.82441974]</w:t>
            </w:r>
          </w:p>
        </w:tc>
      </w:tr>
      <w:tr w14:paraId="6016B7A7">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D4BEB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484" w:type="pct"/>
            <w:tcBorders>
              <w:top w:val="nil"/>
              <w:left w:val="nil"/>
              <w:bottom w:val="nil"/>
              <w:right w:val="nil"/>
            </w:tcBorders>
            <w:vAlign w:val="center"/>
          </w:tcPr>
          <w:p w14:paraId="34A341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0.80285394</w:t>
            </w:r>
          </w:p>
        </w:tc>
        <w:tc>
          <w:tcPr>
            <w:tcW w:w="1484" w:type="pct"/>
            <w:tcBorders>
              <w:top w:val="nil"/>
              <w:left w:val="nil"/>
              <w:bottom w:val="nil"/>
              <w:right w:val="nil"/>
            </w:tcBorders>
            <w:vAlign w:val="center"/>
          </w:tcPr>
          <w:p w14:paraId="7620B6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[0.78312796, 0.82257992]</w:t>
            </w:r>
          </w:p>
        </w:tc>
      </w:tr>
      <w:tr w14:paraId="374B8EBA">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29070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5A43B7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0.80395985</w:t>
            </w:r>
          </w:p>
        </w:tc>
        <w:tc>
          <w:tcPr>
            <w:tcW w:w="1484" w:type="pct"/>
            <w:tcBorders>
              <w:top w:val="nil"/>
              <w:left w:val="nil"/>
              <w:bottom w:val="nil"/>
              <w:right w:val="nil"/>
            </w:tcBorders>
            <w:vAlign w:val="center"/>
          </w:tcPr>
          <w:p w14:paraId="72D6D8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[0.78261119, 0.82530850]</w:t>
            </w:r>
          </w:p>
        </w:tc>
      </w:tr>
      <w:tr w14:paraId="5468A33B">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8AF3E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26025D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0.80493957</w:t>
            </w:r>
          </w:p>
        </w:tc>
        <w:tc>
          <w:tcPr>
            <w:tcW w:w="1484" w:type="pct"/>
            <w:tcBorders>
              <w:top w:val="nil"/>
              <w:left w:val="nil"/>
              <w:bottom w:val="nil"/>
              <w:right w:val="nil"/>
            </w:tcBorders>
            <w:vAlign w:val="center"/>
          </w:tcPr>
          <w:p w14:paraId="43D4C3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[0.78357029, 0.82630885]</w:t>
            </w:r>
          </w:p>
        </w:tc>
      </w:tr>
      <w:tr w14:paraId="619BC93E">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D4AEF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Nicola Gaibazzi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1484" w:type="pct"/>
            <w:tcBorders>
              <w:top w:val="nil"/>
              <w:left w:val="nil"/>
              <w:bottom w:val="nil"/>
              <w:right w:val="nil"/>
            </w:tcBorders>
            <w:vAlign w:val="center"/>
          </w:tcPr>
          <w:p w14:paraId="4EDD0A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0.80612779</w:t>
            </w:r>
          </w:p>
        </w:tc>
        <w:tc>
          <w:tcPr>
            <w:tcW w:w="1484" w:type="pct"/>
            <w:tcBorders>
              <w:top w:val="nil"/>
              <w:left w:val="nil"/>
              <w:bottom w:val="nil"/>
              <w:right w:val="nil"/>
            </w:tcBorders>
            <w:vAlign w:val="center"/>
          </w:tcPr>
          <w:p w14:paraId="10DBF6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[0.78472805, 0.82752746]</w:t>
            </w:r>
          </w:p>
        </w:tc>
      </w:tr>
      <w:tr w14:paraId="79E2617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0843A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Yujia Yang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484" w:type="pct"/>
            <w:tcBorders>
              <w:top w:val="nil"/>
              <w:left w:val="nil"/>
              <w:bottom w:val="nil"/>
              <w:right w:val="nil"/>
            </w:tcBorders>
            <w:vAlign w:val="center"/>
          </w:tcPr>
          <w:p w14:paraId="5BCE88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0.80470037</w:t>
            </w:r>
          </w:p>
        </w:tc>
        <w:tc>
          <w:tcPr>
            <w:tcW w:w="1484" w:type="pct"/>
            <w:tcBorders>
              <w:top w:val="nil"/>
              <w:left w:val="nil"/>
              <w:bottom w:val="nil"/>
              <w:right w:val="nil"/>
            </w:tcBorders>
            <w:vAlign w:val="center"/>
          </w:tcPr>
          <w:p w14:paraId="1D55A6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[0.78335440, 0.82604635]</w:t>
            </w:r>
          </w:p>
        </w:tc>
      </w:tr>
      <w:tr w14:paraId="258944F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CC1AC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Chiara Caselli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484" w:type="pct"/>
            <w:tcBorders>
              <w:top w:val="nil"/>
              <w:left w:val="nil"/>
              <w:bottom w:val="nil"/>
              <w:right w:val="nil"/>
            </w:tcBorders>
            <w:vAlign w:val="center"/>
          </w:tcPr>
          <w:p w14:paraId="2CF92E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0.80667192</w:t>
            </w:r>
          </w:p>
        </w:tc>
        <w:tc>
          <w:tcPr>
            <w:tcW w:w="1484" w:type="pct"/>
            <w:tcBorders>
              <w:top w:val="nil"/>
              <w:left w:val="nil"/>
              <w:bottom w:val="nil"/>
              <w:right w:val="nil"/>
            </w:tcBorders>
            <w:vAlign w:val="center"/>
          </w:tcPr>
          <w:p w14:paraId="6E78A6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[0.78531539, 0.82802844]</w:t>
            </w:r>
          </w:p>
        </w:tc>
      </w:tr>
      <w:tr w14:paraId="529A39DD">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E273B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Jayashree Shanker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1484" w:type="pct"/>
            <w:tcBorders>
              <w:top w:val="nil"/>
              <w:left w:val="nil"/>
              <w:bottom w:val="nil"/>
              <w:right w:val="nil"/>
            </w:tcBorders>
            <w:vAlign w:val="center"/>
          </w:tcPr>
          <w:p w14:paraId="6218F4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0.80385041</w:t>
            </w:r>
          </w:p>
        </w:tc>
        <w:tc>
          <w:tcPr>
            <w:tcW w:w="1484" w:type="pct"/>
            <w:tcBorders>
              <w:top w:val="nil"/>
              <w:left w:val="nil"/>
              <w:bottom w:val="nil"/>
              <w:right w:val="nil"/>
            </w:tcBorders>
            <w:vAlign w:val="center"/>
          </w:tcPr>
          <w:p w14:paraId="727020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[0.78258091, 0.82511991]</w:t>
            </w:r>
          </w:p>
        </w:tc>
      </w:tr>
      <w:tr w14:paraId="6D911BF8">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1AABB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George Hindy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0DF3DC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0.80607307</w:t>
            </w:r>
          </w:p>
        </w:tc>
        <w:tc>
          <w:tcPr>
            <w:tcW w:w="1484" w:type="pct"/>
            <w:tcBorders>
              <w:top w:val="nil"/>
              <w:left w:val="nil"/>
              <w:bottom w:val="nil"/>
              <w:right w:val="nil"/>
            </w:tcBorders>
            <w:vAlign w:val="center"/>
          </w:tcPr>
          <w:p w14:paraId="5F702D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[0.78404993, 0.82809627]</w:t>
            </w:r>
          </w:p>
        </w:tc>
      </w:tr>
      <w:tr w14:paraId="1FCF9FE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2EAE2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37FDF1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0.80538917</w:t>
            </w:r>
          </w:p>
        </w:tc>
        <w:tc>
          <w:tcPr>
            <w:tcW w:w="1484" w:type="pct"/>
            <w:tcBorders>
              <w:top w:val="nil"/>
              <w:left w:val="nil"/>
              <w:bottom w:val="nil"/>
              <w:right w:val="nil"/>
            </w:tcBorders>
            <w:vAlign w:val="center"/>
          </w:tcPr>
          <w:p w14:paraId="2434FCB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[0.78401136, 0.82676697]</w:t>
            </w:r>
          </w:p>
        </w:tc>
      </w:tr>
      <w:tr w14:paraId="6D07D24E">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B35DC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Yingying Zheng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5C58D8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0.80360097</w:t>
            </w:r>
          </w:p>
        </w:tc>
        <w:tc>
          <w:tcPr>
            <w:tcW w:w="1484" w:type="pct"/>
            <w:tcBorders>
              <w:top w:val="nil"/>
              <w:left w:val="nil"/>
              <w:bottom w:val="nil"/>
              <w:right w:val="nil"/>
            </w:tcBorders>
            <w:vAlign w:val="center"/>
          </w:tcPr>
          <w:p w14:paraId="57838E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[0.78236073, 0.82484114]</w:t>
            </w:r>
          </w:p>
        </w:tc>
      </w:tr>
      <w:tr w14:paraId="37C385F3">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01BFE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Joshua Elliot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2D0E0A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0.80585396</w:t>
            </w:r>
          </w:p>
        </w:tc>
        <w:tc>
          <w:tcPr>
            <w:tcW w:w="1484" w:type="pct"/>
            <w:tcBorders>
              <w:top w:val="nil"/>
              <w:left w:val="nil"/>
              <w:bottom w:val="nil"/>
              <w:right w:val="nil"/>
            </w:tcBorders>
            <w:vAlign w:val="center"/>
          </w:tcPr>
          <w:p w14:paraId="0EB102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[0.78395236, 0.82775557]</w:t>
            </w:r>
          </w:p>
        </w:tc>
      </w:tr>
      <w:tr w14:paraId="3A2E3E6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2F67A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24D83E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0.8032521</w:t>
            </w:r>
          </w:p>
        </w:tc>
        <w:tc>
          <w:tcPr>
            <w:tcW w:w="1484" w:type="pct"/>
            <w:tcBorders>
              <w:top w:val="nil"/>
              <w:left w:val="nil"/>
              <w:bottom w:val="nil"/>
              <w:right w:val="nil"/>
            </w:tcBorders>
            <w:vAlign w:val="center"/>
          </w:tcPr>
          <w:p w14:paraId="16EA6B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[0.78226221, 0.82424200]</w:t>
            </w:r>
          </w:p>
        </w:tc>
      </w:tr>
      <w:tr w14:paraId="18CFECB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B1D82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Sakhavat Abolhasani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484" w:type="pct"/>
            <w:tcBorders>
              <w:top w:val="nil"/>
              <w:left w:val="nil"/>
              <w:bottom w:val="nil"/>
              <w:right w:val="nil"/>
            </w:tcBorders>
            <w:vAlign w:val="center"/>
          </w:tcPr>
          <w:p w14:paraId="5620D3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0.80200487</w:t>
            </w:r>
          </w:p>
        </w:tc>
        <w:tc>
          <w:tcPr>
            <w:tcW w:w="1484" w:type="pct"/>
            <w:tcBorders>
              <w:top w:val="nil"/>
              <w:left w:val="nil"/>
              <w:bottom w:val="nil"/>
              <w:right w:val="nil"/>
            </w:tcBorders>
            <w:vAlign w:val="center"/>
          </w:tcPr>
          <w:p w14:paraId="445C02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[0.78210115, 0.82190865]</w:t>
            </w:r>
          </w:p>
        </w:tc>
      </w:tr>
      <w:tr w14:paraId="39AD7EE8">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BB894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Zhe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484" w:type="pct"/>
            <w:tcBorders>
              <w:top w:val="nil"/>
              <w:left w:val="nil"/>
              <w:bottom w:val="nil"/>
              <w:right w:val="nil"/>
            </w:tcBorders>
            <w:vAlign w:val="center"/>
          </w:tcPr>
          <w:p w14:paraId="733332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0.80660063</w:t>
            </w:r>
          </w:p>
        </w:tc>
        <w:tc>
          <w:tcPr>
            <w:tcW w:w="1484" w:type="pct"/>
            <w:tcBorders>
              <w:top w:val="nil"/>
              <w:left w:val="nil"/>
              <w:bottom w:val="nil"/>
              <w:right w:val="nil"/>
            </w:tcBorders>
            <w:vAlign w:val="center"/>
          </w:tcPr>
          <w:p w14:paraId="0E2197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[0.78509039, 0.82811087]</w:t>
            </w:r>
          </w:p>
        </w:tc>
      </w:tr>
      <w:tr w14:paraId="5165E5E7">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FEA5D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Weiyi Mei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484" w:type="pct"/>
            <w:tcBorders>
              <w:top w:val="nil"/>
              <w:left w:val="nil"/>
              <w:bottom w:val="nil"/>
              <w:right w:val="nil"/>
            </w:tcBorders>
            <w:vAlign w:val="center"/>
          </w:tcPr>
          <w:p w14:paraId="6D0A36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0.80585563</w:t>
            </w:r>
          </w:p>
        </w:tc>
        <w:tc>
          <w:tcPr>
            <w:tcW w:w="1484" w:type="pct"/>
            <w:tcBorders>
              <w:top w:val="nil"/>
              <w:left w:val="nil"/>
              <w:bottom w:val="nil"/>
              <w:right w:val="nil"/>
            </w:tcBorders>
            <w:vAlign w:val="center"/>
          </w:tcPr>
          <w:p w14:paraId="3BE168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[0.78441417, 0.82729703]</w:t>
            </w:r>
          </w:p>
        </w:tc>
      </w:tr>
      <w:tr w14:paraId="223F2BB0">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D31B6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James J. Jang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484" w:type="pct"/>
            <w:tcBorders>
              <w:top w:val="nil"/>
              <w:left w:val="nil"/>
              <w:bottom w:val="nil"/>
              <w:right w:val="nil"/>
            </w:tcBorders>
            <w:vAlign w:val="center"/>
          </w:tcPr>
          <w:p w14:paraId="072675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0.80675822</w:t>
            </w:r>
          </w:p>
        </w:tc>
        <w:tc>
          <w:tcPr>
            <w:tcW w:w="1484" w:type="pct"/>
            <w:tcBorders>
              <w:top w:val="nil"/>
              <w:left w:val="nil"/>
              <w:bottom w:val="nil"/>
              <w:right w:val="nil"/>
            </w:tcBorders>
            <w:vAlign w:val="center"/>
          </w:tcPr>
          <w:p w14:paraId="696351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[0.78533107, 0.82818538]</w:t>
            </w:r>
          </w:p>
        </w:tc>
      </w:tr>
      <w:tr w14:paraId="710FAC6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C7BBA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Jia Zhou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484" w:type="pct"/>
            <w:tcBorders>
              <w:top w:val="nil"/>
              <w:left w:val="nil"/>
              <w:bottom w:val="nil"/>
              <w:right w:val="nil"/>
            </w:tcBorders>
            <w:vAlign w:val="center"/>
          </w:tcPr>
          <w:p w14:paraId="61A070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0.80452579</w:t>
            </w:r>
          </w:p>
        </w:tc>
        <w:tc>
          <w:tcPr>
            <w:tcW w:w="1484" w:type="pct"/>
            <w:tcBorders>
              <w:top w:val="nil"/>
              <w:left w:val="nil"/>
              <w:bottom w:val="nil"/>
              <w:right w:val="nil"/>
            </w:tcBorders>
            <w:vAlign w:val="center"/>
          </w:tcPr>
          <w:p w14:paraId="63167E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[0.78313690, 0.82591468]</w:t>
            </w:r>
          </w:p>
        </w:tc>
      </w:tr>
      <w:tr w14:paraId="051FD18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156AE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484" w:type="pct"/>
            <w:tcBorders>
              <w:top w:val="nil"/>
              <w:left w:val="nil"/>
              <w:bottom w:val="nil"/>
              <w:right w:val="nil"/>
            </w:tcBorders>
            <w:vAlign w:val="center"/>
          </w:tcPr>
          <w:p w14:paraId="756334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0.80761009</w:t>
            </w:r>
          </w:p>
        </w:tc>
        <w:tc>
          <w:tcPr>
            <w:tcW w:w="1484" w:type="pct"/>
            <w:tcBorders>
              <w:top w:val="nil"/>
              <w:left w:val="nil"/>
              <w:bottom w:val="nil"/>
              <w:right w:val="nil"/>
            </w:tcBorders>
            <w:vAlign w:val="center"/>
          </w:tcPr>
          <w:p w14:paraId="79EC9B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[0.78629857, 0.82892162]</w:t>
            </w:r>
          </w:p>
        </w:tc>
      </w:tr>
      <w:tr w14:paraId="664ABE01">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0B59A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Inouye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484" w:type="pct"/>
            <w:tcBorders>
              <w:top w:val="nil"/>
              <w:left w:val="nil"/>
              <w:bottom w:val="nil"/>
              <w:right w:val="nil"/>
            </w:tcBorders>
            <w:vAlign w:val="center"/>
          </w:tcPr>
          <w:p w14:paraId="41FFBE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0.80744356</w:t>
            </w:r>
          </w:p>
        </w:tc>
        <w:tc>
          <w:tcPr>
            <w:tcW w:w="1484" w:type="pct"/>
            <w:tcBorders>
              <w:top w:val="nil"/>
              <w:left w:val="nil"/>
              <w:bottom w:val="nil"/>
              <w:right w:val="nil"/>
            </w:tcBorders>
            <w:vAlign w:val="center"/>
          </w:tcPr>
          <w:p w14:paraId="0B44B7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[0.78606528, 0.82882184]</w:t>
            </w:r>
          </w:p>
        </w:tc>
      </w:tr>
      <w:tr w14:paraId="32319CC2">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5C682A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484" w:type="pct"/>
            <w:tcBorders>
              <w:top w:val="nil"/>
              <w:left w:val="nil"/>
              <w:bottom w:val="nil"/>
              <w:right w:val="nil"/>
            </w:tcBorders>
            <w:vAlign w:val="center"/>
          </w:tcPr>
          <w:p w14:paraId="23320B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0.80715364</w:t>
            </w:r>
          </w:p>
        </w:tc>
        <w:tc>
          <w:tcPr>
            <w:tcW w:w="1484" w:type="pct"/>
            <w:tcBorders>
              <w:top w:val="nil"/>
              <w:left w:val="nil"/>
              <w:bottom w:val="nil"/>
              <w:right w:val="nil"/>
            </w:tcBorders>
            <w:vAlign w:val="center"/>
          </w:tcPr>
          <w:p w14:paraId="520202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[0.78570974, 0.82859749]</w:t>
            </w:r>
          </w:p>
        </w:tc>
      </w:tr>
      <w:tr w14:paraId="6005AA74">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noWrap/>
            <w:vAlign w:val="center"/>
          </w:tcPr>
          <w:p w14:paraId="345779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Juan Miguel Fernández-Alvira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484" w:type="pct"/>
            <w:tcBorders>
              <w:top w:val="nil"/>
              <w:left w:val="nil"/>
              <w:bottom w:val="nil"/>
              <w:right w:val="nil"/>
            </w:tcBorders>
            <w:vAlign w:val="center"/>
          </w:tcPr>
          <w:p w14:paraId="1AE661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0.80745906</w:t>
            </w:r>
          </w:p>
        </w:tc>
        <w:tc>
          <w:tcPr>
            <w:tcW w:w="1484" w:type="pct"/>
            <w:tcBorders>
              <w:top w:val="nil"/>
              <w:left w:val="nil"/>
              <w:bottom w:val="nil"/>
              <w:right w:val="nil"/>
            </w:tcBorders>
            <w:vAlign w:val="center"/>
          </w:tcPr>
          <w:p w14:paraId="13452E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[0.78605455, 0.82886356]</w:t>
            </w:r>
          </w:p>
        </w:tc>
      </w:tr>
      <w:tr w14:paraId="2DA5126D">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546901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Tessa S.S.Genders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(2011)</w:t>
            </w:r>
          </w:p>
        </w:tc>
        <w:tc>
          <w:tcPr>
            <w:tcW w:w="1484" w:type="pct"/>
            <w:tcBorders>
              <w:top w:val="nil"/>
              <w:left w:val="nil"/>
              <w:bottom w:val="nil"/>
              <w:right w:val="nil"/>
            </w:tcBorders>
            <w:vAlign w:val="center"/>
          </w:tcPr>
          <w:p w14:paraId="5B62D2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0.80512768</w:t>
            </w:r>
          </w:p>
        </w:tc>
        <w:tc>
          <w:tcPr>
            <w:tcW w:w="1484" w:type="pct"/>
            <w:tcBorders>
              <w:top w:val="nil"/>
              <w:left w:val="nil"/>
              <w:bottom w:val="nil"/>
              <w:right w:val="nil"/>
            </w:tcBorders>
            <w:vAlign w:val="center"/>
          </w:tcPr>
          <w:p w14:paraId="792579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[0.78365505, 0.82660025]</w:t>
            </w:r>
          </w:p>
        </w:tc>
      </w:tr>
      <w:tr w14:paraId="441F309D">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0C0A9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Christian Delles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484" w:type="pct"/>
            <w:tcBorders>
              <w:top w:val="nil"/>
              <w:left w:val="nil"/>
              <w:bottom w:val="nil"/>
              <w:right w:val="nil"/>
            </w:tcBorders>
            <w:vAlign w:val="center"/>
          </w:tcPr>
          <w:p w14:paraId="6A40EA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0.8042661</w:t>
            </w:r>
          </w:p>
        </w:tc>
        <w:tc>
          <w:tcPr>
            <w:tcW w:w="1484" w:type="pct"/>
            <w:tcBorders>
              <w:top w:val="nil"/>
              <w:left w:val="nil"/>
              <w:bottom w:val="nil"/>
              <w:right w:val="nil"/>
            </w:tcBorders>
            <w:vAlign w:val="center"/>
          </w:tcPr>
          <w:p w14:paraId="5767CC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[0.78290075, 0.82563150]</w:t>
            </w:r>
          </w:p>
        </w:tc>
      </w:tr>
      <w:tr w14:paraId="7E423353">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noWrap/>
            <w:vAlign w:val="center"/>
          </w:tcPr>
          <w:p w14:paraId="7B98C6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Stefan Bösner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484" w:type="pct"/>
            <w:tcBorders>
              <w:top w:val="nil"/>
              <w:left w:val="nil"/>
              <w:bottom w:val="nil"/>
              <w:right w:val="nil"/>
            </w:tcBorders>
            <w:vAlign w:val="center"/>
          </w:tcPr>
          <w:p w14:paraId="2EFF85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0.80369514</w:t>
            </w:r>
          </w:p>
        </w:tc>
        <w:tc>
          <w:tcPr>
            <w:tcW w:w="1484" w:type="pct"/>
            <w:tcBorders>
              <w:top w:val="nil"/>
              <w:left w:val="nil"/>
              <w:bottom w:val="nil"/>
              <w:right w:val="nil"/>
            </w:tcBorders>
            <w:vAlign w:val="center"/>
          </w:tcPr>
          <w:p w14:paraId="1BA404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[0.78239411, 0.82499623]</w:t>
            </w:r>
          </w:p>
        </w:tc>
      </w:tr>
      <w:tr w14:paraId="686ECE3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CB801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Dragana Lakic BPharm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484" w:type="pct"/>
            <w:tcBorders>
              <w:top w:val="nil"/>
              <w:left w:val="nil"/>
              <w:bottom w:val="nil"/>
              <w:right w:val="nil"/>
            </w:tcBorders>
            <w:vAlign w:val="center"/>
          </w:tcPr>
          <w:p w14:paraId="4A25DD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0.80326879</w:t>
            </w:r>
          </w:p>
        </w:tc>
        <w:tc>
          <w:tcPr>
            <w:tcW w:w="1484" w:type="pct"/>
            <w:tcBorders>
              <w:top w:val="nil"/>
              <w:left w:val="nil"/>
              <w:bottom w:val="nil"/>
              <w:right w:val="nil"/>
            </w:tcBorders>
            <w:vAlign w:val="center"/>
          </w:tcPr>
          <w:p w14:paraId="29C0E7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[0.78201717, 0.82452041]</w:t>
            </w:r>
          </w:p>
        </w:tc>
      </w:tr>
      <w:tr w14:paraId="1C676449">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DEB46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Zufei Wu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1484" w:type="pct"/>
            <w:tcBorders>
              <w:top w:val="nil"/>
              <w:left w:val="nil"/>
              <w:bottom w:val="nil"/>
              <w:right w:val="nil"/>
            </w:tcBorders>
            <w:vAlign w:val="center"/>
          </w:tcPr>
          <w:p w14:paraId="45EDB0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0.80349088</w:t>
            </w:r>
          </w:p>
        </w:tc>
        <w:tc>
          <w:tcPr>
            <w:tcW w:w="1484" w:type="pct"/>
            <w:tcBorders>
              <w:top w:val="nil"/>
              <w:left w:val="nil"/>
              <w:bottom w:val="nil"/>
              <w:right w:val="nil"/>
            </w:tcBorders>
            <w:vAlign w:val="center"/>
          </w:tcPr>
          <w:p w14:paraId="4AA0F8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[0.78248012, 0.82450169]</w:t>
            </w:r>
          </w:p>
        </w:tc>
      </w:tr>
      <w:tr w14:paraId="7C479632">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57F13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Yongjin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484" w:type="pct"/>
            <w:tcBorders>
              <w:top w:val="nil"/>
              <w:left w:val="nil"/>
              <w:bottom w:val="nil"/>
              <w:right w:val="nil"/>
            </w:tcBorders>
            <w:vAlign w:val="center"/>
          </w:tcPr>
          <w:p w14:paraId="371E93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0.8044005</w:t>
            </w:r>
          </w:p>
        </w:tc>
        <w:tc>
          <w:tcPr>
            <w:tcW w:w="1484" w:type="pct"/>
            <w:tcBorders>
              <w:top w:val="nil"/>
              <w:left w:val="nil"/>
              <w:bottom w:val="nil"/>
              <w:right w:val="nil"/>
            </w:tcBorders>
            <w:vAlign w:val="center"/>
          </w:tcPr>
          <w:p w14:paraId="2B15BE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[0.78303474, 0.82576621]</w:t>
            </w:r>
          </w:p>
        </w:tc>
      </w:tr>
      <w:tr w14:paraId="673133EA">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159F6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Runlu Sun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484" w:type="pct"/>
            <w:tcBorders>
              <w:top w:val="nil"/>
              <w:left w:val="nil"/>
              <w:bottom w:val="nil"/>
              <w:right w:val="nil"/>
            </w:tcBorders>
            <w:vAlign w:val="center"/>
          </w:tcPr>
          <w:p w14:paraId="5358FD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0.80422229</w:t>
            </w:r>
          </w:p>
        </w:tc>
        <w:tc>
          <w:tcPr>
            <w:tcW w:w="1484" w:type="pct"/>
            <w:tcBorders>
              <w:top w:val="nil"/>
              <w:left w:val="nil"/>
              <w:bottom w:val="nil"/>
              <w:right w:val="nil"/>
            </w:tcBorders>
            <w:vAlign w:val="center"/>
          </w:tcPr>
          <w:p w14:paraId="180A88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[0.78286064, 0.82558393]</w:t>
            </w:r>
          </w:p>
        </w:tc>
      </w:tr>
      <w:tr w14:paraId="0AA04D1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5A189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Wenqian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484" w:type="pct"/>
            <w:tcBorders>
              <w:top w:val="nil"/>
              <w:left w:val="nil"/>
              <w:bottom w:val="nil"/>
              <w:right w:val="nil"/>
            </w:tcBorders>
            <w:vAlign w:val="center"/>
          </w:tcPr>
          <w:p w14:paraId="01289A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0.80648464</w:t>
            </w:r>
          </w:p>
        </w:tc>
        <w:tc>
          <w:tcPr>
            <w:tcW w:w="1484" w:type="pct"/>
            <w:tcBorders>
              <w:top w:val="nil"/>
              <w:left w:val="nil"/>
              <w:bottom w:val="nil"/>
              <w:right w:val="nil"/>
            </w:tcBorders>
            <w:vAlign w:val="center"/>
          </w:tcPr>
          <w:p w14:paraId="0DBC44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[0.78517652, 0.82779276]</w:t>
            </w:r>
          </w:p>
        </w:tc>
      </w:tr>
      <w:tr w14:paraId="5C7D22E4">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2BB4B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Sadiya S. Khan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484" w:type="pct"/>
            <w:tcBorders>
              <w:top w:val="nil"/>
              <w:left w:val="nil"/>
              <w:bottom w:val="nil"/>
              <w:right w:val="nil"/>
            </w:tcBorders>
            <w:vAlign w:val="center"/>
          </w:tcPr>
          <w:p w14:paraId="2645CC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0.80585563</w:t>
            </w:r>
          </w:p>
        </w:tc>
        <w:tc>
          <w:tcPr>
            <w:tcW w:w="1484" w:type="pct"/>
            <w:tcBorders>
              <w:top w:val="nil"/>
              <w:left w:val="nil"/>
              <w:bottom w:val="nil"/>
              <w:right w:val="nil"/>
            </w:tcBorders>
            <w:vAlign w:val="center"/>
          </w:tcPr>
          <w:p w14:paraId="5EBEE5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[0.78441417, 0.82729703]</w:t>
            </w:r>
          </w:p>
        </w:tc>
      </w:tr>
      <w:tr w14:paraId="177E1571">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7B05B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Simon Winther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53C23C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0.80755228</w:t>
            </w:r>
          </w:p>
        </w:tc>
        <w:tc>
          <w:tcPr>
            <w:tcW w:w="1484" w:type="pct"/>
            <w:tcBorders>
              <w:top w:val="nil"/>
              <w:left w:val="nil"/>
              <w:bottom w:val="nil"/>
              <w:right w:val="nil"/>
            </w:tcBorders>
            <w:vAlign w:val="center"/>
          </w:tcPr>
          <w:p w14:paraId="5D9AD2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[0.78619874, 0.82890576]</w:t>
            </w:r>
          </w:p>
        </w:tc>
      </w:tr>
      <w:tr w14:paraId="07DAB848">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5B0944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Austin King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484" w:type="pct"/>
            <w:tcBorders>
              <w:top w:val="nil"/>
              <w:left w:val="nil"/>
              <w:bottom w:val="nil"/>
              <w:right w:val="nil"/>
            </w:tcBorders>
            <w:vAlign w:val="center"/>
          </w:tcPr>
          <w:p w14:paraId="0D9B81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0.8063122</w:t>
            </w:r>
          </w:p>
        </w:tc>
        <w:tc>
          <w:tcPr>
            <w:tcW w:w="1484" w:type="pct"/>
            <w:tcBorders>
              <w:top w:val="nil"/>
              <w:left w:val="nil"/>
              <w:bottom w:val="nil"/>
              <w:right w:val="nil"/>
            </w:tcBorders>
            <w:vAlign w:val="center"/>
          </w:tcPr>
          <w:p w14:paraId="21CE71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[0.78319126, 0.82943320]</w:t>
            </w:r>
          </w:p>
        </w:tc>
      </w:tr>
      <w:tr w14:paraId="75F76232">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CDC5F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Casper G.M.J. Eurlings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5D4688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0.8042661</w:t>
            </w:r>
          </w:p>
        </w:tc>
        <w:tc>
          <w:tcPr>
            <w:tcW w:w="1484" w:type="pct"/>
            <w:tcBorders>
              <w:top w:val="nil"/>
              <w:left w:val="nil"/>
              <w:bottom w:val="nil"/>
              <w:right w:val="nil"/>
            </w:tcBorders>
            <w:vAlign w:val="center"/>
          </w:tcPr>
          <w:p w14:paraId="75F292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[0.78290075, 0.82563150]</w:t>
            </w:r>
          </w:p>
        </w:tc>
      </w:tr>
      <w:tr w14:paraId="29225B6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2E7F05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Juntae Kim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59F6C1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0.80555379</w:t>
            </w:r>
          </w:p>
        </w:tc>
        <w:tc>
          <w:tcPr>
            <w:tcW w:w="1484" w:type="pct"/>
            <w:tcBorders>
              <w:top w:val="nil"/>
              <w:left w:val="nil"/>
              <w:bottom w:val="nil"/>
              <w:right w:val="nil"/>
            </w:tcBorders>
            <w:vAlign w:val="center"/>
          </w:tcPr>
          <w:p w14:paraId="6A5710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[0.78417122, 0.82693642]</w:t>
            </w:r>
          </w:p>
        </w:tc>
      </w:tr>
      <w:tr w14:paraId="0B4A02F6">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2619F7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Bao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4D2C7B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0.80557626</w:t>
            </w:r>
          </w:p>
        </w:tc>
        <w:tc>
          <w:tcPr>
            <w:tcW w:w="1484" w:type="pct"/>
            <w:tcBorders>
              <w:top w:val="nil"/>
              <w:left w:val="nil"/>
              <w:bottom w:val="nil"/>
              <w:right w:val="nil"/>
            </w:tcBorders>
            <w:vAlign w:val="center"/>
          </w:tcPr>
          <w:p w14:paraId="3E84E4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[0.78418130, 0.82697123]</w:t>
            </w:r>
          </w:p>
        </w:tc>
      </w:tr>
      <w:tr w14:paraId="64207AB8">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16048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Chenchi Chang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55BF7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0.80511957</w:t>
            </w:r>
          </w:p>
        </w:tc>
        <w:tc>
          <w:tcPr>
            <w:tcW w:w="1484" w:type="pct"/>
            <w:tcBorders>
              <w:top w:val="nil"/>
              <w:left w:val="nil"/>
              <w:bottom w:val="nil"/>
              <w:right w:val="nil"/>
            </w:tcBorders>
            <w:vAlign w:val="center"/>
          </w:tcPr>
          <w:p w14:paraId="2D384E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[0.78373587, 0.82650328]</w:t>
            </w:r>
          </w:p>
        </w:tc>
      </w:tr>
      <w:tr w14:paraId="5ECA54D0">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D10DF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1B4CB9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0.80320567</w:t>
            </w:r>
          </w:p>
        </w:tc>
        <w:tc>
          <w:tcPr>
            <w:tcW w:w="1484" w:type="pct"/>
            <w:tcBorders>
              <w:top w:val="nil"/>
              <w:left w:val="nil"/>
              <w:bottom w:val="nil"/>
              <w:right w:val="nil"/>
            </w:tcBorders>
            <w:vAlign w:val="center"/>
          </w:tcPr>
          <w:p w14:paraId="696B91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[0.78203022, 0.82438111]</w:t>
            </w:r>
          </w:p>
        </w:tc>
      </w:tr>
      <w:tr w14:paraId="2B2B4E78">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324AB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Saaket Agrawal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484" w:type="pct"/>
            <w:tcBorders>
              <w:top w:val="nil"/>
              <w:left w:val="nil"/>
              <w:bottom w:val="nil"/>
              <w:right w:val="nil"/>
            </w:tcBorders>
            <w:vAlign w:val="center"/>
          </w:tcPr>
          <w:p w14:paraId="00CE2B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0.80556411</w:t>
            </w:r>
          </w:p>
        </w:tc>
        <w:tc>
          <w:tcPr>
            <w:tcW w:w="1484" w:type="pct"/>
            <w:tcBorders>
              <w:top w:val="nil"/>
              <w:left w:val="nil"/>
              <w:bottom w:val="nil"/>
              <w:right w:val="nil"/>
            </w:tcBorders>
            <w:vAlign w:val="center"/>
          </w:tcPr>
          <w:p w14:paraId="0067DA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[0.78389281, 0.82723534]</w:t>
            </w:r>
          </w:p>
        </w:tc>
      </w:tr>
      <w:tr w14:paraId="48FB4181">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376E12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484" w:type="pct"/>
            <w:tcBorders>
              <w:top w:val="nil"/>
              <w:left w:val="nil"/>
              <w:bottom w:val="nil"/>
              <w:right w:val="nil"/>
            </w:tcBorders>
            <w:vAlign w:val="center"/>
          </w:tcPr>
          <w:p w14:paraId="14C65A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0.80891663</w:t>
            </w:r>
          </w:p>
        </w:tc>
        <w:tc>
          <w:tcPr>
            <w:tcW w:w="1484" w:type="pct"/>
            <w:tcBorders>
              <w:top w:val="nil"/>
              <w:left w:val="nil"/>
              <w:bottom w:val="nil"/>
              <w:right w:val="nil"/>
            </w:tcBorders>
            <w:vAlign w:val="center"/>
          </w:tcPr>
          <w:p w14:paraId="1877DA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[0.78790700, 0.82992625]</w:t>
            </w:r>
          </w:p>
        </w:tc>
      </w:tr>
      <w:tr w14:paraId="43B1AF2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6A0CBD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Naderian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1484" w:type="pct"/>
            <w:tcBorders>
              <w:top w:val="nil"/>
              <w:left w:val="nil"/>
              <w:bottom w:val="nil"/>
              <w:right w:val="nil"/>
            </w:tcBorders>
            <w:vAlign w:val="center"/>
          </w:tcPr>
          <w:p w14:paraId="05C7A2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0.80591446</w:t>
            </w:r>
          </w:p>
        </w:tc>
        <w:tc>
          <w:tcPr>
            <w:tcW w:w="1484" w:type="pct"/>
            <w:tcBorders>
              <w:top w:val="nil"/>
              <w:left w:val="nil"/>
              <w:bottom w:val="nil"/>
              <w:right w:val="nil"/>
            </w:tcBorders>
            <w:vAlign w:val="center"/>
          </w:tcPr>
          <w:p w14:paraId="56C0F6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[0.78416395, 0.82766497]</w:t>
            </w:r>
          </w:p>
        </w:tc>
      </w:tr>
      <w:tr w14:paraId="6217BDEF">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29A81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Shiqun Chen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484" w:type="pct"/>
            <w:tcBorders>
              <w:top w:val="nil"/>
              <w:left w:val="nil"/>
              <w:bottom w:val="nil"/>
              <w:right w:val="nil"/>
            </w:tcBorders>
            <w:vAlign w:val="center"/>
          </w:tcPr>
          <w:p w14:paraId="4C728C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0.80672169</w:t>
            </w:r>
          </w:p>
        </w:tc>
        <w:tc>
          <w:tcPr>
            <w:tcW w:w="1484" w:type="pct"/>
            <w:tcBorders>
              <w:top w:val="nil"/>
              <w:left w:val="nil"/>
              <w:bottom w:val="nil"/>
              <w:right w:val="nil"/>
            </w:tcBorders>
            <w:vAlign w:val="center"/>
          </w:tcPr>
          <w:p w14:paraId="61890F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[0.78532541, 0.82811791]</w:t>
            </w:r>
          </w:p>
        </w:tc>
      </w:tr>
      <w:tr w14:paraId="2EB26374">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43DE67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 Lenselink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484" w:type="pct"/>
            <w:tcBorders>
              <w:top w:val="nil"/>
              <w:left w:val="nil"/>
              <w:bottom w:val="nil"/>
              <w:right w:val="nil"/>
            </w:tcBorders>
            <w:vAlign w:val="center"/>
          </w:tcPr>
          <w:p w14:paraId="463350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0.8055442</w:t>
            </w:r>
          </w:p>
        </w:tc>
        <w:tc>
          <w:tcPr>
            <w:tcW w:w="1484" w:type="pct"/>
            <w:tcBorders>
              <w:top w:val="nil"/>
              <w:left w:val="nil"/>
              <w:bottom w:val="nil"/>
              <w:right w:val="nil"/>
            </w:tcBorders>
            <w:vAlign w:val="center"/>
          </w:tcPr>
          <w:p w14:paraId="399BF2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[0.78426975, 0.82681870]</w:t>
            </w:r>
          </w:p>
        </w:tc>
      </w:tr>
      <w:tr w14:paraId="7E28D40C">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0C9E1B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484" w:type="pct"/>
            <w:tcBorders>
              <w:top w:val="nil"/>
              <w:left w:val="nil"/>
              <w:bottom w:val="nil"/>
              <w:right w:val="nil"/>
            </w:tcBorders>
            <w:vAlign w:val="center"/>
          </w:tcPr>
          <w:p w14:paraId="28A140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0.80567849</w:t>
            </w:r>
          </w:p>
        </w:tc>
        <w:tc>
          <w:tcPr>
            <w:tcW w:w="1484" w:type="pct"/>
            <w:tcBorders>
              <w:top w:val="nil"/>
              <w:left w:val="nil"/>
              <w:bottom w:val="nil"/>
              <w:right w:val="nil"/>
            </w:tcBorders>
            <w:vAlign w:val="center"/>
          </w:tcPr>
          <w:p w14:paraId="4D3B7C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[0.78416711, 0.82718986]</w:t>
            </w:r>
          </w:p>
        </w:tc>
      </w:tr>
      <w:tr w14:paraId="04930E85">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7F5BCC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484" w:type="pct"/>
            <w:tcBorders>
              <w:top w:val="nil"/>
              <w:left w:val="nil"/>
              <w:bottom w:val="nil"/>
              <w:right w:val="nil"/>
            </w:tcBorders>
            <w:vAlign w:val="center"/>
          </w:tcPr>
          <w:p w14:paraId="7FD2FC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0.80696863</w:t>
            </w:r>
          </w:p>
        </w:tc>
        <w:tc>
          <w:tcPr>
            <w:tcW w:w="1484" w:type="pct"/>
            <w:tcBorders>
              <w:top w:val="nil"/>
              <w:left w:val="nil"/>
              <w:bottom w:val="nil"/>
              <w:right w:val="nil"/>
            </w:tcBorders>
            <w:vAlign w:val="center"/>
          </w:tcPr>
          <w:p w14:paraId="5C24A3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[0.78550273, 0.82843459]</w:t>
            </w:r>
          </w:p>
        </w:tc>
      </w:tr>
      <w:tr w14:paraId="31002757">
        <w:tblPrEx>
          <w:tblCellMar>
            <w:top w:w="0" w:type="dxa"/>
            <w:left w:w="108" w:type="dxa"/>
            <w:bottom w:w="0" w:type="dxa"/>
            <w:right w:w="108" w:type="dxa"/>
          </w:tblCellMar>
        </w:tblPrEx>
        <w:trPr>
          <w:trHeight w:val="264" w:hRule="atLeast"/>
          <w:jc w:val="center"/>
        </w:trPr>
        <w:tc>
          <w:tcPr>
            <w:tcW w:w="2030" w:type="pct"/>
            <w:tcBorders>
              <w:top w:val="nil"/>
              <w:left w:val="nil"/>
              <w:bottom w:val="nil"/>
              <w:right w:val="nil"/>
            </w:tcBorders>
            <w:vAlign w:val="center"/>
          </w:tcPr>
          <w:p w14:paraId="18A0BC84">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Combined</w:t>
            </w:r>
          </w:p>
        </w:tc>
        <w:tc>
          <w:tcPr>
            <w:tcW w:w="1484" w:type="pct"/>
            <w:tcBorders>
              <w:top w:val="nil"/>
              <w:left w:val="nil"/>
              <w:bottom w:val="nil"/>
              <w:right w:val="nil"/>
            </w:tcBorders>
            <w:vAlign w:val="center"/>
          </w:tcPr>
          <w:p w14:paraId="696CD04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0.80539942</w:t>
            </w:r>
          </w:p>
        </w:tc>
        <w:tc>
          <w:tcPr>
            <w:tcW w:w="1484" w:type="pct"/>
            <w:tcBorders>
              <w:top w:val="nil"/>
              <w:left w:val="nil"/>
              <w:bottom w:val="nil"/>
              <w:right w:val="nil"/>
            </w:tcBorders>
            <w:vAlign w:val="center"/>
          </w:tcPr>
          <w:p w14:paraId="0E7EC960">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[0.78420731, 0.82659154]</w:t>
            </w:r>
          </w:p>
        </w:tc>
      </w:tr>
    </w:tbl>
    <w:p w14:paraId="6DF208AC">
      <w:pPr>
        <w:spacing w:line="360" w:lineRule="auto"/>
        <w:jc w:val="left"/>
        <w:rPr>
          <w:rFonts w:ascii="Times New Roman" w:hAnsi="Times New Roman"/>
          <w:sz w:val="24"/>
        </w:rPr>
      </w:pPr>
    </w:p>
    <w:p w14:paraId="7943A70A">
      <w:pPr>
        <w:spacing w:line="360" w:lineRule="auto"/>
        <w:jc w:val="left"/>
        <w:rPr>
          <w:rFonts w:ascii="Times New Roman" w:hAnsi="Times New Roman"/>
          <w:sz w:val="24"/>
        </w:rPr>
      </w:pPr>
      <w:r>
        <w:rPr>
          <w:rFonts w:hint="eastAsia" w:ascii="Times New Roman" w:hAnsi="Times New Roman"/>
          <w:sz w:val="24"/>
        </w:rPr>
        <w:t>Table S5. Sensitivity analysis results of literature with only internal validation</w:t>
      </w:r>
    </w:p>
    <w:tbl>
      <w:tblPr>
        <w:tblStyle w:val="2"/>
        <w:tblW w:w="4999" w:type="pct"/>
        <w:jc w:val="center"/>
        <w:tblLayout w:type="autofit"/>
        <w:tblCellMar>
          <w:top w:w="0" w:type="dxa"/>
          <w:left w:w="108" w:type="dxa"/>
          <w:bottom w:w="0" w:type="dxa"/>
          <w:right w:w="108" w:type="dxa"/>
        </w:tblCellMar>
      </w:tblPr>
      <w:tblGrid>
        <w:gridCol w:w="3693"/>
        <w:gridCol w:w="2413"/>
        <w:gridCol w:w="2414"/>
      </w:tblGrid>
      <w:tr w14:paraId="575BA6D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336C34E0">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Study omitted</w:t>
            </w:r>
          </w:p>
        </w:tc>
        <w:tc>
          <w:tcPr>
            <w:tcW w:w="1500" w:type="pct"/>
            <w:tcBorders>
              <w:top w:val="nil"/>
              <w:left w:val="nil"/>
              <w:bottom w:val="nil"/>
              <w:right w:val="nil"/>
            </w:tcBorders>
            <w:vAlign w:val="center"/>
          </w:tcPr>
          <w:p w14:paraId="5935542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Estimate</w:t>
            </w:r>
          </w:p>
        </w:tc>
        <w:tc>
          <w:tcPr>
            <w:tcW w:w="1500" w:type="pct"/>
            <w:tcBorders>
              <w:top w:val="nil"/>
              <w:left w:val="nil"/>
              <w:bottom w:val="nil"/>
              <w:right w:val="nil"/>
            </w:tcBorders>
            <w:vAlign w:val="center"/>
          </w:tcPr>
          <w:p w14:paraId="6DEA7A1D">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95% Conf. Interval</w:t>
            </w:r>
          </w:p>
        </w:tc>
      </w:tr>
      <w:tr w14:paraId="6CA30EC1">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721C6D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Kuangmao Chiang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479381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0.8100096</w:t>
            </w:r>
          </w:p>
        </w:tc>
        <w:tc>
          <w:tcPr>
            <w:tcW w:w="1500" w:type="pct"/>
            <w:tcBorders>
              <w:top w:val="nil"/>
              <w:left w:val="nil"/>
              <w:bottom w:val="nil"/>
              <w:right w:val="nil"/>
            </w:tcBorders>
            <w:vAlign w:val="center"/>
          </w:tcPr>
          <w:p w14:paraId="00E858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[0.78490418, 0.83511496]</w:t>
            </w:r>
          </w:p>
        </w:tc>
      </w:tr>
      <w:tr w14:paraId="23153F9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679E5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Ekram W. Abd El-Wahab</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500" w:type="pct"/>
            <w:tcBorders>
              <w:top w:val="nil"/>
              <w:left w:val="nil"/>
              <w:bottom w:val="nil"/>
              <w:right w:val="nil"/>
            </w:tcBorders>
            <w:vAlign w:val="center"/>
          </w:tcPr>
          <w:p w14:paraId="4D792B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0.80580848</w:t>
            </w:r>
          </w:p>
        </w:tc>
        <w:tc>
          <w:tcPr>
            <w:tcW w:w="1500" w:type="pct"/>
            <w:tcBorders>
              <w:top w:val="nil"/>
              <w:left w:val="nil"/>
              <w:bottom w:val="nil"/>
              <w:right w:val="nil"/>
            </w:tcBorders>
            <w:vAlign w:val="center"/>
          </w:tcPr>
          <w:p w14:paraId="3C8A5C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[0.78103149, 0.83058542]</w:t>
            </w:r>
          </w:p>
        </w:tc>
      </w:tr>
      <w:tr w14:paraId="1A946B9A">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13557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Dingyu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500" w:type="pct"/>
            <w:tcBorders>
              <w:top w:val="nil"/>
              <w:left w:val="nil"/>
              <w:bottom w:val="nil"/>
              <w:right w:val="nil"/>
            </w:tcBorders>
            <w:vAlign w:val="center"/>
          </w:tcPr>
          <w:p w14:paraId="767531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0.80898261</w:t>
            </w:r>
          </w:p>
        </w:tc>
        <w:tc>
          <w:tcPr>
            <w:tcW w:w="1500" w:type="pct"/>
            <w:tcBorders>
              <w:top w:val="nil"/>
              <w:left w:val="nil"/>
              <w:bottom w:val="nil"/>
              <w:right w:val="nil"/>
            </w:tcBorders>
            <w:vAlign w:val="center"/>
          </w:tcPr>
          <w:p w14:paraId="08FADA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[0.78374171, 0.83422351]</w:t>
            </w:r>
          </w:p>
        </w:tc>
      </w:tr>
      <w:tr w14:paraId="1925FCE9">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AF0A0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Zuqiang Fu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500" w:type="pct"/>
            <w:tcBorders>
              <w:top w:val="nil"/>
              <w:left w:val="nil"/>
              <w:bottom w:val="nil"/>
              <w:right w:val="nil"/>
            </w:tcBorders>
            <w:vAlign w:val="center"/>
          </w:tcPr>
          <w:p w14:paraId="0C5B78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0.81055468</w:t>
            </w:r>
          </w:p>
        </w:tc>
        <w:tc>
          <w:tcPr>
            <w:tcW w:w="1500" w:type="pct"/>
            <w:tcBorders>
              <w:top w:val="nil"/>
              <w:left w:val="nil"/>
              <w:bottom w:val="nil"/>
              <w:right w:val="nil"/>
            </w:tcBorders>
            <w:vAlign w:val="center"/>
          </w:tcPr>
          <w:p w14:paraId="2C24C1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[0.78272176, 0.83838761]</w:t>
            </w:r>
          </w:p>
        </w:tc>
      </w:tr>
      <w:tr w14:paraId="5D90D8E1">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16436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Wafa Omer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1500" w:type="pct"/>
            <w:tcBorders>
              <w:top w:val="nil"/>
              <w:left w:val="nil"/>
              <w:bottom w:val="nil"/>
              <w:right w:val="nil"/>
            </w:tcBorders>
            <w:vAlign w:val="center"/>
          </w:tcPr>
          <w:p w14:paraId="5C9C42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0.80481279</w:t>
            </w:r>
          </w:p>
        </w:tc>
        <w:tc>
          <w:tcPr>
            <w:tcW w:w="1500" w:type="pct"/>
            <w:tcBorders>
              <w:top w:val="nil"/>
              <w:left w:val="nil"/>
              <w:bottom w:val="nil"/>
              <w:right w:val="nil"/>
            </w:tcBorders>
            <w:vAlign w:val="center"/>
          </w:tcPr>
          <w:p w14:paraId="71BC3D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[0.78038847, 0.82923710]</w:t>
            </w:r>
          </w:p>
        </w:tc>
      </w:tr>
      <w:tr w14:paraId="6D6C0513">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18DD07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Isaac Subirana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500" w:type="pct"/>
            <w:tcBorders>
              <w:top w:val="nil"/>
              <w:left w:val="nil"/>
              <w:bottom w:val="nil"/>
              <w:right w:val="nil"/>
            </w:tcBorders>
            <w:vAlign w:val="center"/>
          </w:tcPr>
          <w:p w14:paraId="726948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0.80843419</w:t>
            </w:r>
          </w:p>
        </w:tc>
        <w:tc>
          <w:tcPr>
            <w:tcW w:w="1500" w:type="pct"/>
            <w:tcBorders>
              <w:top w:val="nil"/>
              <w:left w:val="nil"/>
              <w:bottom w:val="nil"/>
              <w:right w:val="nil"/>
            </w:tcBorders>
            <w:vAlign w:val="center"/>
          </w:tcPr>
          <w:p w14:paraId="4C1219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[0.78324217, 0.83362615]</w:t>
            </w:r>
          </w:p>
        </w:tc>
      </w:tr>
      <w:tr w14:paraId="3CB1DC60">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40BA0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Jinyu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2D1C8F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0.81123304</w:t>
            </w:r>
          </w:p>
        </w:tc>
        <w:tc>
          <w:tcPr>
            <w:tcW w:w="1500" w:type="pct"/>
            <w:tcBorders>
              <w:top w:val="nil"/>
              <w:left w:val="nil"/>
              <w:bottom w:val="nil"/>
              <w:right w:val="nil"/>
            </w:tcBorders>
            <w:vAlign w:val="center"/>
          </w:tcPr>
          <w:p w14:paraId="3BC982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[0.78607029, 0.83639580]</w:t>
            </w:r>
          </w:p>
        </w:tc>
      </w:tr>
      <w:tr w14:paraId="4C1CAD63">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E6033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Symen Ligthart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(2014)</w:t>
            </w:r>
          </w:p>
        </w:tc>
        <w:tc>
          <w:tcPr>
            <w:tcW w:w="1500" w:type="pct"/>
            <w:tcBorders>
              <w:top w:val="nil"/>
              <w:left w:val="nil"/>
              <w:bottom w:val="nil"/>
              <w:right w:val="nil"/>
            </w:tcBorders>
            <w:vAlign w:val="center"/>
          </w:tcPr>
          <w:p w14:paraId="1BB312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0.81058753</w:t>
            </w:r>
          </w:p>
        </w:tc>
        <w:tc>
          <w:tcPr>
            <w:tcW w:w="1500" w:type="pct"/>
            <w:tcBorders>
              <w:top w:val="nil"/>
              <w:left w:val="nil"/>
              <w:bottom w:val="nil"/>
              <w:right w:val="nil"/>
            </w:tcBorders>
            <w:vAlign w:val="center"/>
          </w:tcPr>
          <w:p w14:paraId="3FE841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[0.78546363, 0.83571142]</w:t>
            </w:r>
          </w:p>
        </w:tc>
      </w:tr>
      <w:tr w14:paraId="0F03B9F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33487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Joseph F. Polak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500" w:type="pct"/>
            <w:tcBorders>
              <w:top w:val="nil"/>
              <w:left w:val="nil"/>
              <w:bottom w:val="nil"/>
              <w:right w:val="nil"/>
            </w:tcBorders>
            <w:vAlign w:val="center"/>
          </w:tcPr>
          <w:p w14:paraId="112EF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0.81084323</w:t>
            </w:r>
          </w:p>
        </w:tc>
        <w:tc>
          <w:tcPr>
            <w:tcW w:w="1500" w:type="pct"/>
            <w:tcBorders>
              <w:top w:val="nil"/>
              <w:left w:val="nil"/>
              <w:bottom w:val="nil"/>
              <w:right w:val="nil"/>
            </w:tcBorders>
            <w:vAlign w:val="center"/>
          </w:tcPr>
          <w:p w14:paraId="527289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[0.78549331, 0.83619314]</w:t>
            </w:r>
          </w:p>
        </w:tc>
      </w:tr>
      <w:tr w14:paraId="6CF0B56D">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1D01FF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Shuna Huang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500" w:type="pct"/>
            <w:tcBorders>
              <w:top w:val="nil"/>
              <w:left w:val="nil"/>
              <w:bottom w:val="nil"/>
              <w:right w:val="nil"/>
            </w:tcBorders>
            <w:vAlign w:val="center"/>
          </w:tcPr>
          <w:p w14:paraId="70BADD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0.81123674</w:t>
            </w:r>
          </w:p>
        </w:tc>
        <w:tc>
          <w:tcPr>
            <w:tcW w:w="1500" w:type="pct"/>
            <w:tcBorders>
              <w:top w:val="nil"/>
              <w:left w:val="nil"/>
              <w:bottom w:val="nil"/>
              <w:right w:val="nil"/>
            </w:tcBorders>
            <w:vAlign w:val="center"/>
          </w:tcPr>
          <w:p w14:paraId="4BC8AF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[0.78593707, 0.83653635]</w:t>
            </w:r>
          </w:p>
        </w:tc>
      </w:tr>
      <w:tr w14:paraId="2D096021">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96D14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Pengfei Wei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500" w:type="pct"/>
            <w:tcBorders>
              <w:top w:val="nil"/>
              <w:left w:val="nil"/>
              <w:bottom w:val="nil"/>
              <w:right w:val="nil"/>
            </w:tcBorders>
            <w:vAlign w:val="center"/>
          </w:tcPr>
          <w:p w14:paraId="18C2EB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0.80573487</w:t>
            </w:r>
          </w:p>
        </w:tc>
        <w:tc>
          <w:tcPr>
            <w:tcW w:w="1500" w:type="pct"/>
            <w:tcBorders>
              <w:top w:val="nil"/>
              <w:left w:val="nil"/>
              <w:bottom w:val="nil"/>
              <w:right w:val="nil"/>
            </w:tcBorders>
            <w:vAlign w:val="center"/>
          </w:tcPr>
          <w:p w14:paraId="08D6A1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[0.78117651, 0.83029324]</w:t>
            </w:r>
          </w:p>
        </w:tc>
      </w:tr>
      <w:tr w14:paraId="7AC51272">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5BB9B0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7DA58E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0.80679953</w:t>
            </w:r>
          </w:p>
        </w:tc>
        <w:tc>
          <w:tcPr>
            <w:tcW w:w="1500" w:type="pct"/>
            <w:tcBorders>
              <w:top w:val="nil"/>
              <w:left w:val="nil"/>
              <w:bottom w:val="nil"/>
              <w:right w:val="nil"/>
            </w:tcBorders>
            <w:vAlign w:val="center"/>
          </w:tcPr>
          <w:p w14:paraId="53518E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[0.78174639, 0.83185267]</w:t>
            </w:r>
          </w:p>
        </w:tc>
      </w:tr>
      <w:tr w14:paraId="2A8094CE">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756196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Xiaokang Zhang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3BD971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0.80829227</w:t>
            </w:r>
          </w:p>
        </w:tc>
        <w:tc>
          <w:tcPr>
            <w:tcW w:w="1500" w:type="pct"/>
            <w:tcBorders>
              <w:top w:val="nil"/>
              <w:left w:val="nil"/>
              <w:bottom w:val="nil"/>
              <w:right w:val="nil"/>
            </w:tcBorders>
            <w:vAlign w:val="center"/>
          </w:tcPr>
          <w:p w14:paraId="1FF238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[0.78318977, 0.83339477]</w:t>
            </w:r>
          </w:p>
        </w:tc>
      </w:tr>
      <w:tr w14:paraId="7C5B0EE2">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21D96F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Nicola Gaibazzi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(2016)</w:t>
            </w:r>
          </w:p>
        </w:tc>
        <w:tc>
          <w:tcPr>
            <w:tcW w:w="1500" w:type="pct"/>
            <w:tcBorders>
              <w:top w:val="nil"/>
              <w:left w:val="nil"/>
              <w:bottom w:val="nil"/>
              <w:right w:val="nil"/>
            </w:tcBorders>
            <w:vAlign w:val="center"/>
          </w:tcPr>
          <w:p w14:paraId="2D9121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0.81010187</w:t>
            </w:r>
          </w:p>
        </w:tc>
        <w:tc>
          <w:tcPr>
            <w:tcW w:w="1500" w:type="pct"/>
            <w:tcBorders>
              <w:top w:val="nil"/>
              <w:left w:val="nil"/>
              <w:bottom w:val="nil"/>
              <w:right w:val="nil"/>
            </w:tcBorders>
            <w:vAlign w:val="center"/>
          </w:tcPr>
          <w:p w14:paraId="33C089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[0.78493643, 0.83526736]</w:t>
            </w:r>
          </w:p>
        </w:tc>
      </w:tr>
      <w:tr w14:paraId="0720F82E">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C56F3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Yujia Yang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500" w:type="pct"/>
            <w:tcBorders>
              <w:top w:val="nil"/>
              <w:left w:val="nil"/>
              <w:bottom w:val="nil"/>
              <w:right w:val="nil"/>
            </w:tcBorders>
            <w:vAlign w:val="center"/>
          </w:tcPr>
          <w:p w14:paraId="3EBEE7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0.80793238</w:t>
            </w:r>
          </w:p>
        </w:tc>
        <w:tc>
          <w:tcPr>
            <w:tcW w:w="1500" w:type="pct"/>
            <w:tcBorders>
              <w:top w:val="nil"/>
              <w:left w:val="nil"/>
              <w:bottom w:val="nil"/>
              <w:right w:val="nil"/>
            </w:tcBorders>
            <w:vAlign w:val="center"/>
          </w:tcPr>
          <w:p w14:paraId="3CD309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[0.78287709, 0.83298761]</w:t>
            </w:r>
          </w:p>
        </w:tc>
      </w:tr>
      <w:tr w14:paraId="77AF9508">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16DDAD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Jayashree Shanker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(2012)</w:t>
            </w:r>
          </w:p>
        </w:tc>
        <w:tc>
          <w:tcPr>
            <w:tcW w:w="1500" w:type="pct"/>
            <w:tcBorders>
              <w:top w:val="nil"/>
              <w:left w:val="nil"/>
              <w:bottom w:val="nil"/>
              <w:right w:val="nil"/>
            </w:tcBorders>
            <w:vAlign w:val="center"/>
          </w:tcPr>
          <w:p w14:paraId="515297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0.80661529</w:t>
            </w:r>
          </w:p>
        </w:tc>
        <w:tc>
          <w:tcPr>
            <w:tcW w:w="1500" w:type="pct"/>
            <w:tcBorders>
              <w:top w:val="nil"/>
              <w:left w:val="nil"/>
              <w:bottom w:val="nil"/>
              <w:right w:val="nil"/>
            </w:tcBorders>
            <w:vAlign w:val="center"/>
          </w:tcPr>
          <w:p w14:paraId="689A04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[0.78174090, 0.83148974]</w:t>
            </w:r>
          </w:p>
        </w:tc>
      </w:tr>
      <w:tr w14:paraId="6EC746F8">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25F555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Xin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500" w:type="pct"/>
            <w:tcBorders>
              <w:top w:val="nil"/>
              <w:left w:val="nil"/>
              <w:bottom w:val="nil"/>
              <w:right w:val="nil"/>
            </w:tcBorders>
            <w:vAlign w:val="center"/>
          </w:tcPr>
          <w:p w14:paraId="4FD3A6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0.8089726</w:t>
            </w:r>
          </w:p>
        </w:tc>
        <w:tc>
          <w:tcPr>
            <w:tcW w:w="1500" w:type="pct"/>
            <w:tcBorders>
              <w:top w:val="nil"/>
              <w:left w:val="nil"/>
              <w:bottom w:val="nil"/>
              <w:right w:val="nil"/>
            </w:tcBorders>
            <w:vAlign w:val="center"/>
          </w:tcPr>
          <w:p w14:paraId="059636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[0.78385192, 0.83409327]</w:t>
            </w:r>
          </w:p>
        </w:tc>
      </w:tr>
      <w:tr w14:paraId="121C39BB">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DFA7C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Sakhavat Abolhasani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500" w:type="pct"/>
            <w:tcBorders>
              <w:top w:val="nil"/>
              <w:left w:val="nil"/>
              <w:bottom w:val="nil"/>
              <w:right w:val="nil"/>
            </w:tcBorders>
            <w:vAlign w:val="center"/>
          </w:tcPr>
          <w:p w14:paraId="3D86FD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0.80358374</w:t>
            </w:r>
          </w:p>
        </w:tc>
        <w:tc>
          <w:tcPr>
            <w:tcW w:w="1500" w:type="pct"/>
            <w:tcBorders>
              <w:top w:val="nil"/>
              <w:left w:val="nil"/>
              <w:bottom w:val="nil"/>
              <w:right w:val="nil"/>
            </w:tcBorders>
            <w:vAlign w:val="center"/>
          </w:tcPr>
          <w:p w14:paraId="7EAEC7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[0.78209645, 0.82507110]</w:t>
            </w:r>
          </w:p>
        </w:tc>
      </w:tr>
      <w:tr w14:paraId="0DC5687C">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5FDF84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Zhe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500" w:type="pct"/>
            <w:tcBorders>
              <w:top w:val="nil"/>
              <w:left w:val="nil"/>
              <w:bottom w:val="nil"/>
              <w:right w:val="nil"/>
            </w:tcBorders>
            <w:vAlign w:val="center"/>
          </w:tcPr>
          <w:p w14:paraId="1CF9DD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0.81085056</w:t>
            </w:r>
          </w:p>
        </w:tc>
        <w:tc>
          <w:tcPr>
            <w:tcW w:w="1500" w:type="pct"/>
            <w:tcBorders>
              <w:top w:val="nil"/>
              <w:left w:val="nil"/>
              <w:bottom w:val="nil"/>
              <w:right w:val="nil"/>
            </w:tcBorders>
            <w:vAlign w:val="center"/>
          </w:tcPr>
          <w:p w14:paraId="38A0D9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[0.78545320, 0.83624786]</w:t>
            </w:r>
          </w:p>
        </w:tc>
      </w:tr>
      <w:tr w14:paraId="263547F4">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94614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Weiyi Mei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500" w:type="pct"/>
            <w:tcBorders>
              <w:top w:val="nil"/>
              <w:left w:val="nil"/>
              <w:bottom w:val="nil"/>
              <w:right w:val="nil"/>
            </w:tcBorders>
            <w:vAlign w:val="center"/>
          </w:tcPr>
          <w:p w14:paraId="407EB0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0.80969983</w:t>
            </w:r>
          </w:p>
        </w:tc>
        <w:tc>
          <w:tcPr>
            <w:tcW w:w="1500" w:type="pct"/>
            <w:tcBorders>
              <w:top w:val="nil"/>
              <w:left w:val="nil"/>
              <w:bottom w:val="nil"/>
              <w:right w:val="nil"/>
            </w:tcBorders>
            <w:vAlign w:val="center"/>
          </w:tcPr>
          <w:p w14:paraId="57384E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[0.78444064, 0.83495897]</w:t>
            </w:r>
          </w:p>
        </w:tc>
      </w:tr>
      <w:tr w14:paraId="67B94EB4">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51617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James J. Jang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500" w:type="pct"/>
            <w:tcBorders>
              <w:top w:val="nil"/>
              <w:left w:val="nil"/>
              <w:bottom w:val="nil"/>
              <w:right w:val="nil"/>
            </w:tcBorders>
            <w:vAlign w:val="center"/>
          </w:tcPr>
          <w:p w14:paraId="1B9C34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0.81107795</w:t>
            </w:r>
          </w:p>
        </w:tc>
        <w:tc>
          <w:tcPr>
            <w:tcW w:w="1500" w:type="pct"/>
            <w:tcBorders>
              <w:top w:val="nil"/>
              <w:left w:val="nil"/>
              <w:bottom w:val="nil"/>
              <w:right w:val="nil"/>
            </w:tcBorders>
            <w:vAlign w:val="center"/>
          </w:tcPr>
          <w:p w14:paraId="52998C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[0.78586060, 0.83629525]</w:t>
            </w:r>
          </w:p>
        </w:tc>
      </w:tr>
      <w:tr w14:paraId="538407F2">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B0D4E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500" w:type="pct"/>
            <w:tcBorders>
              <w:top w:val="nil"/>
              <w:left w:val="nil"/>
              <w:bottom w:val="nil"/>
              <w:right w:val="nil"/>
            </w:tcBorders>
            <w:vAlign w:val="center"/>
          </w:tcPr>
          <w:p w14:paraId="589C4C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0.81169158</w:t>
            </w:r>
          </w:p>
        </w:tc>
        <w:tc>
          <w:tcPr>
            <w:tcW w:w="1500" w:type="pct"/>
            <w:tcBorders>
              <w:top w:val="nil"/>
              <w:left w:val="nil"/>
              <w:bottom w:val="nil"/>
              <w:right w:val="nil"/>
            </w:tcBorders>
            <w:vAlign w:val="center"/>
          </w:tcPr>
          <w:p w14:paraId="7F3FF4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[0.78646111, 0.83692199]</w:t>
            </w:r>
          </w:p>
        </w:tc>
      </w:tr>
      <w:tr w14:paraId="691A357D">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noWrap/>
            <w:vAlign w:val="center"/>
          </w:tcPr>
          <w:p w14:paraId="0B31B6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Juan Miguel Fernández-Alvira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500" w:type="pct"/>
            <w:tcBorders>
              <w:top w:val="nil"/>
              <w:left w:val="nil"/>
              <w:bottom w:val="nil"/>
              <w:right w:val="nil"/>
            </w:tcBorders>
            <w:vAlign w:val="center"/>
          </w:tcPr>
          <w:p w14:paraId="0D402D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0.81215835</w:t>
            </w:r>
          </w:p>
        </w:tc>
        <w:tc>
          <w:tcPr>
            <w:tcW w:w="1500" w:type="pct"/>
            <w:tcBorders>
              <w:top w:val="nil"/>
              <w:left w:val="nil"/>
              <w:bottom w:val="nil"/>
              <w:right w:val="nil"/>
            </w:tcBorders>
            <w:vAlign w:val="center"/>
          </w:tcPr>
          <w:p w14:paraId="721D4C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[0.78704840, 0.83726835]</w:t>
            </w:r>
          </w:p>
        </w:tc>
      </w:tr>
      <w:tr w14:paraId="011991C9">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2D82E4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Tessa S.S.Genders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(2011)</w:t>
            </w:r>
          </w:p>
        </w:tc>
        <w:tc>
          <w:tcPr>
            <w:tcW w:w="1500" w:type="pct"/>
            <w:tcBorders>
              <w:top w:val="nil"/>
              <w:left w:val="nil"/>
              <w:bottom w:val="nil"/>
              <w:right w:val="nil"/>
            </w:tcBorders>
            <w:vAlign w:val="center"/>
          </w:tcPr>
          <w:p w14:paraId="118A0E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0.80859119</w:t>
            </w:r>
          </w:p>
        </w:tc>
        <w:tc>
          <w:tcPr>
            <w:tcW w:w="1500" w:type="pct"/>
            <w:tcBorders>
              <w:top w:val="nil"/>
              <w:left w:val="nil"/>
              <w:bottom w:val="nil"/>
              <w:right w:val="nil"/>
            </w:tcBorders>
            <w:vAlign w:val="center"/>
          </w:tcPr>
          <w:p w14:paraId="784B70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[0.78325158, 0.83393079]</w:t>
            </w:r>
          </w:p>
        </w:tc>
      </w:tr>
      <w:tr w14:paraId="2342FE1B">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CFA7F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Dragana Lakic BPharm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500" w:type="pct"/>
            <w:tcBorders>
              <w:top w:val="nil"/>
              <w:left w:val="nil"/>
              <w:bottom w:val="nil"/>
              <w:right w:val="nil"/>
            </w:tcBorders>
            <w:vAlign w:val="center"/>
          </w:tcPr>
          <w:p w14:paraId="41057C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0.80572885</w:t>
            </w:r>
          </w:p>
        </w:tc>
        <w:tc>
          <w:tcPr>
            <w:tcW w:w="1500" w:type="pct"/>
            <w:tcBorders>
              <w:top w:val="nil"/>
              <w:left w:val="nil"/>
              <w:bottom w:val="nil"/>
              <w:right w:val="nil"/>
            </w:tcBorders>
            <w:vAlign w:val="center"/>
          </w:tcPr>
          <w:p w14:paraId="0A7E1D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[0.78089923, 0.83055854]</w:t>
            </w:r>
          </w:p>
        </w:tc>
      </w:tr>
      <w:tr w14:paraId="7FB18433">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5C1B25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Zufei Wu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1500" w:type="pct"/>
            <w:tcBorders>
              <w:top w:val="nil"/>
              <w:left w:val="nil"/>
              <w:bottom w:val="nil"/>
              <w:right w:val="nil"/>
            </w:tcBorders>
            <w:vAlign w:val="center"/>
          </w:tcPr>
          <w:p w14:paraId="186C3C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0.80603331</w:t>
            </w:r>
          </w:p>
        </w:tc>
        <w:tc>
          <w:tcPr>
            <w:tcW w:w="1500" w:type="pct"/>
            <w:tcBorders>
              <w:top w:val="nil"/>
              <w:left w:val="nil"/>
              <w:bottom w:val="nil"/>
              <w:right w:val="nil"/>
            </w:tcBorders>
            <w:vAlign w:val="center"/>
          </w:tcPr>
          <w:p w14:paraId="0B4F63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[0.78177053, 0.83029604]</w:t>
            </w:r>
          </w:p>
        </w:tc>
      </w:tr>
      <w:tr w14:paraId="314F37B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58298A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Yongjin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500" w:type="pct"/>
            <w:tcBorders>
              <w:top w:val="nil"/>
              <w:left w:val="nil"/>
              <w:bottom w:val="nil"/>
              <w:right w:val="nil"/>
            </w:tcBorders>
            <w:vAlign w:val="center"/>
          </w:tcPr>
          <w:p w14:paraId="4CA488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0.80747515</w:t>
            </w:r>
          </w:p>
        </w:tc>
        <w:tc>
          <w:tcPr>
            <w:tcW w:w="1500" w:type="pct"/>
            <w:tcBorders>
              <w:top w:val="nil"/>
              <w:left w:val="nil"/>
              <w:bottom w:val="nil"/>
              <w:right w:val="nil"/>
            </w:tcBorders>
            <w:vAlign w:val="center"/>
          </w:tcPr>
          <w:p w14:paraId="5F21DE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[0.78238219, 0.83256811]</w:t>
            </w:r>
          </w:p>
        </w:tc>
      </w:tr>
      <w:tr w14:paraId="0F0AB1BE">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7192F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Runlu Sun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500" w:type="pct"/>
            <w:tcBorders>
              <w:top w:val="nil"/>
              <w:left w:val="nil"/>
              <w:bottom w:val="nil"/>
              <w:right w:val="nil"/>
            </w:tcBorders>
            <w:vAlign w:val="center"/>
          </w:tcPr>
          <w:p w14:paraId="2C3CB7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0.80720288</w:t>
            </w:r>
          </w:p>
        </w:tc>
        <w:tc>
          <w:tcPr>
            <w:tcW w:w="1500" w:type="pct"/>
            <w:tcBorders>
              <w:top w:val="nil"/>
              <w:left w:val="nil"/>
              <w:bottom w:val="nil"/>
              <w:right w:val="nil"/>
            </w:tcBorders>
            <w:vAlign w:val="center"/>
          </w:tcPr>
          <w:p w14:paraId="305384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[0.78211969, 0.83228600]</w:t>
            </w:r>
          </w:p>
        </w:tc>
      </w:tr>
      <w:tr w14:paraId="31886683">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28518F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Simon Winther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5BF92F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0.81230116</w:t>
            </w:r>
          </w:p>
        </w:tc>
        <w:tc>
          <w:tcPr>
            <w:tcW w:w="1500" w:type="pct"/>
            <w:tcBorders>
              <w:top w:val="nil"/>
              <w:left w:val="nil"/>
              <w:bottom w:val="nil"/>
              <w:right w:val="nil"/>
            </w:tcBorders>
            <w:vAlign w:val="center"/>
          </w:tcPr>
          <w:p w14:paraId="0197A4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[0.78751832, 0.83708400]</w:t>
            </w:r>
          </w:p>
        </w:tc>
      </w:tr>
      <w:tr w14:paraId="15487DAE">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58D17F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Austin King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500" w:type="pct"/>
            <w:tcBorders>
              <w:top w:val="nil"/>
              <w:left w:val="nil"/>
              <w:bottom w:val="nil"/>
              <w:right w:val="nil"/>
            </w:tcBorders>
            <w:vAlign w:val="center"/>
          </w:tcPr>
          <w:p w14:paraId="780E0F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0.81053144</w:t>
            </w:r>
          </w:p>
        </w:tc>
        <w:tc>
          <w:tcPr>
            <w:tcW w:w="1500" w:type="pct"/>
            <w:tcBorders>
              <w:top w:val="nil"/>
              <w:left w:val="nil"/>
              <w:bottom w:val="nil"/>
              <w:right w:val="nil"/>
            </w:tcBorders>
            <w:vAlign w:val="center"/>
          </w:tcPr>
          <w:p w14:paraId="4E790F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[0.78202927, 0.83903360]</w:t>
            </w:r>
          </w:p>
        </w:tc>
      </w:tr>
      <w:tr w14:paraId="0AAB3CB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190A3C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Juntae Kim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38BFCE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0.80922318</w:t>
            </w:r>
          </w:p>
        </w:tc>
        <w:tc>
          <w:tcPr>
            <w:tcW w:w="1500" w:type="pct"/>
            <w:tcBorders>
              <w:top w:val="nil"/>
              <w:left w:val="nil"/>
              <w:bottom w:val="nil"/>
              <w:right w:val="nil"/>
            </w:tcBorders>
            <w:vAlign w:val="center"/>
          </w:tcPr>
          <w:p w14:paraId="3161A9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[0.78409255, 0.83435380]</w:t>
            </w:r>
          </w:p>
        </w:tc>
      </w:tr>
      <w:tr w14:paraId="37F5E8B2">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644E9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Bao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7CBE0B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0.80926222</w:t>
            </w:r>
          </w:p>
        </w:tc>
        <w:tc>
          <w:tcPr>
            <w:tcW w:w="1500" w:type="pct"/>
            <w:tcBorders>
              <w:top w:val="nil"/>
              <w:left w:val="nil"/>
              <w:bottom w:val="nil"/>
              <w:right w:val="nil"/>
            </w:tcBorders>
            <w:vAlign w:val="center"/>
          </w:tcPr>
          <w:p w14:paraId="21DD0A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[0.78410524, 0.83441919]</w:t>
            </w:r>
          </w:p>
        </w:tc>
      </w:tr>
      <w:tr w14:paraId="0CE5B8EA">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FECC1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Chenchi Chang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68C9B2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0.80856693</w:t>
            </w:r>
          </w:p>
        </w:tc>
        <w:tc>
          <w:tcPr>
            <w:tcW w:w="1500" w:type="pct"/>
            <w:tcBorders>
              <w:top w:val="nil"/>
              <w:left w:val="nil"/>
              <w:bottom w:val="nil"/>
              <w:right w:val="nil"/>
            </w:tcBorders>
            <w:vAlign w:val="center"/>
          </w:tcPr>
          <w:p w14:paraId="1CE15E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[0.78343391, 0.83369994]</w:t>
            </w:r>
          </w:p>
        </w:tc>
      </w:tr>
      <w:tr w14:paraId="14655433">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63F3AC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Lohendran Baskaran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500" w:type="pct"/>
            <w:tcBorders>
              <w:top w:val="nil"/>
              <w:left w:val="nil"/>
              <w:bottom w:val="nil"/>
              <w:right w:val="nil"/>
            </w:tcBorders>
            <w:vAlign w:val="center"/>
          </w:tcPr>
          <w:p w14:paraId="161CF7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0.80561984</w:t>
            </w:r>
          </w:p>
        </w:tc>
        <w:tc>
          <w:tcPr>
            <w:tcW w:w="1500" w:type="pct"/>
            <w:tcBorders>
              <w:top w:val="nil"/>
              <w:left w:val="nil"/>
              <w:bottom w:val="nil"/>
              <w:right w:val="nil"/>
            </w:tcBorders>
            <w:vAlign w:val="center"/>
          </w:tcPr>
          <w:p w14:paraId="705BFF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[0.78096646, 0.83027315]</w:t>
            </w:r>
          </w:p>
        </w:tc>
      </w:tr>
      <w:tr w14:paraId="50F2C7A8">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E5BF0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Saaket Agrawal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500" w:type="pct"/>
            <w:tcBorders>
              <w:top w:val="nil"/>
              <w:left w:val="nil"/>
              <w:bottom w:val="nil"/>
              <w:right w:val="nil"/>
            </w:tcBorders>
            <w:vAlign w:val="center"/>
          </w:tcPr>
          <w:p w14:paraId="782D40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0.80927825</w:t>
            </w:r>
          </w:p>
        </w:tc>
        <w:tc>
          <w:tcPr>
            <w:tcW w:w="1500" w:type="pct"/>
            <w:tcBorders>
              <w:top w:val="nil"/>
              <w:left w:val="nil"/>
              <w:bottom w:val="nil"/>
              <w:right w:val="nil"/>
            </w:tcBorders>
            <w:vAlign w:val="center"/>
          </w:tcPr>
          <w:p w14:paraId="7B0A30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[0.78348035, 0.83507609]</w:t>
            </w:r>
          </w:p>
        </w:tc>
      </w:tr>
      <w:tr w14:paraId="00B11ED7">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CE264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Naderian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(2025)</w:t>
            </w:r>
          </w:p>
        </w:tc>
        <w:tc>
          <w:tcPr>
            <w:tcW w:w="1500" w:type="pct"/>
            <w:tcBorders>
              <w:top w:val="nil"/>
              <w:left w:val="nil"/>
              <w:bottom w:val="nil"/>
              <w:right w:val="nil"/>
            </w:tcBorders>
            <w:vAlign w:val="center"/>
          </w:tcPr>
          <w:p w14:paraId="642EC9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0.80982161</w:t>
            </w:r>
          </w:p>
        </w:tc>
        <w:tc>
          <w:tcPr>
            <w:tcW w:w="1500" w:type="pct"/>
            <w:tcBorders>
              <w:top w:val="nil"/>
              <w:left w:val="nil"/>
              <w:bottom w:val="nil"/>
              <w:right w:val="nil"/>
            </w:tcBorders>
            <w:vAlign w:val="center"/>
          </w:tcPr>
          <w:p w14:paraId="720339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[0.78385460, 0.83578861]</w:t>
            </w:r>
          </w:p>
        </w:tc>
      </w:tr>
      <w:tr w14:paraId="0FA6BD61">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25F8D3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Shiqun Chen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500" w:type="pct"/>
            <w:tcBorders>
              <w:top w:val="nil"/>
              <w:left w:val="nil"/>
              <w:bottom w:val="nil"/>
              <w:right w:val="nil"/>
            </w:tcBorders>
            <w:vAlign w:val="center"/>
          </w:tcPr>
          <w:p w14:paraId="55DD8F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0.81100643</w:t>
            </w:r>
          </w:p>
        </w:tc>
        <w:tc>
          <w:tcPr>
            <w:tcW w:w="1500" w:type="pct"/>
            <w:tcBorders>
              <w:top w:val="nil"/>
              <w:left w:val="nil"/>
              <w:bottom w:val="nil"/>
              <w:right w:val="nil"/>
            </w:tcBorders>
            <w:vAlign w:val="center"/>
          </w:tcPr>
          <w:p w14:paraId="2FCABC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[0.78585237, 0.83616048]</w:t>
            </w:r>
          </w:p>
        </w:tc>
      </w:tr>
      <w:tr w14:paraId="09DECD4D">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0ABBD8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Edlinger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(2017)</w:t>
            </w:r>
          </w:p>
        </w:tc>
        <w:tc>
          <w:tcPr>
            <w:tcW w:w="1500" w:type="pct"/>
            <w:tcBorders>
              <w:top w:val="nil"/>
              <w:left w:val="nil"/>
              <w:bottom w:val="nil"/>
              <w:right w:val="nil"/>
            </w:tcBorders>
            <w:vAlign w:val="center"/>
          </w:tcPr>
          <w:p w14:paraId="637A05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0.81141001</w:t>
            </w:r>
          </w:p>
        </w:tc>
        <w:tc>
          <w:tcPr>
            <w:tcW w:w="1500" w:type="pct"/>
            <w:tcBorders>
              <w:top w:val="nil"/>
              <w:left w:val="nil"/>
              <w:bottom w:val="nil"/>
              <w:right w:val="nil"/>
            </w:tcBorders>
            <w:vAlign w:val="center"/>
          </w:tcPr>
          <w:p w14:paraId="5B2DDF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[0.78612304, 0.83669704]</w:t>
            </w:r>
          </w:p>
        </w:tc>
      </w:tr>
      <w:tr w14:paraId="73354FA4">
        <w:tblPrEx>
          <w:tblCellMar>
            <w:top w:w="0" w:type="dxa"/>
            <w:left w:w="108" w:type="dxa"/>
            <w:bottom w:w="0" w:type="dxa"/>
            <w:right w:w="108" w:type="dxa"/>
          </w:tblCellMar>
        </w:tblPrEx>
        <w:trPr>
          <w:trHeight w:val="264" w:hRule="atLeast"/>
          <w:jc w:val="center"/>
        </w:trPr>
        <w:tc>
          <w:tcPr>
            <w:tcW w:w="1999" w:type="pct"/>
            <w:tcBorders>
              <w:top w:val="nil"/>
              <w:left w:val="nil"/>
              <w:bottom w:val="nil"/>
              <w:right w:val="nil"/>
            </w:tcBorders>
            <w:vAlign w:val="center"/>
          </w:tcPr>
          <w:p w14:paraId="4376C6A2">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Combined</w:t>
            </w:r>
          </w:p>
        </w:tc>
        <w:tc>
          <w:tcPr>
            <w:tcW w:w="1500" w:type="pct"/>
            <w:tcBorders>
              <w:top w:val="nil"/>
              <w:left w:val="nil"/>
              <w:bottom w:val="nil"/>
              <w:right w:val="nil"/>
            </w:tcBorders>
            <w:vAlign w:val="center"/>
          </w:tcPr>
          <w:p w14:paraId="3EAF0F84">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0.80890068</w:t>
            </w:r>
          </w:p>
        </w:tc>
        <w:tc>
          <w:tcPr>
            <w:tcW w:w="1500" w:type="pct"/>
            <w:tcBorders>
              <w:top w:val="nil"/>
              <w:left w:val="nil"/>
              <w:bottom w:val="nil"/>
              <w:right w:val="nil"/>
            </w:tcBorders>
            <w:vAlign w:val="center"/>
          </w:tcPr>
          <w:p w14:paraId="5CF30C8C">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[0.78411569, 0.83368567]</w:t>
            </w:r>
          </w:p>
        </w:tc>
      </w:tr>
    </w:tbl>
    <w:p w14:paraId="5F3D3F49">
      <w:pPr>
        <w:spacing w:line="360" w:lineRule="auto"/>
        <w:jc w:val="left"/>
        <w:rPr>
          <w:rFonts w:ascii="Times New Roman" w:hAnsi="Times New Roman"/>
          <w:sz w:val="24"/>
        </w:rPr>
      </w:pPr>
    </w:p>
    <w:p w14:paraId="4BB1C556">
      <w:pPr>
        <w:spacing w:line="360" w:lineRule="auto"/>
        <w:jc w:val="left"/>
        <w:rPr>
          <w:rFonts w:ascii="Times New Roman" w:hAnsi="Times New Roman"/>
          <w:sz w:val="24"/>
        </w:rPr>
      </w:pPr>
      <w:r>
        <w:rPr>
          <w:rFonts w:hint="eastAsia" w:ascii="Times New Roman" w:hAnsi="Times New Roman"/>
          <w:sz w:val="24"/>
        </w:rPr>
        <w:t>Table S6. Sensitivity analysis results of literature with internal and external validation</w:t>
      </w:r>
    </w:p>
    <w:tbl>
      <w:tblPr>
        <w:tblStyle w:val="2"/>
        <w:tblW w:w="5000" w:type="pct"/>
        <w:jc w:val="center"/>
        <w:tblLayout w:type="autofit"/>
        <w:tblCellMar>
          <w:top w:w="0" w:type="dxa"/>
          <w:left w:w="108" w:type="dxa"/>
          <w:bottom w:w="0" w:type="dxa"/>
          <w:right w:w="108" w:type="dxa"/>
        </w:tblCellMar>
      </w:tblPr>
      <w:tblGrid>
        <w:gridCol w:w="2840"/>
        <w:gridCol w:w="2841"/>
        <w:gridCol w:w="2841"/>
      </w:tblGrid>
      <w:tr w14:paraId="2BB2F0D5">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DEC4AB5">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Study omitted</w:t>
            </w:r>
          </w:p>
        </w:tc>
        <w:tc>
          <w:tcPr>
            <w:tcW w:w="1666" w:type="pct"/>
            <w:tcBorders>
              <w:top w:val="nil"/>
              <w:left w:val="nil"/>
              <w:bottom w:val="nil"/>
              <w:right w:val="nil"/>
            </w:tcBorders>
            <w:vAlign w:val="center"/>
          </w:tcPr>
          <w:p w14:paraId="6CFAF31E">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Estimate</w:t>
            </w:r>
          </w:p>
        </w:tc>
        <w:tc>
          <w:tcPr>
            <w:tcW w:w="1666" w:type="pct"/>
            <w:tcBorders>
              <w:top w:val="nil"/>
              <w:left w:val="nil"/>
              <w:bottom w:val="nil"/>
              <w:right w:val="nil"/>
            </w:tcBorders>
            <w:vAlign w:val="center"/>
          </w:tcPr>
          <w:p w14:paraId="724DBF5B">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95% Conf. Interval</w:t>
            </w:r>
          </w:p>
        </w:tc>
      </w:tr>
      <w:tr w14:paraId="227D1512">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0ACDEF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Yike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666" w:type="pct"/>
            <w:tcBorders>
              <w:top w:val="nil"/>
              <w:left w:val="nil"/>
              <w:bottom w:val="nil"/>
              <w:right w:val="nil"/>
            </w:tcBorders>
            <w:vAlign w:val="center"/>
          </w:tcPr>
          <w:p w14:paraId="195981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0.79746306</w:t>
            </w:r>
          </w:p>
        </w:tc>
        <w:tc>
          <w:tcPr>
            <w:tcW w:w="1666" w:type="pct"/>
            <w:tcBorders>
              <w:top w:val="nil"/>
              <w:left w:val="nil"/>
              <w:bottom w:val="nil"/>
              <w:right w:val="nil"/>
            </w:tcBorders>
            <w:vAlign w:val="center"/>
          </w:tcPr>
          <w:p w14:paraId="19CE82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[0.75004709, 0.84487909]</w:t>
            </w:r>
          </w:p>
        </w:tc>
      </w:tr>
      <w:tr w14:paraId="547C2F4E">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339E0D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Carla Debernardi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(2024)</w:t>
            </w:r>
          </w:p>
        </w:tc>
        <w:tc>
          <w:tcPr>
            <w:tcW w:w="1666" w:type="pct"/>
            <w:tcBorders>
              <w:top w:val="nil"/>
              <w:left w:val="nil"/>
              <w:bottom w:val="nil"/>
              <w:right w:val="nil"/>
            </w:tcBorders>
            <w:vAlign w:val="center"/>
          </w:tcPr>
          <w:p w14:paraId="516BAB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0.79124135</w:t>
            </w:r>
          </w:p>
        </w:tc>
        <w:tc>
          <w:tcPr>
            <w:tcW w:w="1666" w:type="pct"/>
            <w:tcBorders>
              <w:top w:val="nil"/>
              <w:left w:val="nil"/>
              <w:bottom w:val="nil"/>
              <w:right w:val="nil"/>
            </w:tcBorders>
            <w:vAlign w:val="center"/>
          </w:tcPr>
          <w:p w14:paraId="2A9FEE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[0.74466872, 0.83781397]</w:t>
            </w:r>
          </w:p>
        </w:tc>
      </w:tr>
      <w:tr w14:paraId="0B16606F">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noWrap/>
            <w:vAlign w:val="center"/>
          </w:tcPr>
          <w:p w14:paraId="3B2FA1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Estefanía Nuneza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(2022)</w:t>
            </w:r>
          </w:p>
        </w:tc>
        <w:tc>
          <w:tcPr>
            <w:tcW w:w="1666" w:type="pct"/>
            <w:tcBorders>
              <w:top w:val="nil"/>
              <w:left w:val="nil"/>
              <w:bottom w:val="nil"/>
              <w:right w:val="nil"/>
            </w:tcBorders>
            <w:vAlign w:val="center"/>
          </w:tcPr>
          <w:p w14:paraId="2D48D2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0.79879057</w:t>
            </w:r>
          </w:p>
        </w:tc>
        <w:tc>
          <w:tcPr>
            <w:tcW w:w="1666" w:type="pct"/>
            <w:tcBorders>
              <w:top w:val="nil"/>
              <w:left w:val="nil"/>
              <w:bottom w:val="nil"/>
              <w:right w:val="nil"/>
            </w:tcBorders>
            <w:vAlign w:val="center"/>
          </w:tcPr>
          <w:p w14:paraId="5DAE84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[0.74944901, 0.84813213]</w:t>
            </w:r>
          </w:p>
        </w:tc>
      </w:tr>
      <w:tr w14:paraId="07276EF3">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47E29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Chen Wang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(2021)</w:t>
            </w:r>
          </w:p>
        </w:tc>
        <w:tc>
          <w:tcPr>
            <w:tcW w:w="1666" w:type="pct"/>
            <w:tcBorders>
              <w:top w:val="nil"/>
              <w:left w:val="nil"/>
              <w:bottom w:val="nil"/>
              <w:right w:val="nil"/>
            </w:tcBorders>
            <w:vAlign w:val="center"/>
          </w:tcPr>
          <w:p w14:paraId="2705A0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0.78559011</w:t>
            </w:r>
          </w:p>
        </w:tc>
        <w:tc>
          <w:tcPr>
            <w:tcW w:w="1666" w:type="pct"/>
            <w:tcBorders>
              <w:top w:val="nil"/>
              <w:left w:val="nil"/>
              <w:bottom w:val="nil"/>
              <w:right w:val="nil"/>
            </w:tcBorders>
            <w:vAlign w:val="center"/>
          </w:tcPr>
          <w:p w14:paraId="1DEF79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[0.74858272, 0.82259744]</w:t>
            </w:r>
          </w:p>
        </w:tc>
      </w:tr>
      <w:tr w14:paraId="6A3AB8FC">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0ED80E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Chiara Caselli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(2015)</w:t>
            </w:r>
          </w:p>
        </w:tc>
        <w:tc>
          <w:tcPr>
            <w:tcW w:w="1666" w:type="pct"/>
            <w:tcBorders>
              <w:top w:val="nil"/>
              <w:left w:val="nil"/>
              <w:bottom w:val="nil"/>
              <w:right w:val="nil"/>
            </w:tcBorders>
            <w:vAlign w:val="center"/>
          </w:tcPr>
          <w:p w14:paraId="11BCED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0.79883957</w:t>
            </w:r>
          </w:p>
        </w:tc>
        <w:tc>
          <w:tcPr>
            <w:tcW w:w="1666" w:type="pct"/>
            <w:tcBorders>
              <w:top w:val="nil"/>
              <w:left w:val="nil"/>
              <w:bottom w:val="nil"/>
              <w:right w:val="nil"/>
            </w:tcBorders>
            <w:vAlign w:val="center"/>
          </w:tcPr>
          <w:p w14:paraId="17E93F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[0.75250465, 0.84517455]</w:t>
            </w:r>
          </w:p>
        </w:tc>
      </w:tr>
      <w:tr w14:paraId="2F37C650">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69D78F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George Hindy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666" w:type="pct"/>
            <w:tcBorders>
              <w:top w:val="nil"/>
              <w:left w:val="nil"/>
              <w:bottom w:val="nil"/>
              <w:right w:val="nil"/>
            </w:tcBorders>
            <w:vAlign w:val="center"/>
          </w:tcPr>
          <w:p w14:paraId="0DB8BA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0.79625094</w:t>
            </w:r>
          </w:p>
        </w:tc>
        <w:tc>
          <w:tcPr>
            <w:tcW w:w="1666" w:type="pct"/>
            <w:tcBorders>
              <w:top w:val="nil"/>
              <w:left w:val="nil"/>
              <w:bottom w:val="nil"/>
              <w:right w:val="nil"/>
            </w:tcBorders>
            <w:vAlign w:val="center"/>
          </w:tcPr>
          <w:p w14:paraId="02E53B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[0.74569511, 0.84680676]</w:t>
            </w:r>
          </w:p>
        </w:tc>
      </w:tr>
      <w:tr w14:paraId="1C7476BE">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09BFCA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Yingying Zheng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666" w:type="pct"/>
            <w:tcBorders>
              <w:top w:val="nil"/>
              <w:left w:val="nil"/>
              <w:bottom w:val="nil"/>
              <w:right w:val="nil"/>
            </w:tcBorders>
            <w:vAlign w:val="center"/>
          </w:tcPr>
          <w:p w14:paraId="1DBAF1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0.78777987</w:t>
            </w:r>
          </w:p>
        </w:tc>
        <w:tc>
          <w:tcPr>
            <w:tcW w:w="1666" w:type="pct"/>
            <w:tcBorders>
              <w:top w:val="nil"/>
              <w:left w:val="nil"/>
              <w:bottom w:val="nil"/>
              <w:right w:val="nil"/>
            </w:tcBorders>
            <w:vAlign w:val="center"/>
          </w:tcPr>
          <w:p w14:paraId="27D11D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[0.74191362, 0.83364606]</w:t>
            </w:r>
          </w:p>
        </w:tc>
      </w:tr>
      <w:tr w14:paraId="671A558A">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3AFC12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Joshua Elliot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666" w:type="pct"/>
            <w:tcBorders>
              <w:top w:val="nil"/>
              <w:left w:val="nil"/>
              <w:bottom w:val="nil"/>
              <w:right w:val="nil"/>
            </w:tcBorders>
            <w:vAlign w:val="center"/>
          </w:tcPr>
          <w:p w14:paraId="735974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0.79551959</w:t>
            </w:r>
          </w:p>
        </w:tc>
        <w:tc>
          <w:tcPr>
            <w:tcW w:w="1666" w:type="pct"/>
            <w:tcBorders>
              <w:top w:val="nil"/>
              <w:left w:val="nil"/>
              <w:bottom w:val="nil"/>
              <w:right w:val="nil"/>
            </w:tcBorders>
            <w:vAlign w:val="center"/>
          </w:tcPr>
          <w:p w14:paraId="49DAB9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[0.74578464, 0.84525448]</w:t>
            </w:r>
          </w:p>
        </w:tc>
      </w:tr>
      <w:tr w14:paraId="0E8D0572">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85076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666" w:type="pct"/>
            <w:tcBorders>
              <w:top w:val="nil"/>
              <w:left w:val="nil"/>
              <w:bottom w:val="nil"/>
              <w:right w:val="nil"/>
            </w:tcBorders>
            <w:vAlign w:val="center"/>
          </w:tcPr>
          <w:p w14:paraId="41E5F2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0.78661382</w:t>
            </w:r>
          </w:p>
        </w:tc>
        <w:tc>
          <w:tcPr>
            <w:tcW w:w="1666" w:type="pct"/>
            <w:tcBorders>
              <w:top w:val="nil"/>
              <w:left w:val="nil"/>
              <w:bottom w:val="nil"/>
              <w:right w:val="nil"/>
            </w:tcBorders>
            <w:vAlign w:val="center"/>
          </w:tcPr>
          <w:p w14:paraId="2D937F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[0.74197876, 0.83124888]</w:t>
            </w:r>
          </w:p>
        </w:tc>
      </w:tr>
      <w:tr w14:paraId="570880AA">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53168F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Jia Zhou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(2019)</w:t>
            </w:r>
          </w:p>
        </w:tc>
        <w:tc>
          <w:tcPr>
            <w:tcW w:w="1666" w:type="pct"/>
            <w:tcBorders>
              <w:top w:val="nil"/>
              <w:left w:val="nil"/>
              <w:bottom w:val="nil"/>
              <w:right w:val="nil"/>
            </w:tcBorders>
            <w:vAlign w:val="center"/>
          </w:tcPr>
          <w:p w14:paraId="238823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0.79100037</w:t>
            </w:r>
          </w:p>
        </w:tc>
        <w:tc>
          <w:tcPr>
            <w:tcW w:w="1666" w:type="pct"/>
            <w:tcBorders>
              <w:top w:val="nil"/>
              <w:left w:val="nil"/>
              <w:bottom w:val="nil"/>
              <w:right w:val="nil"/>
            </w:tcBorders>
            <w:vAlign w:val="center"/>
          </w:tcPr>
          <w:p w14:paraId="38CACC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[0.74438560, 0.83761513]</w:t>
            </w:r>
          </w:p>
        </w:tc>
      </w:tr>
      <w:tr w14:paraId="0DBB579F">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C3CE6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Yong Liu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666" w:type="pct"/>
            <w:tcBorders>
              <w:top w:val="nil"/>
              <w:left w:val="nil"/>
              <w:bottom w:val="nil"/>
              <w:right w:val="nil"/>
            </w:tcBorders>
            <w:vAlign w:val="center"/>
          </w:tcPr>
          <w:p w14:paraId="475746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0.80172861</w:t>
            </w:r>
          </w:p>
        </w:tc>
        <w:tc>
          <w:tcPr>
            <w:tcW w:w="1666" w:type="pct"/>
            <w:tcBorders>
              <w:top w:val="nil"/>
              <w:left w:val="nil"/>
              <w:bottom w:val="nil"/>
              <w:right w:val="nil"/>
            </w:tcBorders>
            <w:vAlign w:val="center"/>
          </w:tcPr>
          <w:p w14:paraId="7A2C3A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[0.75444335, 0.84901386]</w:t>
            </w:r>
          </w:p>
        </w:tc>
      </w:tr>
      <w:tr w14:paraId="6C4E6B1A">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671D15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Michael Inouye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(2018)</w:t>
            </w:r>
          </w:p>
        </w:tc>
        <w:tc>
          <w:tcPr>
            <w:tcW w:w="1666" w:type="pct"/>
            <w:tcBorders>
              <w:top w:val="nil"/>
              <w:left w:val="nil"/>
              <w:bottom w:val="nil"/>
              <w:right w:val="nil"/>
            </w:tcBorders>
            <w:vAlign w:val="center"/>
          </w:tcPr>
          <w:p w14:paraId="61BD66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0.80112094</w:t>
            </w:r>
          </w:p>
        </w:tc>
        <w:tc>
          <w:tcPr>
            <w:tcW w:w="1666" w:type="pct"/>
            <w:tcBorders>
              <w:top w:val="nil"/>
              <w:left w:val="nil"/>
              <w:bottom w:val="nil"/>
              <w:right w:val="nil"/>
            </w:tcBorders>
            <w:vAlign w:val="center"/>
          </w:tcPr>
          <w:p w14:paraId="3A15AB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[0.75339854, 0.84884328]</w:t>
            </w:r>
          </w:p>
        </w:tc>
      </w:tr>
      <w:tr w14:paraId="03E456D7">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176FBC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Christian Delles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666" w:type="pct"/>
            <w:tcBorders>
              <w:top w:val="nil"/>
              <w:left w:val="nil"/>
              <w:bottom w:val="nil"/>
              <w:right w:val="nil"/>
            </w:tcBorders>
            <w:vAlign w:val="center"/>
          </w:tcPr>
          <w:p w14:paraId="34A174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0.79007995</w:t>
            </w:r>
          </w:p>
        </w:tc>
        <w:tc>
          <w:tcPr>
            <w:tcW w:w="1666" w:type="pct"/>
            <w:tcBorders>
              <w:top w:val="nil"/>
              <w:left w:val="nil"/>
              <w:bottom w:val="nil"/>
              <w:right w:val="nil"/>
            </w:tcBorders>
            <w:vAlign w:val="center"/>
          </w:tcPr>
          <w:p w14:paraId="30ECB4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[0.74365538, 0.83650446]</w:t>
            </w:r>
          </w:p>
        </w:tc>
      </w:tr>
      <w:tr w14:paraId="7D4255A1">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noWrap/>
            <w:vAlign w:val="center"/>
          </w:tcPr>
          <w:p w14:paraId="69E418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Stefan Bösner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(2010)</w:t>
            </w:r>
          </w:p>
        </w:tc>
        <w:tc>
          <w:tcPr>
            <w:tcW w:w="1666" w:type="pct"/>
            <w:tcBorders>
              <w:top w:val="nil"/>
              <w:left w:val="nil"/>
              <w:bottom w:val="nil"/>
              <w:right w:val="nil"/>
            </w:tcBorders>
            <w:vAlign w:val="center"/>
          </w:tcPr>
          <w:p w14:paraId="6E8F88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0.78808981</w:t>
            </w:r>
          </w:p>
        </w:tc>
        <w:tc>
          <w:tcPr>
            <w:tcW w:w="1666" w:type="pct"/>
            <w:tcBorders>
              <w:top w:val="nil"/>
              <w:left w:val="nil"/>
              <w:bottom w:val="nil"/>
              <w:right w:val="nil"/>
            </w:tcBorders>
            <w:vAlign w:val="center"/>
          </w:tcPr>
          <w:p w14:paraId="13674E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[0.74195027, 0.83422941]</w:t>
            </w:r>
          </w:p>
        </w:tc>
      </w:tr>
      <w:tr w14:paraId="74E79E79">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4DBFB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Wenqian Shen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666" w:type="pct"/>
            <w:tcBorders>
              <w:top w:val="nil"/>
              <w:left w:val="nil"/>
              <w:bottom w:val="nil"/>
              <w:right w:val="nil"/>
            </w:tcBorders>
            <w:vAlign w:val="center"/>
          </w:tcPr>
          <w:p w14:paraId="364560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0.79851961</w:t>
            </w:r>
          </w:p>
        </w:tc>
        <w:tc>
          <w:tcPr>
            <w:tcW w:w="1666" w:type="pct"/>
            <w:tcBorders>
              <w:top w:val="nil"/>
              <w:left w:val="nil"/>
              <w:bottom w:val="nil"/>
              <w:right w:val="nil"/>
            </w:tcBorders>
            <w:vAlign w:val="center"/>
          </w:tcPr>
          <w:p w14:paraId="1E8524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[0.75250614, 0.84453315]</w:t>
            </w:r>
          </w:p>
        </w:tc>
      </w:tr>
      <w:tr w14:paraId="46A69270">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4B76F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Sadiya S. Khan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(2023)</w:t>
            </w:r>
          </w:p>
        </w:tc>
        <w:tc>
          <w:tcPr>
            <w:tcW w:w="1666" w:type="pct"/>
            <w:tcBorders>
              <w:top w:val="nil"/>
              <w:left w:val="nil"/>
              <w:bottom w:val="nil"/>
              <w:right w:val="nil"/>
            </w:tcBorders>
            <w:vAlign w:val="center"/>
          </w:tcPr>
          <w:p w14:paraId="3C2F49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0.79567373</w:t>
            </w:r>
          </w:p>
        </w:tc>
        <w:tc>
          <w:tcPr>
            <w:tcW w:w="1666" w:type="pct"/>
            <w:tcBorders>
              <w:top w:val="nil"/>
              <w:left w:val="nil"/>
              <w:bottom w:val="nil"/>
              <w:right w:val="nil"/>
            </w:tcBorders>
            <w:vAlign w:val="center"/>
          </w:tcPr>
          <w:p w14:paraId="7D3072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[0.74882603, 0.84252143]</w:t>
            </w:r>
          </w:p>
        </w:tc>
      </w:tr>
      <w:tr w14:paraId="0A902642">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7F4CB4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Damian Gola et al.</w:t>
            </w:r>
            <w:r>
              <w:rPr>
                <w:rFonts w:hint="eastAsia" w:ascii="Times New Roman" w:hAnsi="Times New Roman" w:eastAsia="宋体" w:cs="Times New Roman"/>
                <w:color w:val="000000"/>
                <w:kern w:val="0"/>
                <w:sz w:val="20"/>
                <w:szCs w:val="20"/>
                <w:lang w:bidi="ar"/>
              </w:rPr>
              <w:t xml:space="preserve"> </w:t>
            </w:r>
            <w:r>
              <w:rPr>
                <w:rFonts w:ascii="Times New Roman" w:hAnsi="Times New Roman" w:eastAsia="宋体" w:cs="Times New Roman"/>
                <w:color w:val="000000"/>
                <w:kern w:val="0"/>
                <w:sz w:val="20"/>
                <w:szCs w:val="20"/>
                <w:lang w:bidi="ar"/>
              </w:rPr>
              <w:t>(2020)</w:t>
            </w:r>
          </w:p>
        </w:tc>
        <w:tc>
          <w:tcPr>
            <w:tcW w:w="1666" w:type="pct"/>
            <w:tcBorders>
              <w:top w:val="nil"/>
              <w:left w:val="nil"/>
              <w:bottom w:val="nil"/>
              <w:right w:val="nil"/>
            </w:tcBorders>
            <w:vAlign w:val="center"/>
          </w:tcPr>
          <w:p w14:paraId="3CA2FB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0.80644548</w:t>
            </w:r>
          </w:p>
        </w:tc>
        <w:tc>
          <w:tcPr>
            <w:tcW w:w="1666" w:type="pct"/>
            <w:tcBorders>
              <w:top w:val="nil"/>
              <w:left w:val="nil"/>
              <w:bottom w:val="nil"/>
              <w:right w:val="nil"/>
            </w:tcBorders>
            <w:vAlign w:val="center"/>
          </w:tcPr>
          <w:p w14:paraId="53A20B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kern w:val="0"/>
                <w:sz w:val="20"/>
                <w:szCs w:val="20"/>
                <w:lang w:bidi="ar"/>
              </w:rPr>
              <w:t>[0.76124150, 0.85164946]</w:t>
            </w:r>
          </w:p>
        </w:tc>
      </w:tr>
      <w:tr w14:paraId="39E40F9B">
        <w:tblPrEx>
          <w:tblCellMar>
            <w:top w:w="0" w:type="dxa"/>
            <w:left w:w="108" w:type="dxa"/>
            <w:bottom w:w="0" w:type="dxa"/>
            <w:right w:w="108" w:type="dxa"/>
          </w:tblCellMar>
        </w:tblPrEx>
        <w:trPr>
          <w:trHeight w:val="288" w:hRule="atLeast"/>
          <w:jc w:val="center"/>
        </w:trPr>
        <w:tc>
          <w:tcPr>
            <w:tcW w:w="1666" w:type="pct"/>
            <w:tcBorders>
              <w:top w:val="nil"/>
              <w:left w:val="nil"/>
              <w:bottom w:val="nil"/>
              <w:right w:val="nil"/>
            </w:tcBorders>
            <w:vAlign w:val="center"/>
          </w:tcPr>
          <w:p w14:paraId="57186E9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Combined</w:t>
            </w:r>
          </w:p>
        </w:tc>
        <w:tc>
          <w:tcPr>
            <w:tcW w:w="1666" w:type="pct"/>
            <w:tcBorders>
              <w:top w:val="nil"/>
              <w:left w:val="nil"/>
              <w:bottom w:val="nil"/>
              <w:right w:val="nil"/>
            </w:tcBorders>
            <w:vAlign w:val="center"/>
          </w:tcPr>
          <w:p w14:paraId="5F579508">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0.79475926</w:t>
            </w:r>
          </w:p>
        </w:tc>
        <w:tc>
          <w:tcPr>
            <w:tcW w:w="1666" w:type="pct"/>
            <w:tcBorders>
              <w:top w:val="nil"/>
              <w:left w:val="nil"/>
              <w:bottom w:val="nil"/>
              <w:right w:val="nil"/>
            </w:tcBorders>
            <w:vAlign w:val="center"/>
          </w:tcPr>
          <w:p w14:paraId="3DFD4F9D">
            <w:pPr>
              <w:widowControl/>
              <w:jc w:val="center"/>
              <w:textAlignment w:val="center"/>
              <w:rPr>
                <w:rFonts w:ascii="Times New Roman" w:hAnsi="Times New Roman" w:eastAsia="宋体" w:cs="Times New Roman"/>
                <w:b/>
                <w:bCs/>
                <w:color w:val="000000"/>
                <w:sz w:val="20"/>
                <w:szCs w:val="20"/>
              </w:rPr>
            </w:pPr>
            <w:r>
              <w:rPr>
                <w:rFonts w:ascii="Times New Roman" w:hAnsi="Times New Roman" w:eastAsia="宋体" w:cs="Times New Roman"/>
                <w:b/>
                <w:bCs/>
                <w:color w:val="000000"/>
                <w:kern w:val="0"/>
                <w:sz w:val="20"/>
                <w:szCs w:val="20"/>
                <w:lang w:bidi="ar"/>
              </w:rPr>
              <w:t>[0.74969041, 0.83982812]</w:t>
            </w:r>
          </w:p>
        </w:tc>
      </w:tr>
    </w:tbl>
    <w:p w14:paraId="7D37716A">
      <w:pPr>
        <w:spacing w:line="360" w:lineRule="auto"/>
        <w:rPr>
          <w:rFonts w:ascii="Times New Roman" w:hAnsi="Times New Roman"/>
          <w:sz w:val="24"/>
        </w:rPr>
      </w:pPr>
    </w:p>
    <w:p w14:paraId="5306F3FB">
      <w:pPr>
        <w:spacing w:line="360" w:lineRule="auto"/>
        <w:jc w:val="left"/>
        <w:rPr>
          <w:rFonts w:ascii="Times New Roman" w:hAnsi="Times New Roman"/>
          <w:sz w:val="24"/>
        </w:rPr>
      </w:pPr>
      <w:r>
        <w:rPr>
          <w:rFonts w:hint="eastAsia" w:ascii="Times New Roman" w:hAnsi="Times New Roman"/>
          <w:sz w:val="24"/>
        </w:rPr>
        <w:t>Table S7. Characteristics of machine learning data across three groups</w:t>
      </w:r>
    </w:p>
    <w:tbl>
      <w:tblPr>
        <w:tblStyle w:val="2"/>
        <w:tblW w:w="5466" w:type="pct"/>
        <w:jc w:val="center"/>
        <w:tblLayout w:type="fixed"/>
        <w:tblCellMar>
          <w:top w:w="0" w:type="dxa"/>
          <w:left w:w="108" w:type="dxa"/>
          <w:bottom w:w="0" w:type="dxa"/>
          <w:right w:w="108" w:type="dxa"/>
        </w:tblCellMar>
      </w:tblPr>
      <w:tblGrid>
        <w:gridCol w:w="1726"/>
        <w:gridCol w:w="1987"/>
        <w:gridCol w:w="1988"/>
        <w:gridCol w:w="2441"/>
        <w:gridCol w:w="1174"/>
      </w:tblGrid>
      <w:tr w14:paraId="637119D2">
        <w:tblPrEx>
          <w:tblCellMar>
            <w:top w:w="0" w:type="dxa"/>
            <w:left w:w="108" w:type="dxa"/>
            <w:bottom w:w="0" w:type="dxa"/>
            <w:right w:w="108" w:type="dxa"/>
          </w:tblCellMar>
        </w:tblPrEx>
        <w:trPr>
          <w:trHeight w:val="277" w:hRule="atLeast"/>
          <w:jc w:val="center"/>
        </w:trPr>
        <w:tc>
          <w:tcPr>
            <w:tcW w:w="926" w:type="pct"/>
            <w:tcBorders>
              <w:top w:val="single" w:color="000000" w:sz="4" w:space="0"/>
              <w:left w:val="nil"/>
              <w:bottom w:val="single" w:color="000000" w:sz="4" w:space="0"/>
              <w:right w:val="nil"/>
            </w:tcBorders>
            <w:noWrap/>
            <w:vAlign w:val="center"/>
          </w:tcPr>
          <w:p w14:paraId="4CCAC36B">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Variable</w:t>
            </w:r>
          </w:p>
        </w:tc>
        <w:tc>
          <w:tcPr>
            <w:tcW w:w="1066" w:type="pct"/>
            <w:tcBorders>
              <w:top w:val="single" w:color="000000" w:sz="4" w:space="0"/>
              <w:left w:val="nil"/>
              <w:bottom w:val="single" w:color="000000" w:sz="4" w:space="0"/>
              <w:right w:val="nil"/>
            </w:tcBorders>
            <w:noWrap/>
            <w:vAlign w:val="center"/>
          </w:tcPr>
          <w:p w14:paraId="19B7B48B">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SA</w:t>
            </w:r>
          </w:p>
        </w:tc>
        <w:tc>
          <w:tcPr>
            <w:tcW w:w="1066" w:type="pct"/>
            <w:tcBorders>
              <w:top w:val="single" w:color="000000" w:sz="4" w:space="0"/>
              <w:left w:val="nil"/>
              <w:bottom w:val="single" w:color="000000" w:sz="4" w:space="0"/>
              <w:right w:val="nil"/>
            </w:tcBorders>
            <w:noWrap/>
            <w:vAlign w:val="center"/>
          </w:tcPr>
          <w:p w14:paraId="3795F5B7">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ACS</w:t>
            </w:r>
          </w:p>
        </w:tc>
        <w:tc>
          <w:tcPr>
            <w:tcW w:w="1309" w:type="pct"/>
            <w:tcBorders>
              <w:top w:val="single" w:color="000000" w:sz="4" w:space="0"/>
              <w:left w:val="nil"/>
              <w:bottom w:val="single" w:color="000000" w:sz="4" w:space="0"/>
              <w:right w:val="nil"/>
            </w:tcBorders>
            <w:noWrap/>
            <w:vAlign w:val="center"/>
          </w:tcPr>
          <w:p w14:paraId="0F003052">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Con</w:t>
            </w:r>
          </w:p>
        </w:tc>
        <w:tc>
          <w:tcPr>
            <w:tcW w:w="630" w:type="pct"/>
            <w:tcBorders>
              <w:top w:val="single" w:color="000000" w:sz="4" w:space="0"/>
              <w:left w:val="nil"/>
              <w:bottom w:val="single" w:color="000000" w:sz="4" w:space="0"/>
              <w:right w:val="nil"/>
            </w:tcBorders>
            <w:noWrap/>
            <w:vAlign w:val="center"/>
          </w:tcPr>
          <w:p w14:paraId="154A6E2B">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P-value</w:t>
            </w:r>
          </w:p>
        </w:tc>
      </w:tr>
      <w:tr w14:paraId="1B84FACE">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4F881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Gender</w:t>
            </w:r>
          </w:p>
        </w:tc>
        <w:tc>
          <w:tcPr>
            <w:tcW w:w="1066" w:type="pct"/>
            <w:tcBorders>
              <w:top w:val="nil"/>
              <w:left w:val="nil"/>
              <w:bottom w:val="nil"/>
              <w:right w:val="nil"/>
            </w:tcBorders>
            <w:noWrap/>
            <w:vAlign w:val="center"/>
          </w:tcPr>
          <w:p w14:paraId="4C9E40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221(56.2%)</w:t>
            </w:r>
          </w:p>
        </w:tc>
        <w:tc>
          <w:tcPr>
            <w:tcW w:w="1066" w:type="pct"/>
            <w:tcBorders>
              <w:top w:val="nil"/>
              <w:left w:val="nil"/>
              <w:bottom w:val="nil"/>
              <w:right w:val="nil"/>
            </w:tcBorders>
            <w:noWrap/>
            <w:vAlign w:val="center"/>
          </w:tcPr>
          <w:p w14:paraId="6E17F7A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185(61.3%)</w:t>
            </w:r>
          </w:p>
        </w:tc>
        <w:tc>
          <w:tcPr>
            <w:tcW w:w="1309" w:type="pct"/>
            <w:tcBorders>
              <w:top w:val="nil"/>
              <w:left w:val="nil"/>
              <w:bottom w:val="nil"/>
              <w:right w:val="nil"/>
            </w:tcBorders>
            <w:noWrap/>
            <w:vAlign w:val="center"/>
          </w:tcPr>
          <w:p w14:paraId="28842FD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206(53.1%)</w:t>
            </w:r>
          </w:p>
        </w:tc>
        <w:tc>
          <w:tcPr>
            <w:tcW w:w="630" w:type="pct"/>
            <w:tcBorders>
              <w:top w:val="nil"/>
              <w:left w:val="nil"/>
              <w:bottom w:val="nil"/>
              <w:right w:val="nil"/>
            </w:tcBorders>
            <w:noWrap/>
            <w:vAlign w:val="center"/>
          </w:tcPr>
          <w:p w14:paraId="722BF5E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0.0989</w:t>
            </w:r>
          </w:p>
        </w:tc>
      </w:tr>
      <w:tr w14:paraId="004E3571">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79675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Age</w:t>
            </w:r>
          </w:p>
        </w:tc>
        <w:tc>
          <w:tcPr>
            <w:tcW w:w="1066" w:type="pct"/>
            <w:tcBorders>
              <w:top w:val="nil"/>
              <w:left w:val="nil"/>
              <w:bottom w:val="nil"/>
              <w:right w:val="nil"/>
            </w:tcBorders>
            <w:noWrap/>
            <w:vAlign w:val="center"/>
          </w:tcPr>
          <w:p w14:paraId="422E04B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63.00(57.00-71.00)</w:t>
            </w:r>
          </w:p>
        </w:tc>
        <w:tc>
          <w:tcPr>
            <w:tcW w:w="1066" w:type="pct"/>
            <w:tcBorders>
              <w:top w:val="nil"/>
              <w:left w:val="nil"/>
              <w:bottom w:val="nil"/>
              <w:right w:val="nil"/>
            </w:tcBorders>
            <w:noWrap/>
            <w:vAlign w:val="center"/>
          </w:tcPr>
          <w:p w14:paraId="7A78565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63.00(56.25-71.00)</w:t>
            </w:r>
          </w:p>
        </w:tc>
        <w:tc>
          <w:tcPr>
            <w:tcW w:w="1309" w:type="pct"/>
            <w:tcBorders>
              <w:top w:val="nil"/>
              <w:left w:val="nil"/>
              <w:bottom w:val="nil"/>
              <w:right w:val="nil"/>
            </w:tcBorders>
            <w:noWrap/>
            <w:vAlign w:val="center"/>
          </w:tcPr>
          <w:p w14:paraId="7594603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63.00(60.00-70.00)</w:t>
            </w:r>
          </w:p>
        </w:tc>
        <w:tc>
          <w:tcPr>
            <w:tcW w:w="630" w:type="pct"/>
            <w:tcBorders>
              <w:top w:val="nil"/>
              <w:left w:val="nil"/>
              <w:bottom w:val="nil"/>
              <w:right w:val="nil"/>
            </w:tcBorders>
            <w:noWrap/>
            <w:vAlign w:val="center"/>
          </w:tcPr>
          <w:p w14:paraId="583B919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0.9664</w:t>
            </w:r>
          </w:p>
        </w:tc>
      </w:tr>
      <w:tr w14:paraId="2820DB9B">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364D7C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Hypertension</w:t>
            </w:r>
          </w:p>
        </w:tc>
        <w:tc>
          <w:tcPr>
            <w:tcW w:w="1066" w:type="pct"/>
            <w:tcBorders>
              <w:top w:val="nil"/>
              <w:left w:val="nil"/>
              <w:bottom w:val="nil"/>
              <w:right w:val="nil"/>
            </w:tcBorders>
            <w:noWrap/>
            <w:vAlign w:val="center"/>
          </w:tcPr>
          <w:p w14:paraId="5EB6380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292(74.3%)</w:t>
            </w:r>
          </w:p>
        </w:tc>
        <w:tc>
          <w:tcPr>
            <w:tcW w:w="1066" w:type="pct"/>
            <w:tcBorders>
              <w:top w:val="nil"/>
              <w:left w:val="nil"/>
              <w:bottom w:val="nil"/>
              <w:right w:val="nil"/>
            </w:tcBorders>
            <w:noWrap/>
            <w:vAlign w:val="center"/>
          </w:tcPr>
          <w:p w14:paraId="0F8FFA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217(71.9%)</w:t>
            </w:r>
          </w:p>
        </w:tc>
        <w:tc>
          <w:tcPr>
            <w:tcW w:w="1309" w:type="pct"/>
            <w:tcBorders>
              <w:top w:val="nil"/>
              <w:left w:val="nil"/>
              <w:bottom w:val="nil"/>
              <w:right w:val="nil"/>
            </w:tcBorders>
            <w:noWrap/>
            <w:vAlign w:val="center"/>
          </w:tcPr>
          <w:p w14:paraId="2186DC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135(34.8%)</w:t>
            </w:r>
          </w:p>
        </w:tc>
        <w:tc>
          <w:tcPr>
            <w:tcW w:w="630" w:type="pct"/>
            <w:tcBorders>
              <w:top w:val="nil"/>
              <w:left w:val="nil"/>
              <w:bottom w:val="nil"/>
              <w:right w:val="nil"/>
            </w:tcBorders>
            <w:noWrap/>
            <w:vAlign w:val="center"/>
          </w:tcPr>
          <w:p w14:paraId="4DC8B6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071C5B1D">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F959F0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T2DM</w:t>
            </w:r>
          </w:p>
        </w:tc>
        <w:tc>
          <w:tcPr>
            <w:tcW w:w="1066" w:type="pct"/>
            <w:tcBorders>
              <w:top w:val="nil"/>
              <w:left w:val="nil"/>
              <w:bottom w:val="nil"/>
              <w:right w:val="nil"/>
            </w:tcBorders>
            <w:noWrap/>
            <w:vAlign w:val="center"/>
          </w:tcPr>
          <w:p w14:paraId="7A02A1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124(31.6%)</w:t>
            </w:r>
          </w:p>
        </w:tc>
        <w:tc>
          <w:tcPr>
            <w:tcW w:w="1066" w:type="pct"/>
            <w:tcBorders>
              <w:top w:val="nil"/>
              <w:left w:val="nil"/>
              <w:bottom w:val="nil"/>
              <w:right w:val="nil"/>
            </w:tcBorders>
            <w:noWrap/>
            <w:vAlign w:val="center"/>
          </w:tcPr>
          <w:p w14:paraId="51FDF3B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125(41.4%)</w:t>
            </w:r>
          </w:p>
        </w:tc>
        <w:tc>
          <w:tcPr>
            <w:tcW w:w="1309" w:type="pct"/>
            <w:tcBorders>
              <w:top w:val="nil"/>
              <w:left w:val="nil"/>
              <w:bottom w:val="nil"/>
              <w:right w:val="nil"/>
            </w:tcBorders>
            <w:noWrap/>
            <w:vAlign w:val="center"/>
          </w:tcPr>
          <w:p w14:paraId="167BE0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22(5.7%)</w:t>
            </w:r>
          </w:p>
        </w:tc>
        <w:tc>
          <w:tcPr>
            <w:tcW w:w="630" w:type="pct"/>
            <w:tcBorders>
              <w:top w:val="nil"/>
              <w:left w:val="nil"/>
              <w:bottom w:val="nil"/>
              <w:right w:val="nil"/>
            </w:tcBorders>
            <w:noWrap/>
            <w:vAlign w:val="center"/>
          </w:tcPr>
          <w:p w14:paraId="295A45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52906CFD">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5E02E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Hyperlipidemia</w:t>
            </w:r>
          </w:p>
        </w:tc>
        <w:tc>
          <w:tcPr>
            <w:tcW w:w="1066" w:type="pct"/>
            <w:tcBorders>
              <w:top w:val="nil"/>
              <w:left w:val="nil"/>
              <w:bottom w:val="nil"/>
              <w:right w:val="nil"/>
            </w:tcBorders>
            <w:noWrap/>
            <w:vAlign w:val="center"/>
          </w:tcPr>
          <w:p w14:paraId="6472D1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227(57.8%)</w:t>
            </w:r>
          </w:p>
        </w:tc>
        <w:tc>
          <w:tcPr>
            <w:tcW w:w="1066" w:type="pct"/>
            <w:tcBorders>
              <w:top w:val="nil"/>
              <w:left w:val="nil"/>
              <w:bottom w:val="nil"/>
              <w:right w:val="nil"/>
            </w:tcBorders>
            <w:noWrap/>
            <w:vAlign w:val="center"/>
          </w:tcPr>
          <w:p w14:paraId="23DB964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181(59.9%)</w:t>
            </w:r>
          </w:p>
        </w:tc>
        <w:tc>
          <w:tcPr>
            <w:tcW w:w="1309" w:type="pct"/>
            <w:tcBorders>
              <w:top w:val="nil"/>
              <w:left w:val="nil"/>
              <w:bottom w:val="nil"/>
              <w:right w:val="nil"/>
            </w:tcBorders>
            <w:noWrap/>
            <w:vAlign w:val="center"/>
          </w:tcPr>
          <w:p w14:paraId="3A2020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5(1.3%)</w:t>
            </w:r>
          </w:p>
        </w:tc>
        <w:tc>
          <w:tcPr>
            <w:tcW w:w="630" w:type="pct"/>
            <w:tcBorders>
              <w:top w:val="nil"/>
              <w:left w:val="nil"/>
              <w:bottom w:val="nil"/>
              <w:right w:val="nil"/>
            </w:tcBorders>
            <w:noWrap/>
            <w:vAlign w:val="center"/>
          </w:tcPr>
          <w:p w14:paraId="7D8781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3D0773C4">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9B204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SBP</w:t>
            </w:r>
          </w:p>
        </w:tc>
        <w:tc>
          <w:tcPr>
            <w:tcW w:w="1066" w:type="pct"/>
            <w:tcBorders>
              <w:top w:val="nil"/>
              <w:left w:val="nil"/>
              <w:bottom w:val="nil"/>
              <w:right w:val="nil"/>
            </w:tcBorders>
            <w:noWrap/>
            <w:vAlign w:val="center"/>
          </w:tcPr>
          <w:p w14:paraId="0D65322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132.00(121.00-144.00)</w:t>
            </w:r>
          </w:p>
        </w:tc>
        <w:tc>
          <w:tcPr>
            <w:tcW w:w="1066" w:type="pct"/>
            <w:tcBorders>
              <w:top w:val="nil"/>
              <w:left w:val="nil"/>
              <w:bottom w:val="nil"/>
              <w:right w:val="nil"/>
            </w:tcBorders>
            <w:noWrap/>
            <w:vAlign w:val="center"/>
          </w:tcPr>
          <w:p w14:paraId="7E4193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134.00(120.25-148.00)</w:t>
            </w:r>
          </w:p>
        </w:tc>
        <w:tc>
          <w:tcPr>
            <w:tcW w:w="1309" w:type="pct"/>
            <w:tcBorders>
              <w:top w:val="nil"/>
              <w:left w:val="nil"/>
              <w:bottom w:val="nil"/>
              <w:right w:val="nil"/>
            </w:tcBorders>
            <w:noWrap/>
            <w:vAlign w:val="center"/>
          </w:tcPr>
          <w:p w14:paraId="34C9475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130.50(117.00-143.00)</w:t>
            </w:r>
          </w:p>
        </w:tc>
        <w:tc>
          <w:tcPr>
            <w:tcW w:w="630" w:type="pct"/>
            <w:tcBorders>
              <w:top w:val="nil"/>
              <w:left w:val="nil"/>
              <w:bottom w:val="nil"/>
              <w:right w:val="nil"/>
            </w:tcBorders>
            <w:noWrap/>
            <w:vAlign w:val="center"/>
          </w:tcPr>
          <w:p w14:paraId="28C2321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0.0373</w:t>
            </w:r>
          </w:p>
        </w:tc>
      </w:tr>
      <w:tr w14:paraId="7561A82A">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1F10B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DBP</w:t>
            </w:r>
          </w:p>
        </w:tc>
        <w:tc>
          <w:tcPr>
            <w:tcW w:w="1066" w:type="pct"/>
            <w:tcBorders>
              <w:top w:val="nil"/>
              <w:left w:val="nil"/>
              <w:bottom w:val="nil"/>
              <w:right w:val="nil"/>
            </w:tcBorders>
            <w:noWrap/>
            <w:vAlign w:val="center"/>
          </w:tcPr>
          <w:p w14:paraId="7761A33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78.00(70.00-85.00)</w:t>
            </w:r>
          </w:p>
        </w:tc>
        <w:tc>
          <w:tcPr>
            <w:tcW w:w="1066" w:type="pct"/>
            <w:tcBorders>
              <w:top w:val="nil"/>
              <w:left w:val="nil"/>
              <w:bottom w:val="nil"/>
              <w:right w:val="nil"/>
            </w:tcBorders>
            <w:noWrap/>
            <w:vAlign w:val="center"/>
          </w:tcPr>
          <w:p w14:paraId="77C00F3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77.50(69.00-87.00)</w:t>
            </w:r>
          </w:p>
        </w:tc>
        <w:tc>
          <w:tcPr>
            <w:tcW w:w="1309" w:type="pct"/>
            <w:tcBorders>
              <w:top w:val="nil"/>
              <w:left w:val="nil"/>
              <w:bottom w:val="nil"/>
              <w:right w:val="nil"/>
            </w:tcBorders>
            <w:noWrap/>
            <w:vAlign w:val="center"/>
          </w:tcPr>
          <w:p w14:paraId="1E1553E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75.00(68.00-82.00)</w:t>
            </w:r>
          </w:p>
        </w:tc>
        <w:tc>
          <w:tcPr>
            <w:tcW w:w="630" w:type="pct"/>
            <w:tcBorders>
              <w:top w:val="nil"/>
              <w:left w:val="nil"/>
              <w:bottom w:val="nil"/>
              <w:right w:val="nil"/>
            </w:tcBorders>
            <w:noWrap/>
            <w:vAlign w:val="center"/>
          </w:tcPr>
          <w:p w14:paraId="334190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0.0006</w:t>
            </w:r>
          </w:p>
        </w:tc>
      </w:tr>
      <w:tr w14:paraId="1EC31029">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E7D4BD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Height</w:t>
            </w:r>
          </w:p>
        </w:tc>
        <w:tc>
          <w:tcPr>
            <w:tcW w:w="1066" w:type="pct"/>
            <w:tcBorders>
              <w:top w:val="nil"/>
              <w:left w:val="nil"/>
              <w:bottom w:val="nil"/>
              <w:right w:val="nil"/>
            </w:tcBorders>
            <w:noWrap/>
            <w:vAlign w:val="center"/>
          </w:tcPr>
          <w:p w14:paraId="67D274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165.00(159.00-170.00)</w:t>
            </w:r>
          </w:p>
        </w:tc>
        <w:tc>
          <w:tcPr>
            <w:tcW w:w="1066" w:type="pct"/>
            <w:tcBorders>
              <w:top w:val="nil"/>
              <w:left w:val="nil"/>
              <w:bottom w:val="nil"/>
              <w:right w:val="nil"/>
            </w:tcBorders>
            <w:noWrap/>
            <w:vAlign w:val="center"/>
          </w:tcPr>
          <w:p w14:paraId="0FD7E1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165.00(158.00-170.00)</w:t>
            </w:r>
          </w:p>
        </w:tc>
        <w:tc>
          <w:tcPr>
            <w:tcW w:w="1309" w:type="pct"/>
            <w:tcBorders>
              <w:top w:val="nil"/>
              <w:left w:val="nil"/>
              <w:bottom w:val="nil"/>
              <w:right w:val="nil"/>
            </w:tcBorders>
            <w:noWrap/>
            <w:vAlign w:val="center"/>
          </w:tcPr>
          <w:p w14:paraId="67F482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165.50(159.00-171.50)</w:t>
            </w:r>
          </w:p>
        </w:tc>
        <w:tc>
          <w:tcPr>
            <w:tcW w:w="630" w:type="pct"/>
            <w:tcBorders>
              <w:top w:val="nil"/>
              <w:left w:val="nil"/>
              <w:bottom w:val="nil"/>
              <w:right w:val="nil"/>
            </w:tcBorders>
            <w:noWrap/>
            <w:vAlign w:val="center"/>
          </w:tcPr>
          <w:p w14:paraId="2A306C9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0.4220</w:t>
            </w:r>
          </w:p>
        </w:tc>
      </w:tr>
      <w:tr w14:paraId="3289B80D">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C4FC1E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Weight</w:t>
            </w:r>
          </w:p>
        </w:tc>
        <w:tc>
          <w:tcPr>
            <w:tcW w:w="1066" w:type="pct"/>
            <w:tcBorders>
              <w:top w:val="nil"/>
              <w:left w:val="nil"/>
              <w:bottom w:val="nil"/>
              <w:right w:val="nil"/>
            </w:tcBorders>
            <w:noWrap/>
            <w:vAlign w:val="center"/>
          </w:tcPr>
          <w:p w14:paraId="5ACF4A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65.00(60.00-74.00)</w:t>
            </w:r>
          </w:p>
        </w:tc>
        <w:tc>
          <w:tcPr>
            <w:tcW w:w="1066" w:type="pct"/>
            <w:tcBorders>
              <w:top w:val="nil"/>
              <w:left w:val="nil"/>
              <w:bottom w:val="nil"/>
              <w:right w:val="nil"/>
            </w:tcBorders>
            <w:noWrap/>
            <w:vAlign w:val="center"/>
          </w:tcPr>
          <w:p w14:paraId="5D59EF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65.00(58.00-75.00)</w:t>
            </w:r>
          </w:p>
        </w:tc>
        <w:tc>
          <w:tcPr>
            <w:tcW w:w="1309" w:type="pct"/>
            <w:tcBorders>
              <w:top w:val="nil"/>
              <w:left w:val="nil"/>
              <w:bottom w:val="nil"/>
              <w:right w:val="nil"/>
            </w:tcBorders>
            <w:noWrap/>
            <w:vAlign w:val="center"/>
          </w:tcPr>
          <w:p w14:paraId="5E3992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63.55(55.77-72.33)</w:t>
            </w:r>
          </w:p>
        </w:tc>
        <w:tc>
          <w:tcPr>
            <w:tcW w:w="630" w:type="pct"/>
            <w:tcBorders>
              <w:top w:val="nil"/>
              <w:left w:val="nil"/>
              <w:bottom w:val="nil"/>
              <w:right w:val="nil"/>
            </w:tcBorders>
            <w:noWrap/>
            <w:vAlign w:val="center"/>
          </w:tcPr>
          <w:p w14:paraId="61B9DE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0.0252</w:t>
            </w:r>
          </w:p>
        </w:tc>
      </w:tr>
      <w:tr w14:paraId="4527D745">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8669E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BMI</w:t>
            </w:r>
          </w:p>
        </w:tc>
        <w:tc>
          <w:tcPr>
            <w:tcW w:w="1066" w:type="pct"/>
            <w:tcBorders>
              <w:top w:val="nil"/>
              <w:left w:val="nil"/>
              <w:bottom w:val="nil"/>
              <w:right w:val="nil"/>
            </w:tcBorders>
            <w:noWrap/>
            <w:vAlign w:val="center"/>
          </w:tcPr>
          <w:p w14:paraId="43CFA4F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24.22(22.23-26.17)</w:t>
            </w:r>
          </w:p>
        </w:tc>
        <w:tc>
          <w:tcPr>
            <w:tcW w:w="1066" w:type="pct"/>
            <w:tcBorders>
              <w:top w:val="nil"/>
              <w:left w:val="nil"/>
              <w:bottom w:val="nil"/>
              <w:right w:val="nil"/>
            </w:tcBorders>
            <w:noWrap/>
            <w:vAlign w:val="center"/>
          </w:tcPr>
          <w:p w14:paraId="0FF8E9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24.22(22.13-26.70)</w:t>
            </w:r>
          </w:p>
        </w:tc>
        <w:tc>
          <w:tcPr>
            <w:tcW w:w="1309" w:type="pct"/>
            <w:tcBorders>
              <w:top w:val="nil"/>
              <w:left w:val="nil"/>
              <w:bottom w:val="nil"/>
              <w:right w:val="nil"/>
            </w:tcBorders>
            <w:noWrap/>
            <w:vAlign w:val="center"/>
          </w:tcPr>
          <w:p w14:paraId="5B18512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23.20(21.36-25.11)</w:t>
            </w:r>
          </w:p>
        </w:tc>
        <w:tc>
          <w:tcPr>
            <w:tcW w:w="630" w:type="pct"/>
            <w:tcBorders>
              <w:top w:val="nil"/>
              <w:left w:val="nil"/>
              <w:bottom w:val="nil"/>
              <w:right w:val="nil"/>
            </w:tcBorders>
            <w:noWrap/>
            <w:vAlign w:val="center"/>
          </w:tcPr>
          <w:p w14:paraId="4EEF15E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43F847E">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247A4D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HR</w:t>
            </w:r>
          </w:p>
        </w:tc>
        <w:tc>
          <w:tcPr>
            <w:tcW w:w="1066" w:type="pct"/>
            <w:tcBorders>
              <w:top w:val="nil"/>
              <w:left w:val="nil"/>
              <w:bottom w:val="nil"/>
              <w:right w:val="nil"/>
            </w:tcBorders>
            <w:noWrap/>
            <w:vAlign w:val="center"/>
          </w:tcPr>
          <w:p w14:paraId="02EFB2C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75.00(68.00-82.00)</w:t>
            </w:r>
          </w:p>
        </w:tc>
        <w:tc>
          <w:tcPr>
            <w:tcW w:w="1066" w:type="pct"/>
            <w:tcBorders>
              <w:top w:val="nil"/>
              <w:left w:val="nil"/>
              <w:bottom w:val="nil"/>
              <w:right w:val="nil"/>
            </w:tcBorders>
            <w:noWrap/>
            <w:vAlign w:val="center"/>
          </w:tcPr>
          <w:p w14:paraId="40A976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75.00(70.00-84.00)</w:t>
            </w:r>
          </w:p>
        </w:tc>
        <w:tc>
          <w:tcPr>
            <w:tcW w:w="1309" w:type="pct"/>
            <w:tcBorders>
              <w:top w:val="nil"/>
              <w:left w:val="nil"/>
              <w:bottom w:val="nil"/>
              <w:right w:val="nil"/>
            </w:tcBorders>
            <w:noWrap/>
            <w:vAlign w:val="center"/>
          </w:tcPr>
          <w:p w14:paraId="40274A9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74.00(70.00-78.00)</w:t>
            </w:r>
          </w:p>
        </w:tc>
        <w:tc>
          <w:tcPr>
            <w:tcW w:w="630" w:type="pct"/>
            <w:tcBorders>
              <w:top w:val="nil"/>
              <w:left w:val="nil"/>
              <w:bottom w:val="nil"/>
              <w:right w:val="nil"/>
            </w:tcBorders>
            <w:noWrap/>
            <w:vAlign w:val="center"/>
          </w:tcPr>
          <w:p w14:paraId="3E65036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0.0102</w:t>
            </w:r>
          </w:p>
        </w:tc>
      </w:tr>
      <w:tr w14:paraId="19DE89A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3CAB0F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WBC</w:t>
            </w:r>
          </w:p>
        </w:tc>
        <w:tc>
          <w:tcPr>
            <w:tcW w:w="1066" w:type="pct"/>
            <w:tcBorders>
              <w:top w:val="nil"/>
              <w:left w:val="nil"/>
              <w:bottom w:val="nil"/>
              <w:right w:val="nil"/>
            </w:tcBorders>
            <w:noWrap/>
            <w:vAlign w:val="center"/>
          </w:tcPr>
          <w:p w14:paraId="21F3A96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5.72(4.92-6.85)</w:t>
            </w:r>
          </w:p>
        </w:tc>
        <w:tc>
          <w:tcPr>
            <w:tcW w:w="1066" w:type="pct"/>
            <w:tcBorders>
              <w:top w:val="nil"/>
              <w:left w:val="nil"/>
              <w:bottom w:val="nil"/>
              <w:right w:val="nil"/>
            </w:tcBorders>
            <w:noWrap/>
            <w:vAlign w:val="center"/>
          </w:tcPr>
          <w:p w14:paraId="1BB5CA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6.25(5.23-7.98)</w:t>
            </w:r>
          </w:p>
        </w:tc>
        <w:tc>
          <w:tcPr>
            <w:tcW w:w="1309" w:type="pct"/>
            <w:tcBorders>
              <w:top w:val="nil"/>
              <w:left w:val="nil"/>
              <w:bottom w:val="nil"/>
              <w:right w:val="nil"/>
            </w:tcBorders>
            <w:noWrap/>
            <w:vAlign w:val="center"/>
          </w:tcPr>
          <w:p w14:paraId="2819F55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5.36(4.65-6.19)</w:t>
            </w:r>
          </w:p>
        </w:tc>
        <w:tc>
          <w:tcPr>
            <w:tcW w:w="630" w:type="pct"/>
            <w:tcBorders>
              <w:top w:val="nil"/>
              <w:left w:val="nil"/>
              <w:bottom w:val="nil"/>
              <w:right w:val="nil"/>
            </w:tcBorders>
            <w:noWrap/>
            <w:vAlign w:val="center"/>
          </w:tcPr>
          <w:p w14:paraId="06E4FD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2EBB2AE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954415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RBC</w:t>
            </w:r>
          </w:p>
        </w:tc>
        <w:tc>
          <w:tcPr>
            <w:tcW w:w="1066" w:type="pct"/>
            <w:tcBorders>
              <w:top w:val="nil"/>
              <w:left w:val="nil"/>
              <w:bottom w:val="nil"/>
              <w:right w:val="nil"/>
            </w:tcBorders>
            <w:noWrap/>
            <w:vAlign w:val="center"/>
          </w:tcPr>
          <w:p w14:paraId="005C30E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4.44(4.13-4.79)</w:t>
            </w:r>
          </w:p>
        </w:tc>
        <w:tc>
          <w:tcPr>
            <w:tcW w:w="1066" w:type="pct"/>
            <w:tcBorders>
              <w:top w:val="nil"/>
              <w:left w:val="nil"/>
              <w:bottom w:val="nil"/>
              <w:right w:val="nil"/>
            </w:tcBorders>
            <w:noWrap/>
            <w:vAlign w:val="center"/>
          </w:tcPr>
          <w:p w14:paraId="6BCCD6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4.31(3.98-4.65)</w:t>
            </w:r>
          </w:p>
        </w:tc>
        <w:tc>
          <w:tcPr>
            <w:tcW w:w="1309" w:type="pct"/>
            <w:tcBorders>
              <w:top w:val="nil"/>
              <w:left w:val="nil"/>
              <w:bottom w:val="nil"/>
              <w:right w:val="nil"/>
            </w:tcBorders>
            <w:noWrap/>
            <w:vAlign w:val="center"/>
          </w:tcPr>
          <w:p w14:paraId="2C4EACE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4.56(4.33-4.80)</w:t>
            </w:r>
          </w:p>
        </w:tc>
        <w:tc>
          <w:tcPr>
            <w:tcW w:w="630" w:type="pct"/>
            <w:tcBorders>
              <w:top w:val="nil"/>
              <w:left w:val="nil"/>
              <w:bottom w:val="nil"/>
              <w:right w:val="nil"/>
            </w:tcBorders>
            <w:noWrap/>
            <w:vAlign w:val="center"/>
          </w:tcPr>
          <w:p w14:paraId="614BA9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07E4AA4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D6A7E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HGB</w:t>
            </w:r>
          </w:p>
        </w:tc>
        <w:tc>
          <w:tcPr>
            <w:tcW w:w="1066" w:type="pct"/>
            <w:tcBorders>
              <w:top w:val="nil"/>
              <w:left w:val="nil"/>
              <w:bottom w:val="nil"/>
              <w:right w:val="nil"/>
            </w:tcBorders>
            <w:noWrap/>
            <w:vAlign w:val="center"/>
          </w:tcPr>
          <w:p w14:paraId="5979060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137.00(126.40-148.60)</w:t>
            </w:r>
          </w:p>
        </w:tc>
        <w:tc>
          <w:tcPr>
            <w:tcW w:w="1066" w:type="pct"/>
            <w:tcBorders>
              <w:top w:val="nil"/>
              <w:left w:val="nil"/>
              <w:bottom w:val="nil"/>
              <w:right w:val="nil"/>
            </w:tcBorders>
            <w:noWrap/>
            <w:vAlign w:val="center"/>
          </w:tcPr>
          <w:p w14:paraId="12EA2D8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134.00(123.00-143.90)</w:t>
            </w:r>
          </w:p>
        </w:tc>
        <w:tc>
          <w:tcPr>
            <w:tcW w:w="1309" w:type="pct"/>
            <w:tcBorders>
              <w:top w:val="nil"/>
              <w:left w:val="nil"/>
              <w:bottom w:val="nil"/>
              <w:right w:val="nil"/>
            </w:tcBorders>
            <w:noWrap/>
            <w:vAlign w:val="center"/>
          </w:tcPr>
          <w:p w14:paraId="3CE0E00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141.20(134.00-150.03)</w:t>
            </w:r>
          </w:p>
        </w:tc>
        <w:tc>
          <w:tcPr>
            <w:tcW w:w="630" w:type="pct"/>
            <w:tcBorders>
              <w:top w:val="nil"/>
              <w:left w:val="nil"/>
              <w:bottom w:val="nil"/>
              <w:right w:val="nil"/>
            </w:tcBorders>
            <w:noWrap/>
            <w:vAlign w:val="center"/>
          </w:tcPr>
          <w:p w14:paraId="19FFDD9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572A5044">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A65E12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PLT</w:t>
            </w:r>
          </w:p>
        </w:tc>
        <w:tc>
          <w:tcPr>
            <w:tcW w:w="1066" w:type="pct"/>
            <w:tcBorders>
              <w:top w:val="nil"/>
              <w:left w:val="nil"/>
              <w:bottom w:val="nil"/>
              <w:right w:val="nil"/>
            </w:tcBorders>
            <w:noWrap/>
            <w:vAlign w:val="center"/>
          </w:tcPr>
          <w:p w14:paraId="617C64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206.00(172.00-238.00)</w:t>
            </w:r>
          </w:p>
        </w:tc>
        <w:tc>
          <w:tcPr>
            <w:tcW w:w="1066" w:type="pct"/>
            <w:tcBorders>
              <w:top w:val="nil"/>
              <w:left w:val="nil"/>
              <w:bottom w:val="nil"/>
              <w:right w:val="nil"/>
            </w:tcBorders>
            <w:noWrap/>
            <w:vAlign w:val="center"/>
          </w:tcPr>
          <w:p w14:paraId="7C2FE95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202.00(172.00-244.00)</w:t>
            </w:r>
          </w:p>
        </w:tc>
        <w:tc>
          <w:tcPr>
            <w:tcW w:w="1309" w:type="pct"/>
            <w:tcBorders>
              <w:top w:val="nil"/>
              <w:left w:val="nil"/>
              <w:bottom w:val="nil"/>
              <w:right w:val="nil"/>
            </w:tcBorders>
            <w:noWrap/>
            <w:vAlign w:val="center"/>
          </w:tcPr>
          <w:p w14:paraId="55177E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205.00(177.00-238.00)</w:t>
            </w:r>
          </w:p>
        </w:tc>
        <w:tc>
          <w:tcPr>
            <w:tcW w:w="630" w:type="pct"/>
            <w:tcBorders>
              <w:top w:val="nil"/>
              <w:left w:val="nil"/>
              <w:bottom w:val="nil"/>
              <w:right w:val="nil"/>
            </w:tcBorders>
            <w:noWrap/>
            <w:vAlign w:val="center"/>
          </w:tcPr>
          <w:p w14:paraId="016D3F8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0.9080</w:t>
            </w:r>
          </w:p>
        </w:tc>
      </w:tr>
      <w:tr w14:paraId="6AA47B40">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D562C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NEUTPercentage</w:t>
            </w:r>
          </w:p>
        </w:tc>
        <w:tc>
          <w:tcPr>
            <w:tcW w:w="1066" w:type="pct"/>
            <w:tcBorders>
              <w:top w:val="nil"/>
              <w:left w:val="nil"/>
              <w:bottom w:val="nil"/>
              <w:right w:val="nil"/>
            </w:tcBorders>
            <w:noWrap/>
            <w:vAlign w:val="center"/>
          </w:tcPr>
          <w:p w14:paraId="3DE5C55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62.60(57.40-68.40)</w:t>
            </w:r>
          </w:p>
        </w:tc>
        <w:tc>
          <w:tcPr>
            <w:tcW w:w="1066" w:type="pct"/>
            <w:tcBorders>
              <w:top w:val="nil"/>
              <w:left w:val="nil"/>
              <w:bottom w:val="nil"/>
              <w:right w:val="nil"/>
            </w:tcBorders>
            <w:noWrap/>
            <w:vAlign w:val="center"/>
          </w:tcPr>
          <w:p w14:paraId="32D199A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67.10(60.33-73.60)</w:t>
            </w:r>
          </w:p>
        </w:tc>
        <w:tc>
          <w:tcPr>
            <w:tcW w:w="1309" w:type="pct"/>
            <w:tcBorders>
              <w:top w:val="nil"/>
              <w:left w:val="nil"/>
              <w:bottom w:val="nil"/>
              <w:right w:val="nil"/>
            </w:tcBorders>
            <w:noWrap/>
            <w:vAlign w:val="center"/>
          </w:tcPr>
          <w:p w14:paraId="2DFFF10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56.35(51.27-61.02)</w:t>
            </w:r>
          </w:p>
        </w:tc>
        <w:tc>
          <w:tcPr>
            <w:tcW w:w="630" w:type="pct"/>
            <w:tcBorders>
              <w:top w:val="nil"/>
              <w:left w:val="nil"/>
              <w:bottom w:val="nil"/>
              <w:right w:val="nil"/>
            </w:tcBorders>
            <w:noWrap/>
            <w:vAlign w:val="center"/>
          </w:tcPr>
          <w:p w14:paraId="4ECEB2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161950A0">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431930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LYMPHPercentage</w:t>
            </w:r>
          </w:p>
        </w:tc>
        <w:tc>
          <w:tcPr>
            <w:tcW w:w="1066" w:type="pct"/>
            <w:tcBorders>
              <w:top w:val="nil"/>
              <w:left w:val="nil"/>
              <w:bottom w:val="nil"/>
              <w:right w:val="nil"/>
            </w:tcBorders>
            <w:noWrap/>
            <w:vAlign w:val="center"/>
          </w:tcPr>
          <w:p w14:paraId="386C277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26.00(22.10-31.70)</w:t>
            </w:r>
          </w:p>
        </w:tc>
        <w:tc>
          <w:tcPr>
            <w:tcW w:w="1066" w:type="pct"/>
            <w:tcBorders>
              <w:top w:val="nil"/>
              <w:left w:val="nil"/>
              <w:bottom w:val="nil"/>
              <w:right w:val="nil"/>
            </w:tcBorders>
            <w:noWrap/>
            <w:vAlign w:val="center"/>
          </w:tcPr>
          <w:p w14:paraId="283223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22.25(17.02-28.40)</w:t>
            </w:r>
          </w:p>
        </w:tc>
        <w:tc>
          <w:tcPr>
            <w:tcW w:w="1309" w:type="pct"/>
            <w:tcBorders>
              <w:top w:val="nil"/>
              <w:left w:val="nil"/>
              <w:bottom w:val="nil"/>
              <w:right w:val="nil"/>
            </w:tcBorders>
            <w:noWrap/>
            <w:vAlign w:val="center"/>
          </w:tcPr>
          <w:p w14:paraId="269310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33.60(28.90-38.12)</w:t>
            </w:r>
          </w:p>
        </w:tc>
        <w:tc>
          <w:tcPr>
            <w:tcW w:w="630" w:type="pct"/>
            <w:tcBorders>
              <w:top w:val="nil"/>
              <w:left w:val="nil"/>
              <w:bottom w:val="nil"/>
              <w:right w:val="nil"/>
            </w:tcBorders>
            <w:noWrap/>
            <w:vAlign w:val="center"/>
          </w:tcPr>
          <w:p w14:paraId="72FAAF0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6B2771B2">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436BCB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MONOPercentage</w:t>
            </w:r>
          </w:p>
        </w:tc>
        <w:tc>
          <w:tcPr>
            <w:tcW w:w="1066" w:type="pct"/>
            <w:tcBorders>
              <w:top w:val="nil"/>
              <w:left w:val="nil"/>
              <w:bottom w:val="nil"/>
              <w:right w:val="nil"/>
            </w:tcBorders>
            <w:noWrap/>
            <w:vAlign w:val="center"/>
          </w:tcPr>
          <w:p w14:paraId="22F210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7.50(6.40-8.90)</w:t>
            </w:r>
          </w:p>
        </w:tc>
        <w:tc>
          <w:tcPr>
            <w:tcW w:w="1066" w:type="pct"/>
            <w:tcBorders>
              <w:top w:val="nil"/>
              <w:left w:val="nil"/>
              <w:bottom w:val="nil"/>
              <w:right w:val="nil"/>
            </w:tcBorders>
            <w:noWrap/>
            <w:vAlign w:val="center"/>
          </w:tcPr>
          <w:p w14:paraId="3B6326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7.70(6.40-9.10)</w:t>
            </w:r>
          </w:p>
        </w:tc>
        <w:tc>
          <w:tcPr>
            <w:tcW w:w="1309" w:type="pct"/>
            <w:tcBorders>
              <w:top w:val="nil"/>
              <w:left w:val="nil"/>
              <w:bottom w:val="nil"/>
              <w:right w:val="nil"/>
            </w:tcBorders>
            <w:noWrap/>
            <w:vAlign w:val="center"/>
          </w:tcPr>
          <w:p w14:paraId="65B97D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7.10(6.30-8.12)</w:t>
            </w:r>
          </w:p>
        </w:tc>
        <w:tc>
          <w:tcPr>
            <w:tcW w:w="630" w:type="pct"/>
            <w:tcBorders>
              <w:top w:val="nil"/>
              <w:left w:val="nil"/>
              <w:bottom w:val="nil"/>
              <w:right w:val="nil"/>
            </w:tcBorders>
            <w:noWrap/>
            <w:vAlign w:val="center"/>
          </w:tcPr>
          <w:p w14:paraId="1803F70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0.0009</w:t>
            </w:r>
          </w:p>
        </w:tc>
      </w:tr>
      <w:tr w14:paraId="7CEF102B">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341AA6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EOPercentage</w:t>
            </w:r>
          </w:p>
        </w:tc>
        <w:tc>
          <w:tcPr>
            <w:tcW w:w="1066" w:type="pct"/>
            <w:tcBorders>
              <w:top w:val="nil"/>
              <w:left w:val="nil"/>
              <w:bottom w:val="nil"/>
              <w:right w:val="nil"/>
            </w:tcBorders>
            <w:noWrap/>
            <w:vAlign w:val="center"/>
          </w:tcPr>
          <w:p w14:paraId="6934260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1.70(1.00-2.80)</w:t>
            </w:r>
          </w:p>
        </w:tc>
        <w:tc>
          <w:tcPr>
            <w:tcW w:w="1066" w:type="pct"/>
            <w:tcBorders>
              <w:top w:val="nil"/>
              <w:left w:val="nil"/>
              <w:bottom w:val="nil"/>
              <w:right w:val="nil"/>
            </w:tcBorders>
            <w:noWrap/>
            <w:vAlign w:val="center"/>
          </w:tcPr>
          <w:p w14:paraId="10A40C9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1.50(0.70-2.60)</w:t>
            </w:r>
          </w:p>
        </w:tc>
        <w:tc>
          <w:tcPr>
            <w:tcW w:w="1309" w:type="pct"/>
            <w:tcBorders>
              <w:top w:val="nil"/>
              <w:left w:val="nil"/>
              <w:bottom w:val="nil"/>
              <w:right w:val="nil"/>
            </w:tcBorders>
            <w:noWrap/>
            <w:vAlign w:val="center"/>
          </w:tcPr>
          <w:p w14:paraId="00832D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1.90(1.20-3.10)</w:t>
            </w:r>
          </w:p>
        </w:tc>
        <w:tc>
          <w:tcPr>
            <w:tcW w:w="630" w:type="pct"/>
            <w:tcBorders>
              <w:top w:val="nil"/>
              <w:left w:val="nil"/>
              <w:bottom w:val="nil"/>
              <w:right w:val="nil"/>
            </w:tcBorders>
            <w:noWrap/>
            <w:vAlign w:val="center"/>
          </w:tcPr>
          <w:p w14:paraId="436461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0977D859">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7A4C3D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BASOPercentage</w:t>
            </w:r>
          </w:p>
        </w:tc>
        <w:tc>
          <w:tcPr>
            <w:tcW w:w="1066" w:type="pct"/>
            <w:tcBorders>
              <w:top w:val="nil"/>
              <w:left w:val="nil"/>
              <w:bottom w:val="nil"/>
              <w:right w:val="nil"/>
            </w:tcBorders>
            <w:noWrap/>
            <w:vAlign w:val="center"/>
          </w:tcPr>
          <w:p w14:paraId="59DF54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0.50(0.30-0.70)</w:t>
            </w:r>
          </w:p>
        </w:tc>
        <w:tc>
          <w:tcPr>
            <w:tcW w:w="1066" w:type="pct"/>
            <w:tcBorders>
              <w:top w:val="nil"/>
              <w:left w:val="nil"/>
              <w:bottom w:val="nil"/>
              <w:right w:val="nil"/>
            </w:tcBorders>
            <w:noWrap/>
            <w:vAlign w:val="center"/>
          </w:tcPr>
          <w:p w14:paraId="67C8E4D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0.40(0.20-0.60)</w:t>
            </w:r>
          </w:p>
        </w:tc>
        <w:tc>
          <w:tcPr>
            <w:tcW w:w="1309" w:type="pct"/>
            <w:tcBorders>
              <w:top w:val="nil"/>
              <w:left w:val="nil"/>
              <w:bottom w:val="nil"/>
              <w:right w:val="nil"/>
            </w:tcBorders>
            <w:noWrap/>
            <w:vAlign w:val="center"/>
          </w:tcPr>
          <w:p w14:paraId="20FF7AB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0.50(0.40-0.70)</w:t>
            </w:r>
          </w:p>
        </w:tc>
        <w:tc>
          <w:tcPr>
            <w:tcW w:w="630" w:type="pct"/>
            <w:tcBorders>
              <w:top w:val="nil"/>
              <w:left w:val="nil"/>
              <w:bottom w:val="nil"/>
              <w:right w:val="nil"/>
            </w:tcBorders>
            <w:noWrap/>
            <w:vAlign w:val="center"/>
          </w:tcPr>
          <w:p w14:paraId="0413DF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28D808EE">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5B377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NEUT</w:t>
            </w:r>
          </w:p>
        </w:tc>
        <w:tc>
          <w:tcPr>
            <w:tcW w:w="1066" w:type="pct"/>
            <w:tcBorders>
              <w:top w:val="nil"/>
              <w:left w:val="nil"/>
              <w:bottom w:val="nil"/>
              <w:right w:val="nil"/>
            </w:tcBorders>
            <w:noWrap/>
            <w:vAlign w:val="center"/>
          </w:tcPr>
          <w:p w14:paraId="60EF86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3.60(2.85-4.40)</w:t>
            </w:r>
          </w:p>
        </w:tc>
        <w:tc>
          <w:tcPr>
            <w:tcW w:w="1066" w:type="pct"/>
            <w:tcBorders>
              <w:top w:val="nil"/>
              <w:left w:val="nil"/>
              <w:bottom w:val="nil"/>
              <w:right w:val="nil"/>
            </w:tcBorders>
            <w:noWrap/>
            <w:vAlign w:val="center"/>
          </w:tcPr>
          <w:p w14:paraId="5FFD8E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4.09(3.25-5.51)</w:t>
            </w:r>
          </w:p>
        </w:tc>
        <w:tc>
          <w:tcPr>
            <w:tcW w:w="1309" w:type="pct"/>
            <w:tcBorders>
              <w:top w:val="nil"/>
              <w:left w:val="nil"/>
              <w:bottom w:val="nil"/>
              <w:right w:val="nil"/>
            </w:tcBorders>
            <w:noWrap/>
            <w:vAlign w:val="center"/>
          </w:tcPr>
          <w:p w14:paraId="1D60FF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2.98(2.49-3.57)</w:t>
            </w:r>
          </w:p>
        </w:tc>
        <w:tc>
          <w:tcPr>
            <w:tcW w:w="630" w:type="pct"/>
            <w:tcBorders>
              <w:top w:val="nil"/>
              <w:left w:val="nil"/>
              <w:bottom w:val="nil"/>
              <w:right w:val="nil"/>
            </w:tcBorders>
            <w:noWrap/>
            <w:vAlign w:val="center"/>
          </w:tcPr>
          <w:p w14:paraId="2D441B4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746D4485">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2DB4F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LYMPH</w:t>
            </w:r>
          </w:p>
        </w:tc>
        <w:tc>
          <w:tcPr>
            <w:tcW w:w="1066" w:type="pct"/>
            <w:tcBorders>
              <w:top w:val="nil"/>
              <w:left w:val="nil"/>
              <w:bottom w:val="nil"/>
              <w:right w:val="nil"/>
            </w:tcBorders>
            <w:noWrap/>
            <w:vAlign w:val="center"/>
          </w:tcPr>
          <w:p w14:paraId="3286C94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1.50(1.20-1.90)</w:t>
            </w:r>
          </w:p>
        </w:tc>
        <w:tc>
          <w:tcPr>
            <w:tcW w:w="1066" w:type="pct"/>
            <w:tcBorders>
              <w:top w:val="nil"/>
              <w:left w:val="nil"/>
              <w:bottom w:val="nil"/>
              <w:right w:val="nil"/>
            </w:tcBorders>
            <w:noWrap/>
            <w:vAlign w:val="center"/>
          </w:tcPr>
          <w:p w14:paraId="77E5985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1.33(1.10-1.73)</w:t>
            </w:r>
          </w:p>
        </w:tc>
        <w:tc>
          <w:tcPr>
            <w:tcW w:w="1309" w:type="pct"/>
            <w:tcBorders>
              <w:top w:val="nil"/>
              <w:left w:val="nil"/>
              <w:bottom w:val="nil"/>
              <w:right w:val="nil"/>
            </w:tcBorders>
            <w:noWrap/>
            <w:vAlign w:val="center"/>
          </w:tcPr>
          <w:p w14:paraId="3E114A3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1.77(1.50-2.10)</w:t>
            </w:r>
          </w:p>
        </w:tc>
        <w:tc>
          <w:tcPr>
            <w:tcW w:w="630" w:type="pct"/>
            <w:tcBorders>
              <w:top w:val="nil"/>
              <w:left w:val="nil"/>
              <w:bottom w:val="nil"/>
              <w:right w:val="nil"/>
            </w:tcBorders>
            <w:noWrap/>
            <w:vAlign w:val="center"/>
          </w:tcPr>
          <w:p w14:paraId="385A1F3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33BE7FE0">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EEA88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MONO</w:t>
            </w:r>
          </w:p>
        </w:tc>
        <w:tc>
          <w:tcPr>
            <w:tcW w:w="1066" w:type="pct"/>
            <w:tcBorders>
              <w:top w:val="nil"/>
              <w:left w:val="nil"/>
              <w:bottom w:val="nil"/>
              <w:right w:val="nil"/>
            </w:tcBorders>
            <w:noWrap/>
            <w:vAlign w:val="center"/>
          </w:tcPr>
          <w:p w14:paraId="268706D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0.42(0.35-0.51)</w:t>
            </w:r>
          </w:p>
        </w:tc>
        <w:tc>
          <w:tcPr>
            <w:tcW w:w="1066" w:type="pct"/>
            <w:tcBorders>
              <w:top w:val="nil"/>
              <w:left w:val="nil"/>
              <w:bottom w:val="nil"/>
              <w:right w:val="nil"/>
            </w:tcBorders>
            <w:noWrap/>
            <w:vAlign w:val="center"/>
          </w:tcPr>
          <w:p w14:paraId="251D1A0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0.50(0.40-0.60)</w:t>
            </w:r>
          </w:p>
        </w:tc>
        <w:tc>
          <w:tcPr>
            <w:tcW w:w="1309" w:type="pct"/>
            <w:tcBorders>
              <w:top w:val="nil"/>
              <w:left w:val="nil"/>
              <w:bottom w:val="nil"/>
              <w:right w:val="nil"/>
            </w:tcBorders>
            <w:noWrap/>
            <w:vAlign w:val="center"/>
          </w:tcPr>
          <w:p w14:paraId="687B53E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0.39(0.32-0.45)</w:t>
            </w:r>
          </w:p>
        </w:tc>
        <w:tc>
          <w:tcPr>
            <w:tcW w:w="630" w:type="pct"/>
            <w:tcBorders>
              <w:top w:val="nil"/>
              <w:left w:val="nil"/>
              <w:bottom w:val="nil"/>
              <w:right w:val="nil"/>
            </w:tcBorders>
            <w:noWrap/>
            <w:vAlign w:val="center"/>
          </w:tcPr>
          <w:p w14:paraId="5E4FBAC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5982D0CE">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2E3C84B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EO</w:t>
            </w:r>
          </w:p>
        </w:tc>
        <w:tc>
          <w:tcPr>
            <w:tcW w:w="1066" w:type="pct"/>
            <w:tcBorders>
              <w:top w:val="nil"/>
              <w:left w:val="nil"/>
              <w:bottom w:val="nil"/>
              <w:right w:val="nil"/>
            </w:tcBorders>
            <w:noWrap/>
            <w:vAlign w:val="center"/>
          </w:tcPr>
          <w:p w14:paraId="62BB961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0.10(0.06-0.17)</w:t>
            </w:r>
          </w:p>
        </w:tc>
        <w:tc>
          <w:tcPr>
            <w:tcW w:w="1066" w:type="pct"/>
            <w:tcBorders>
              <w:top w:val="nil"/>
              <w:left w:val="nil"/>
              <w:bottom w:val="nil"/>
              <w:right w:val="nil"/>
            </w:tcBorders>
            <w:noWrap/>
            <w:vAlign w:val="center"/>
          </w:tcPr>
          <w:p w14:paraId="517948F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0.10(0.03-0.16)</w:t>
            </w:r>
          </w:p>
        </w:tc>
        <w:tc>
          <w:tcPr>
            <w:tcW w:w="1309" w:type="pct"/>
            <w:tcBorders>
              <w:top w:val="nil"/>
              <w:left w:val="nil"/>
              <w:bottom w:val="nil"/>
              <w:right w:val="nil"/>
            </w:tcBorders>
            <w:noWrap/>
            <w:vAlign w:val="center"/>
          </w:tcPr>
          <w:p w14:paraId="34F030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0.10(0.07-0.17)</w:t>
            </w:r>
          </w:p>
        </w:tc>
        <w:tc>
          <w:tcPr>
            <w:tcW w:w="630" w:type="pct"/>
            <w:tcBorders>
              <w:top w:val="nil"/>
              <w:left w:val="nil"/>
              <w:bottom w:val="nil"/>
              <w:right w:val="nil"/>
            </w:tcBorders>
            <w:noWrap/>
            <w:vAlign w:val="center"/>
          </w:tcPr>
          <w:p w14:paraId="7D91B2B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0.0257</w:t>
            </w:r>
          </w:p>
        </w:tc>
      </w:tr>
      <w:tr w14:paraId="6A114E59">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A9148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BASO</w:t>
            </w:r>
          </w:p>
        </w:tc>
        <w:tc>
          <w:tcPr>
            <w:tcW w:w="1066" w:type="pct"/>
            <w:tcBorders>
              <w:top w:val="nil"/>
              <w:left w:val="nil"/>
              <w:bottom w:val="nil"/>
              <w:right w:val="nil"/>
            </w:tcBorders>
            <w:noWrap/>
            <w:vAlign w:val="center"/>
          </w:tcPr>
          <w:p w14:paraId="0286E78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0.02(0.01-0.04)</w:t>
            </w:r>
          </w:p>
        </w:tc>
        <w:tc>
          <w:tcPr>
            <w:tcW w:w="1066" w:type="pct"/>
            <w:tcBorders>
              <w:top w:val="nil"/>
              <w:left w:val="nil"/>
              <w:bottom w:val="nil"/>
              <w:right w:val="nil"/>
            </w:tcBorders>
            <w:noWrap/>
            <w:vAlign w:val="center"/>
          </w:tcPr>
          <w:p w14:paraId="0C6E06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0.02(0.00-0.03)</w:t>
            </w:r>
          </w:p>
        </w:tc>
        <w:tc>
          <w:tcPr>
            <w:tcW w:w="1309" w:type="pct"/>
            <w:tcBorders>
              <w:top w:val="nil"/>
              <w:left w:val="nil"/>
              <w:bottom w:val="nil"/>
              <w:right w:val="nil"/>
            </w:tcBorders>
            <w:noWrap/>
            <w:vAlign w:val="center"/>
          </w:tcPr>
          <w:p w14:paraId="73FF4D5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0.03(0.02-0.04)</w:t>
            </w:r>
          </w:p>
        </w:tc>
        <w:tc>
          <w:tcPr>
            <w:tcW w:w="630" w:type="pct"/>
            <w:tcBorders>
              <w:top w:val="nil"/>
              <w:left w:val="nil"/>
              <w:bottom w:val="nil"/>
              <w:right w:val="nil"/>
            </w:tcBorders>
            <w:noWrap/>
            <w:vAlign w:val="center"/>
          </w:tcPr>
          <w:p w14:paraId="24479AF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5C1DF2D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4F78AE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HCT</w:t>
            </w:r>
          </w:p>
        </w:tc>
        <w:tc>
          <w:tcPr>
            <w:tcW w:w="1066" w:type="pct"/>
            <w:tcBorders>
              <w:top w:val="nil"/>
              <w:left w:val="nil"/>
              <w:bottom w:val="nil"/>
              <w:right w:val="nil"/>
            </w:tcBorders>
            <w:noWrap/>
            <w:vAlign w:val="center"/>
          </w:tcPr>
          <w:p w14:paraId="17982F8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40.60(37.60-43.60)</w:t>
            </w:r>
          </w:p>
        </w:tc>
        <w:tc>
          <w:tcPr>
            <w:tcW w:w="1066" w:type="pct"/>
            <w:tcBorders>
              <w:top w:val="nil"/>
              <w:left w:val="nil"/>
              <w:bottom w:val="nil"/>
              <w:right w:val="nil"/>
            </w:tcBorders>
            <w:noWrap/>
            <w:vAlign w:val="center"/>
          </w:tcPr>
          <w:p w14:paraId="446370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39.40(36.45-42.50)</w:t>
            </w:r>
          </w:p>
        </w:tc>
        <w:tc>
          <w:tcPr>
            <w:tcW w:w="1309" w:type="pct"/>
            <w:tcBorders>
              <w:top w:val="nil"/>
              <w:left w:val="nil"/>
              <w:bottom w:val="nil"/>
              <w:right w:val="nil"/>
            </w:tcBorders>
            <w:noWrap/>
            <w:vAlign w:val="center"/>
          </w:tcPr>
          <w:p w14:paraId="35E0F7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41.80(39.68-44.20)</w:t>
            </w:r>
          </w:p>
        </w:tc>
        <w:tc>
          <w:tcPr>
            <w:tcW w:w="630" w:type="pct"/>
            <w:tcBorders>
              <w:top w:val="nil"/>
              <w:left w:val="nil"/>
              <w:bottom w:val="nil"/>
              <w:right w:val="nil"/>
            </w:tcBorders>
            <w:noWrap/>
            <w:vAlign w:val="center"/>
          </w:tcPr>
          <w:p w14:paraId="12798CD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3AF27EB3">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3FA2C4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MCV</w:t>
            </w:r>
          </w:p>
        </w:tc>
        <w:tc>
          <w:tcPr>
            <w:tcW w:w="1066" w:type="pct"/>
            <w:tcBorders>
              <w:top w:val="nil"/>
              <w:left w:val="nil"/>
              <w:bottom w:val="nil"/>
              <w:right w:val="nil"/>
            </w:tcBorders>
            <w:noWrap/>
            <w:vAlign w:val="center"/>
          </w:tcPr>
          <w:p w14:paraId="2F8151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91.50(89.10-93.90)</w:t>
            </w:r>
          </w:p>
        </w:tc>
        <w:tc>
          <w:tcPr>
            <w:tcW w:w="1066" w:type="pct"/>
            <w:tcBorders>
              <w:top w:val="nil"/>
              <w:left w:val="nil"/>
              <w:bottom w:val="nil"/>
              <w:right w:val="nil"/>
            </w:tcBorders>
            <w:noWrap/>
            <w:vAlign w:val="center"/>
          </w:tcPr>
          <w:p w14:paraId="0F13D35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91.70(88.83-94.60)</w:t>
            </w:r>
          </w:p>
        </w:tc>
        <w:tc>
          <w:tcPr>
            <w:tcW w:w="1309" w:type="pct"/>
            <w:tcBorders>
              <w:top w:val="nil"/>
              <w:left w:val="nil"/>
              <w:bottom w:val="nil"/>
              <w:right w:val="nil"/>
            </w:tcBorders>
            <w:noWrap/>
            <w:vAlign w:val="center"/>
          </w:tcPr>
          <w:p w14:paraId="06A04A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92.40(90.10-94.50)</w:t>
            </w:r>
          </w:p>
        </w:tc>
        <w:tc>
          <w:tcPr>
            <w:tcW w:w="630" w:type="pct"/>
            <w:tcBorders>
              <w:top w:val="nil"/>
              <w:left w:val="nil"/>
              <w:bottom w:val="nil"/>
              <w:right w:val="nil"/>
            </w:tcBorders>
            <w:noWrap/>
            <w:vAlign w:val="center"/>
          </w:tcPr>
          <w:p w14:paraId="4E47FE4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0.0156</w:t>
            </w:r>
          </w:p>
        </w:tc>
      </w:tr>
      <w:tr w14:paraId="151334F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3F366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MCH</w:t>
            </w:r>
          </w:p>
        </w:tc>
        <w:tc>
          <w:tcPr>
            <w:tcW w:w="1066" w:type="pct"/>
            <w:tcBorders>
              <w:top w:val="nil"/>
              <w:left w:val="nil"/>
              <w:bottom w:val="nil"/>
              <w:right w:val="nil"/>
            </w:tcBorders>
            <w:noWrap/>
            <w:vAlign w:val="center"/>
          </w:tcPr>
          <w:p w14:paraId="2BB035A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30.90(30.00-32.00)</w:t>
            </w:r>
          </w:p>
        </w:tc>
        <w:tc>
          <w:tcPr>
            <w:tcW w:w="1066" w:type="pct"/>
            <w:tcBorders>
              <w:top w:val="nil"/>
              <w:left w:val="nil"/>
              <w:bottom w:val="nil"/>
              <w:right w:val="nil"/>
            </w:tcBorders>
            <w:noWrap/>
            <w:vAlign w:val="center"/>
          </w:tcPr>
          <w:p w14:paraId="220763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31.15(30.00-32.20)</w:t>
            </w:r>
          </w:p>
        </w:tc>
        <w:tc>
          <w:tcPr>
            <w:tcW w:w="1309" w:type="pct"/>
            <w:tcBorders>
              <w:top w:val="nil"/>
              <w:left w:val="nil"/>
              <w:bottom w:val="nil"/>
              <w:right w:val="nil"/>
            </w:tcBorders>
            <w:noWrap/>
            <w:vAlign w:val="center"/>
          </w:tcPr>
          <w:p w14:paraId="107638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31.20(30.40-32.00)</w:t>
            </w:r>
          </w:p>
        </w:tc>
        <w:tc>
          <w:tcPr>
            <w:tcW w:w="630" w:type="pct"/>
            <w:tcBorders>
              <w:top w:val="nil"/>
              <w:left w:val="nil"/>
              <w:bottom w:val="nil"/>
              <w:right w:val="nil"/>
            </w:tcBorders>
            <w:noWrap/>
            <w:vAlign w:val="center"/>
          </w:tcPr>
          <w:p w14:paraId="2261980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0.1508</w:t>
            </w:r>
          </w:p>
        </w:tc>
      </w:tr>
      <w:tr w14:paraId="63933DF5">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CE3C67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MCHC</w:t>
            </w:r>
          </w:p>
        </w:tc>
        <w:tc>
          <w:tcPr>
            <w:tcW w:w="1066" w:type="pct"/>
            <w:tcBorders>
              <w:top w:val="nil"/>
              <w:left w:val="nil"/>
              <w:bottom w:val="nil"/>
              <w:right w:val="nil"/>
            </w:tcBorders>
            <w:noWrap/>
            <w:vAlign w:val="center"/>
          </w:tcPr>
          <w:p w14:paraId="6940A7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338.30(333.60-343.00)</w:t>
            </w:r>
          </w:p>
        </w:tc>
        <w:tc>
          <w:tcPr>
            <w:tcW w:w="1066" w:type="pct"/>
            <w:tcBorders>
              <w:top w:val="nil"/>
              <w:left w:val="nil"/>
              <w:bottom w:val="nil"/>
              <w:right w:val="nil"/>
            </w:tcBorders>
            <w:noWrap/>
            <w:vAlign w:val="center"/>
          </w:tcPr>
          <w:p w14:paraId="705F356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339.05(333.02-343.60)</w:t>
            </w:r>
          </w:p>
        </w:tc>
        <w:tc>
          <w:tcPr>
            <w:tcW w:w="1309" w:type="pct"/>
            <w:tcBorders>
              <w:top w:val="nil"/>
              <w:left w:val="nil"/>
              <w:bottom w:val="nil"/>
              <w:right w:val="nil"/>
            </w:tcBorders>
            <w:noWrap/>
            <w:vAlign w:val="center"/>
          </w:tcPr>
          <w:p w14:paraId="0F9070A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337.50(334.10-341.50)</w:t>
            </w:r>
          </w:p>
        </w:tc>
        <w:tc>
          <w:tcPr>
            <w:tcW w:w="630" w:type="pct"/>
            <w:tcBorders>
              <w:top w:val="nil"/>
              <w:left w:val="nil"/>
              <w:bottom w:val="nil"/>
              <w:right w:val="nil"/>
            </w:tcBorders>
            <w:noWrap/>
            <w:vAlign w:val="center"/>
          </w:tcPr>
          <w:p w14:paraId="333DC3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0.2116</w:t>
            </w:r>
          </w:p>
        </w:tc>
      </w:tr>
      <w:tr w14:paraId="7A8015FF">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22BCC37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RDW</w:t>
            </w:r>
          </w:p>
        </w:tc>
        <w:tc>
          <w:tcPr>
            <w:tcW w:w="1066" w:type="pct"/>
            <w:tcBorders>
              <w:top w:val="nil"/>
              <w:left w:val="nil"/>
              <w:bottom w:val="nil"/>
              <w:right w:val="nil"/>
            </w:tcBorders>
            <w:noWrap/>
            <w:vAlign w:val="center"/>
          </w:tcPr>
          <w:p w14:paraId="3EA254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13.40(13.00-13.90)</w:t>
            </w:r>
          </w:p>
        </w:tc>
        <w:tc>
          <w:tcPr>
            <w:tcW w:w="1066" w:type="pct"/>
            <w:tcBorders>
              <w:top w:val="nil"/>
              <w:left w:val="nil"/>
              <w:bottom w:val="nil"/>
              <w:right w:val="nil"/>
            </w:tcBorders>
            <w:noWrap/>
            <w:vAlign w:val="center"/>
          </w:tcPr>
          <w:p w14:paraId="7493E17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13.55(13.10-13.97)</w:t>
            </w:r>
          </w:p>
        </w:tc>
        <w:tc>
          <w:tcPr>
            <w:tcW w:w="1309" w:type="pct"/>
            <w:tcBorders>
              <w:top w:val="nil"/>
              <w:left w:val="nil"/>
              <w:bottom w:val="nil"/>
              <w:right w:val="nil"/>
            </w:tcBorders>
            <w:noWrap/>
            <w:vAlign w:val="center"/>
          </w:tcPr>
          <w:p w14:paraId="683DB6C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13.40(13.00-13.80)</w:t>
            </w:r>
          </w:p>
        </w:tc>
        <w:tc>
          <w:tcPr>
            <w:tcW w:w="630" w:type="pct"/>
            <w:tcBorders>
              <w:top w:val="nil"/>
              <w:left w:val="nil"/>
              <w:bottom w:val="nil"/>
              <w:right w:val="nil"/>
            </w:tcBorders>
            <w:noWrap/>
            <w:vAlign w:val="center"/>
          </w:tcPr>
          <w:p w14:paraId="22999F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0.0055</w:t>
            </w:r>
          </w:p>
        </w:tc>
      </w:tr>
      <w:tr w14:paraId="788B976B">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ED8C2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MPV</w:t>
            </w:r>
          </w:p>
        </w:tc>
        <w:tc>
          <w:tcPr>
            <w:tcW w:w="1066" w:type="pct"/>
            <w:tcBorders>
              <w:top w:val="nil"/>
              <w:left w:val="nil"/>
              <w:bottom w:val="nil"/>
              <w:right w:val="nil"/>
            </w:tcBorders>
            <w:noWrap/>
            <w:vAlign w:val="center"/>
          </w:tcPr>
          <w:p w14:paraId="7C9B8A5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8.70(8.00-9.30)</w:t>
            </w:r>
          </w:p>
        </w:tc>
        <w:tc>
          <w:tcPr>
            <w:tcW w:w="1066" w:type="pct"/>
            <w:tcBorders>
              <w:top w:val="nil"/>
              <w:left w:val="nil"/>
              <w:bottom w:val="nil"/>
              <w:right w:val="nil"/>
            </w:tcBorders>
            <w:noWrap/>
            <w:vAlign w:val="center"/>
          </w:tcPr>
          <w:p w14:paraId="7617AB4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8.70(8.10-9.50)</w:t>
            </w:r>
          </w:p>
        </w:tc>
        <w:tc>
          <w:tcPr>
            <w:tcW w:w="1309" w:type="pct"/>
            <w:tcBorders>
              <w:top w:val="nil"/>
              <w:left w:val="nil"/>
              <w:bottom w:val="nil"/>
              <w:right w:val="nil"/>
            </w:tcBorders>
            <w:noWrap/>
            <w:vAlign w:val="center"/>
          </w:tcPr>
          <w:p w14:paraId="0511F9E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8.50(7.90-9.20)</w:t>
            </w:r>
          </w:p>
        </w:tc>
        <w:tc>
          <w:tcPr>
            <w:tcW w:w="630" w:type="pct"/>
            <w:tcBorders>
              <w:top w:val="nil"/>
              <w:left w:val="nil"/>
              <w:bottom w:val="nil"/>
              <w:right w:val="nil"/>
            </w:tcBorders>
            <w:noWrap/>
            <w:vAlign w:val="center"/>
          </w:tcPr>
          <w:p w14:paraId="1DAC5D7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0.0010</w:t>
            </w:r>
          </w:p>
        </w:tc>
      </w:tr>
      <w:tr w14:paraId="02BCC9B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E3CCC4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ALT</w:t>
            </w:r>
          </w:p>
        </w:tc>
        <w:tc>
          <w:tcPr>
            <w:tcW w:w="1066" w:type="pct"/>
            <w:tcBorders>
              <w:top w:val="nil"/>
              <w:left w:val="nil"/>
              <w:bottom w:val="nil"/>
              <w:right w:val="nil"/>
            </w:tcBorders>
            <w:noWrap/>
            <w:vAlign w:val="center"/>
          </w:tcPr>
          <w:p w14:paraId="1D7467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19.00(14.00-27.00)</w:t>
            </w:r>
          </w:p>
        </w:tc>
        <w:tc>
          <w:tcPr>
            <w:tcW w:w="1066" w:type="pct"/>
            <w:tcBorders>
              <w:top w:val="nil"/>
              <w:left w:val="nil"/>
              <w:bottom w:val="nil"/>
              <w:right w:val="nil"/>
            </w:tcBorders>
            <w:noWrap/>
            <w:vAlign w:val="center"/>
          </w:tcPr>
          <w:p w14:paraId="15BDFD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20.00(13.00-28.00)</w:t>
            </w:r>
          </w:p>
        </w:tc>
        <w:tc>
          <w:tcPr>
            <w:tcW w:w="1309" w:type="pct"/>
            <w:tcBorders>
              <w:top w:val="nil"/>
              <w:left w:val="nil"/>
              <w:bottom w:val="nil"/>
              <w:right w:val="nil"/>
            </w:tcBorders>
            <w:noWrap/>
            <w:vAlign w:val="center"/>
          </w:tcPr>
          <w:p w14:paraId="34B0516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18.00(15.00-24.00)</w:t>
            </w:r>
          </w:p>
        </w:tc>
        <w:tc>
          <w:tcPr>
            <w:tcW w:w="630" w:type="pct"/>
            <w:tcBorders>
              <w:top w:val="nil"/>
              <w:left w:val="nil"/>
              <w:bottom w:val="nil"/>
              <w:right w:val="nil"/>
            </w:tcBorders>
            <w:noWrap/>
            <w:vAlign w:val="center"/>
          </w:tcPr>
          <w:p w14:paraId="6B2EF01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0.1760</w:t>
            </w:r>
          </w:p>
        </w:tc>
      </w:tr>
      <w:tr w14:paraId="219A1E27">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F934FF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AST</w:t>
            </w:r>
          </w:p>
        </w:tc>
        <w:tc>
          <w:tcPr>
            <w:tcW w:w="1066" w:type="pct"/>
            <w:tcBorders>
              <w:top w:val="nil"/>
              <w:left w:val="nil"/>
              <w:bottom w:val="nil"/>
              <w:right w:val="nil"/>
            </w:tcBorders>
            <w:noWrap/>
            <w:vAlign w:val="center"/>
          </w:tcPr>
          <w:p w14:paraId="716F927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20.00(17.00-24.00)</w:t>
            </w:r>
          </w:p>
        </w:tc>
        <w:tc>
          <w:tcPr>
            <w:tcW w:w="1066" w:type="pct"/>
            <w:tcBorders>
              <w:top w:val="nil"/>
              <w:left w:val="nil"/>
              <w:bottom w:val="nil"/>
              <w:right w:val="nil"/>
            </w:tcBorders>
            <w:noWrap/>
            <w:vAlign w:val="center"/>
          </w:tcPr>
          <w:p w14:paraId="6051F67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22.00(17.00-31.00)</w:t>
            </w:r>
          </w:p>
        </w:tc>
        <w:tc>
          <w:tcPr>
            <w:tcW w:w="1309" w:type="pct"/>
            <w:tcBorders>
              <w:top w:val="nil"/>
              <w:left w:val="nil"/>
              <w:bottom w:val="nil"/>
              <w:right w:val="nil"/>
            </w:tcBorders>
            <w:noWrap/>
            <w:vAlign w:val="center"/>
          </w:tcPr>
          <w:p w14:paraId="4369A9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22.00(19.00-25.00)</w:t>
            </w:r>
          </w:p>
        </w:tc>
        <w:tc>
          <w:tcPr>
            <w:tcW w:w="630" w:type="pct"/>
            <w:tcBorders>
              <w:top w:val="nil"/>
              <w:left w:val="nil"/>
              <w:bottom w:val="nil"/>
              <w:right w:val="nil"/>
            </w:tcBorders>
            <w:noWrap/>
            <w:vAlign w:val="center"/>
          </w:tcPr>
          <w:p w14:paraId="478DAF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0.0027</w:t>
            </w:r>
          </w:p>
        </w:tc>
      </w:tr>
      <w:tr w14:paraId="03A3DF6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083738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ASTALTRatio</w:t>
            </w:r>
          </w:p>
        </w:tc>
        <w:tc>
          <w:tcPr>
            <w:tcW w:w="1066" w:type="pct"/>
            <w:tcBorders>
              <w:top w:val="nil"/>
              <w:left w:val="nil"/>
              <w:bottom w:val="nil"/>
              <w:right w:val="nil"/>
            </w:tcBorders>
            <w:noWrap/>
            <w:vAlign w:val="center"/>
          </w:tcPr>
          <w:p w14:paraId="3DF3756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1.07(0.85-1.33)</w:t>
            </w:r>
          </w:p>
        </w:tc>
        <w:tc>
          <w:tcPr>
            <w:tcW w:w="1066" w:type="pct"/>
            <w:tcBorders>
              <w:top w:val="nil"/>
              <w:left w:val="nil"/>
              <w:bottom w:val="nil"/>
              <w:right w:val="nil"/>
            </w:tcBorders>
            <w:noWrap/>
            <w:vAlign w:val="center"/>
          </w:tcPr>
          <w:p w14:paraId="3FEAEF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1.18(0.92-1.57)</w:t>
            </w:r>
          </w:p>
        </w:tc>
        <w:tc>
          <w:tcPr>
            <w:tcW w:w="1309" w:type="pct"/>
            <w:tcBorders>
              <w:top w:val="nil"/>
              <w:left w:val="nil"/>
              <w:bottom w:val="nil"/>
              <w:right w:val="nil"/>
            </w:tcBorders>
            <w:noWrap/>
            <w:vAlign w:val="center"/>
          </w:tcPr>
          <w:p w14:paraId="32FA30E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1.19(1.00-1.41)</w:t>
            </w:r>
          </w:p>
        </w:tc>
        <w:tc>
          <w:tcPr>
            <w:tcW w:w="630" w:type="pct"/>
            <w:tcBorders>
              <w:top w:val="nil"/>
              <w:left w:val="nil"/>
              <w:bottom w:val="nil"/>
              <w:right w:val="nil"/>
            </w:tcBorders>
            <w:noWrap/>
            <w:vAlign w:val="center"/>
          </w:tcPr>
          <w:p w14:paraId="433281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612C6021">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40BEF53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TBIL</w:t>
            </w:r>
          </w:p>
        </w:tc>
        <w:tc>
          <w:tcPr>
            <w:tcW w:w="1066" w:type="pct"/>
            <w:tcBorders>
              <w:top w:val="nil"/>
              <w:left w:val="nil"/>
              <w:bottom w:val="nil"/>
              <w:right w:val="nil"/>
            </w:tcBorders>
            <w:noWrap/>
            <w:vAlign w:val="center"/>
          </w:tcPr>
          <w:p w14:paraId="78D24E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12.40(9.80-15.70)</w:t>
            </w:r>
          </w:p>
        </w:tc>
        <w:tc>
          <w:tcPr>
            <w:tcW w:w="1066" w:type="pct"/>
            <w:tcBorders>
              <w:top w:val="nil"/>
              <w:left w:val="nil"/>
              <w:bottom w:val="nil"/>
              <w:right w:val="nil"/>
            </w:tcBorders>
            <w:noWrap/>
            <w:vAlign w:val="center"/>
          </w:tcPr>
          <w:p w14:paraId="3707E62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12.00(9.62-16.05)</w:t>
            </w:r>
          </w:p>
        </w:tc>
        <w:tc>
          <w:tcPr>
            <w:tcW w:w="1309" w:type="pct"/>
            <w:tcBorders>
              <w:top w:val="nil"/>
              <w:left w:val="nil"/>
              <w:bottom w:val="nil"/>
              <w:right w:val="nil"/>
            </w:tcBorders>
            <w:noWrap/>
            <w:vAlign w:val="center"/>
          </w:tcPr>
          <w:p w14:paraId="4514C2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13.85(11.70-16.60)</w:t>
            </w:r>
          </w:p>
        </w:tc>
        <w:tc>
          <w:tcPr>
            <w:tcW w:w="630" w:type="pct"/>
            <w:tcBorders>
              <w:top w:val="nil"/>
              <w:left w:val="nil"/>
              <w:bottom w:val="nil"/>
              <w:right w:val="nil"/>
            </w:tcBorders>
            <w:noWrap/>
            <w:vAlign w:val="center"/>
          </w:tcPr>
          <w:p w14:paraId="486837A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6EC3F98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7E70B6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DBIL</w:t>
            </w:r>
          </w:p>
        </w:tc>
        <w:tc>
          <w:tcPr>
            <w:tcW w:w="1066" w:type="pct"/>
            <w:tcBorders>
              <w:top w:val="nil"/>
              <w:left w:val="nil"/>
              <w:bottom w:val="nil"/>
              <w:right w:val="nil"/>
            </w:tcBorders>
            <w:noWrap/>
            <w:vAlign w:val="center"/>
          </w:tcPr>
          <w:p w14:paraId="4529026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3.60(2.60-5.10)</w:t>
            </w:r>
          </w:p>
        </w:tc>
        <w:tc>
          <w:tcPr>
            <w:tcW w:w="1066" w:type="pct"/>
            <w:tcBorders>
              <w:top w:val="nil"/>
              <w:left w:val="nil"/>
              <w:bottom w:val="nil"/>
              <w:right w:val="nil"/>
            </w:tcBorders>
            <w:noWrap/>
            <w:vAlign w:val="center"/>
          </w:tcPr>
          <w:p w14:paraId="514E9C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3.70(2.70-5.20)</w:t>
            </w:r>
          </w:p>
        </w:tc>
        <w:tc>
          <w:tcPr>
            <w:tcW w:w="1309" w:type="pct"/>
            <w:tcBorders>
              <w:top w:val="nil"/>
              <w:left w:val="nil"/>
              <w:bottom w:val="nil"/>
              <w:right w:val="nil"/>
            </w:tcBorders>
            <w:noWrap/>
            <w:vAlign w:val="center"/>
          </w:tcPr>
          <w:p w14:paraId="4FC7C4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2.80(2.30-3.70)</w:t>
            </w:r>
          </w:p>
        </w:tc>
        <w:tc>
          <w:tcPr>
            <w:tcW w:w="630" w:type="pct"/>
            <w:tcBorders>
              <w:top w:val="nil"/>
              <w:left w:val="nil"/>
              <w:bottom w:val="nil"/>
              <w:right w:val="nil"/>
            </w:tcBorders>
            <w:noWrap/>
            <w:vAlign w:val="center"/>
          </w:tcPr>
          <w:p w14:paraId="3DD6A6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3EDAD50">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F48BE5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UBIL</w:t>
            </w:r>
          </w:p>
        </w:tc>
        <w:tc>
          <w:tcPr>
            <w:tcW w:w="1066" w:type="pct"/>
            <w:tcBorders>
              <w:top w:val="nil"/>
              <w:left w:val="nil"/>
              <w:bottom w:val="nil"/>
              <w:right w:val="nil"/>
            </w:tcBorders>
            <w:noWrap/>
            <w:vAlign w:val="center"/>
          </w:tcPr>
          <w:p w14:paraId="54BA9A5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8.90(6.80-11.30)</w:t>
            </w:r>
          </w:p>
        </w:tc>
        <w:tc>
          <w:tcPr>
            <w:tcW w:w="1066" w:type="pct"/>
            <w:tcBorders>
              <w:top w:val="nil"/>
              <w:left w:val="nil"/>
              <w:bottom w:val="nil"/>
              <w:right w:val="nil"/>
            </w:tcBorders>
            <w:noWrap/>
            <w:vAlign w:val="center"/>
          </w:tcPr>
          <w:p w14:paraId="15BF14B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8.30(6.60-11.10)</w:t>
            </w:r>
          </w:p>
        </w:tc>
        <w:tc>
          <w:tcPr>
            <w:tcW w:w="1309" w:type="pct"/>
            <w:tcBorders>
              <w:top w:val="nil"/>
              <w:left w:val="nil"/>
              <w:bottom w:val="nil"/>
              <w:right w:val="nil"/>
            </w:tcBorders>
            <w:noWrap/>
            <w:vAlign w:val="center"/>
          </w:tcPr>
          <w:p w14:paraId="5E8B14B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10.80(9.00-13.20)</w:t>
            </w:r>
          </w:p>
        </w:tc>
        <w:tc>
          <w:tcPr>
            <w:tcW w:w="630" w:type="pct"/>
            <w:tcBorders>
              <w:top w:val="nil"/>
              <w:left w:val="nil"/>
              <w:bottom w:val="nil"/>
              <w:right w:val="nil"/>
            </w:tcBorders>
            <w:noWrap/>
            <w:vAlign w:val="center"/>
          </w:tcPr>
          <w:p w14:paraId="18A66E9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16135EE2">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101EA5B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TP</w:t>
            </w:r>
          </w:p>
        </w:tc>
        <w:tc>
          <w:tcPr>
            <w:tcW w:w="1066" w:type="pct"/>
            <w:tcBorders>
              <w:top w:val="nil"/>
              <w:left w:val="nil"/>
              <w:bottom w:val="nil"/>
              <w:right w:val="nil"/>
            </w:tcBorders>
            <w:noWrap/>
            <w:vAlign w:val="center"/>
          </w:tcPr>
          <w:p w14:paraId="02C814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69.40(65.80-72.80)</w:t>
            </w:r>
          </w:p>
        </w:tc>
        <w:tc>
          <w:tcPr>
            <w:tcW w:w="1066" w:type="pct"/>
            <w:tcBorders>
              <w:top w:val="nil"/>
              <w:left w:val="nil"/>
              <w:bottom w:val="nil"/>
              <w:right w:val="nil"/>
            </w:tcBorders>
            <w:noWrap/>
            <w:vAlign w:val="center"/>
          </w:tcPr>
          <w:p w14:paraId="50BAF3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68.15(64.80-72.62)</w:t>
            </w:r>
          </w:p>
        </w:tc>
        <w:tc>
          <w:tcPr>
            <w:tcW w:w="1309" w:type="pct"/>
            <w:tcBorders>
              <w:top w:val="nil"/>
              <w:left w:val="nil"/>
              <w:bottom w:val="nil"/>
              <w:right w:val="nil"/>
            </w:tcBorders>
            <w:noWrap/>
            <w:vAlign w:val="center"/>
          </w:tcPr>
          <w:p w14:paraId="2F0D878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73.80(71.47-76.93)</w:t>
            </w:r>
          </w:p>
        </w:tc>
        <w:tc>
          <w:tcPr>
            <w:tcW w:w="630" w:type="pct"/>
            <w:tcBorders>
              <w:top w:val="nil"/>
              <w:left w:val="nil"/>
              <w:bottom w:val="nil"/>
              <w:right w:val="nil"/>
            </w:tcBorders>
            <w:noWrap/>
            <w:vAlign w:val="center"/>
          </w:tcPr>
          <w:p w14:paraId="3515881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6B7E8BFD">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02BCD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ALB</w:t>
            </w:r>
          </w:p>
        </w:tc>
        <w:tc>
          <w:tcPr>
            <w:tcW w:w="1066" w:type="pct"/>
            <w:tcBorders>
              <w:top w:val="nil"/>
              <w:left w:val="nil"/>
              <w:bottom w:val="nil"/>
              <w:right w:val="nil"/>
            </w:tcBorders>
            <w:noWrap/>
            <w:vAlign w:val="center"/>
          </w:tcPr>
          <w:p w14:paraId="2B6D35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42.80(40.80-45.00)</w:t>
            </w:r>
          </w:p>
        </w:tc>
        <w:tc>
          <w:tcPr>
            <w:tcW w:w="1066" w:type="pct"/>
            <w:tcBorders>
              <w:top w:val="nil"/>
              <w:left w:val="nil"/>
              <w:bottom w:val="nil"/>
              <w:right w:val="nil"/>
            </w:tcBorders>
            <w:noWrap/>
            <w:vAlign w:val="center"/>
          </w:tcPr>
          <w:p w14:paraId="17997E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41.85(39.40-44.48)</w:t>
            </w:r>
          </w:p>
        </w:tc>
        <w:tc>
          <w:tcPr>
            <w:tcW w:w="1309" w:type="pct"/>
            <w:tcBorders>
              <w:top w:val="nil"/>
              <w:left w:val="nil"/>
              <w:bottom w:val="nil"/>
              <w:right w:val="nil"/>
            </w:tcBorders>
            <w:noWrap/>
            <w:vAlign w:val="center"/>
          </w:tcPr>
          <w:p w14:paraId="76960A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45.20(43.50-46.73)</w:t>
            </w:r>
          </w:p>
        </w:tc>
        <w:tc>
          <w:tcPr>
            <w:tcW w:w="630" w:type="pct"/>
            <w:tcBorders>
              <w:top w:val="nil"/>
              <w:left w:val="nil"/>
              <w:bottom w:val="nil"/>
              <w:right w:val="nil"/>
            </w:tcBorders>
            <w:noWrap/>
            <w:vAlign w:val="center"/>
          </w:tcPr>
          <w:p w14:paraId="751CC35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13FBE82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70CD49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GLB</w:t>
            </w:r>
          </w:p>
        </w:tc>
        <w:tc>
          <w:tcPr>
            <w:tcW w:w="1066" w:type="pct"/>
            <w:tcBorders>
              <w:top w:val="nil"/>
              <w:left w:val="nil"/>
              <w:bottom w:val="nil"/>
              <w:right w:val="nil"/>
            </w:tcBorders>
            <w:noWrap/>
            <w:vAlign w:val="center"/>
          </w:tcPr>
          <w:p w14:paraId="0E83861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26.40(24.00-28.70)</w:t>
            </w:r>
          </w:p>
        </w:tc>
        <w:tc>
          <w:tcPr>
            <w:tcW w:w="1066" w:type="pct"/>
            <w:tcBorders>
              <w:top w:val="nil"/>
              <w:left w:val="nil"/>
              <w:bottom w:val="nil"/>
              <w:right w:val="nil"/>
            </w:tcBorders>
            <w:noWrap/>
            <w:vAlign w:val="center"/>
          </w:tcPr>
          <w:p w14:paraId="66BCFBF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26.50(24.10-29.30)</w:t>
            </w:r>
          </w:p>
        </w:tc>
        <w:tc>
          <w:tcPr>
            <w:tcW w:w="1309" w:type="pct"/>
            <w:tcBorders>
              <w:top w:val="nil"/>
              <w:left w:val="nil"/>
              <w:bottom w:val="nil"/>
              <w:right w:val="nil"/>
            </w:tcBorders>
            <w:noWrap/>
            <w:vAlign w:val="center"/>
          </w:tcPr>
          <w:p w14:paraId="7B1A64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28.60(26.38-31.73)</w:t>
            </w:r>
          </w:p>
        </w:tc>
        <w:tc>
          <w:tcPr>
            <w:tcW w:w="630" w:type="pct"/>
            <w:tcBorders>
              <w:top w:val="nil"/>
              <w:left w:val="nil"/>
              <w:bottom w:val="nil"/>
              <w:right w:val="nil"/>
            </w:tcBorders>
            <w:noWrap/>
            <w:vAlign w:val="center"/>
          </w:tcPr>
          <w:p w14:paraId="3E9FD00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50BB92A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420694B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AGRatio</w:t>
            </w:r>
          </w:p>
        </w:tc>
        <w:tc>
          <w:tcPr>
            <w:tcW w:w="1066" w:type="pct"/>
            <w:tcBorders>
              <w:top w:val="nil"/>
              <w:left w:val="nil"/>
              <w:bottom w:val="nil"/>
              <w:right w:val="nil"/>
            </w:tcBorders>
            <w:noWrap/>
            <w:vAlign w:val="center"/>
          </w:tcPr>
          <w:p w14:paraId="1184C5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1.62(1.48-1.79)</w:t>
            </w:r>
          </w:p>
        </w:tc>
        <w:tc>
          <w:tcPr>
            <w:tcW w:w="1066" w:type="pct"/>
            <w:tcBorders>
              <w:top w:val="nil"/>
              <w:left w:val="nil"/>
              <w:bottom w:val="nil"/>
              <w:right w:val="nil"/>
            </w:tcBorders>
            <w:noWrap/>
            <w:vAlign w:val="center"/>
          </w:tcPr>
          <w:p w14:paraId="2D937AA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1.58(1.42-1.75)</w:t>
            </w:r>
          </w:p>
        </w:tc>
        <w:tc>
          <w:tcPr>
            <w:tcW w:w="1309" w:type="pct"/>
            <w:tcBorders>
              <w:top w:val="nil"/>
              <w:left w:val="nil"/>
              <w:bottom w:val="nil"/>
              <w:right w:val="nil"/>
            </w:tcBorders>
            <w:noWrap/>
            <w:vAlign w:val="center"/>
          </w:tcPr>
          <w:p w14:paraId="0DD5A05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1.56(1.42-1.72)</w:t>
            </w:r>
          </w:p>
        </w:tc>
        <w:tc>
          <w:tcPr>
            <w:tcW w:w="630" w:type="pct"/>
            <w:tcBorders>
              <w:top w:val="nil"/>
              <w:left w:val="nil"/>
              <w:bottom w:val="nil"/>
              <w:right w:val="nil"/>
            </w:tcBorders>
            <w:noWrap/>
            <w:vAlign w:val="center"/>
          </w:tcPr>
          <w:p w14:paraId="5775794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0.0010</w:t>
            </w:r>
          </w:p>
        </w:tc>
      </w:tr>
      <w:tr w14:paraId="54EB2BCC">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46F6116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GGT</w:t>
            </w:r>
          </w:p>
        </w:tc>
        <w:tc>
          <w:tcPr>
            <w:tcW w:w="1066" w:type="pct"/>
            <w:tcBorders>
              <w:top w:val="nil"/>
              <w:left w:val="nil"/>
              <w:bottom w:val="nil"/>
              <w:right w:val="nil"/>
            </w:tcBorders>
            <w:noWrap/>
            <w:vAlign w:val="center"/>
          </w:tcPr>
          <w:p w14:paraId="69062B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19.00(14.00-29.00)</w:t>
            </w:r>
          </w:p>
        </w:tc>
        <w:tc>
          <w:tcPr>
            <w:tcW w:w="1066" w:type="pct"/>
            <w:tcBorders>
              <w:top w:val="nil"/>
              <w:left w:val="nil"/>
              <w:bottom w:val="nil"/>
              <w:right w:val="nil"/>
            </w:tcBorders>
            <w:noWrap/>
            <w:vAlign w:val="center"/>
          </w:tcPr>
          <w:p w14:paraId="2CCA54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22.00(15.00-37.00)</w:t>
            </w:r>
          </w:p>
        </w:tc>
        <w:tc>
          <w:tcPr>
            <w:tcW w:w="1309" w:type="pct"/>
            <w:tcBorders>
              <w:top w:val="nil"/>
              <w:left w:val="nil"/>
              <w:bottom w:val="nil"/>
              <w:right w:val="nil"/>
            </w:tcBorders>
            <w:noWrap/>
            <w:vAlign w:val="center"/>
          </w:tcPr>
          <w:p w14:paraId="690CF95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17.00(13.00-23.00)</w:t>
            </w:r>
          </w:p>
        </w:tc>
        <w:tc>
          <w:tcPr>
            <w:tcW w:w="630" w:type="pct"/>
            <w:tcBorders>
              <w:top w:val="nil"/>
              <w:left w:val="nil"/>
              <w:bottom w:val="nil"/>
              <w:right w:val="nil"/>
            </w:tcBorders>
            <w:noWrap/>
            <w:vAlign w:val="center"/>
          </w:tcPr>
          <w:p w14:paraId="31C7B1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25AD9CD">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CFC1F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ALP</w:t>
            </w:r>
          </w:p>
        </w:tc>
        <w:tc>
          <w:tcPr>
            <w:tcW w:w="1066" w:type="pct"/>
            <w:tcBorders>
              <w:top w:val="nil"/>
              <w:left w:val="nil"/>
              <w:bottom w:val="nil"/>
              <w:right w:val="nil"/>
            </w:tcBorders>
            <w:noWrap/>
            <w:vAlign w:val="center"/>
          </w:tcPr>
          <w:p w14:paraId="4F421B2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70.00(59.00-83.00)</w:t>
            </w:r>
          </w:p>
        </w:tc>
        <w:tc>
          <w:tcPr>
            <w:tcW w:w="1066" w:type="pct"/>
            <w:tcBorders>
              <w:top w:val="nil"/>
              <w:left w:val="nil"/>
              <w:bottom w:val="nil"/>
              <w:right w:val="nil"/>
            </w:tcBorders>
            <w:noWrap/>
            <w:vAlign w:val="center"/>
          </w:tcPr>
          <w:p w14:paraId="3618D14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72.00(60.25-86.00)</w:t>
            </w:r>
          </w:p>
        </w:tc>
        <w:tc>
          <w:tcPr>
            <w:tcW w:w="1309" w:type="pct"/>
            <w:tcBorders>
              <w:top w:val="nil"/>
              <w:left w:val="nil"/>
              <w:bottom w:val="nil"/>
              <w:right w:val="nil"/>
            </w:tcBorders>
            <w:noWrap/>
            <w:vAlign w:val="center"/>
          </w:tcPr>
          <w:p w14:paraId="712090E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64.00(55.00-76.00)</w:t>
            </w:r>
          </w:p>
        </w:tc>
        <w:tc>
          <w:tcPr>
            <w:tcW w:w="630" w:type="pct"/>
            <w:tcBorders>
              <w:top w:val="nil"/>
              <w:left w:val="nil"/>
              <w:bottom w:val="nil"/>
              <w:right w:val="nil"/>
            </w:tcBorders>
            <w:noWrap/>
            <w:vAlign w:val="center"/>
          </w:tcPr>
          <w:p w14:paraId="0963525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67D0F3D1">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262738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TC</w:t>
            </w:r>
          </w:p>
        </w:tc>
        <w:tc>
          <w:tcPr>
            <w:tcW w:w="1066" w:type="pct"/>
            <w:tcBorders>
              <w:top w:val="nil"/>
              <w:left w:val="nil"/>
              <w:bottom w:val="nil"/>
              <w:right w:val="nil"/>
            </w:tcBorders>
            <w:noWrap/>
            <w:vAlign w:val="center"/>
          </w:tcPr>
          <w:p w14:paraId="05F6C4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3.85(3.15-4.70)</w:t>
            </w:r>
          </w:p>
        </w:tc>
        <w:tc>
          <w:tcPr>
            <w:tcW w:w="1066" w:type="pct"/>
            <w:tcBorders>
              <w:top w:val="nil"/>
              <w:left w:val="nil"/>
              <w:bottom w:val="nil"/>
              <w:right w:val="nil"/>
            </w:tcBorders>
            <w:noWrap/>
            <w:vAlign w:val="center"/>
          </w:tcPr>
          <w:p w14:paraId="66E326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3.81(3.04-4.72)</w:t>
            </w:r>
          </w:p>
        </w:tc>
        <w:tc>
          <w:tcPr>
            <w:tcW w:w="1309" w:type="pct"/>
            <w:tcBorders>
              <w:top w:val="nil"/>
              <w:left w:val="nil"/>
              <w:bottom w:val="nil"/>
              <w:right w:val="nil"/>
            </w:tcBorders>
            <w:noWrap/>
            <w:vAlign w:val="center"/>
          </w:tcPr>
          <w:p w14:paraId="3356D13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4.26(3.73-4.72)</w:t>
            </w:r>
          </w:p>
        </w:tc>
        <w:tc>
          <w:tcPr>
            <w:tcW w:w="630" w:type="pct"/>
            <w:tcBorders>
              <w:top w:val="nil"/>
              <w:left w:val="nil"/>
              <w:bottom w:val="nil"/>
              <w:right w:val="nil"/>
            </w:tcBorders>
            <w:noWrap/>
            <w:vAlign w:val="center"/>
          </w:tcPr>
          <w:p w14:paraId="24A4F82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59D38A1">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62678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TG</w:t>
            </w:r>
          </w:p>
        </w:tc>
        <w:tc>
          <w:tcPr>
            <w:tcW w:w="1066" w:type="pct"/>
            <w:tcBorders>
              <w:top w:val="nil"/>
              <w:left w:val="nil"/>
              <w:bottom w:val="nil"/>
              <w:right w:val="nil"/>
            </w:tcBorders>
            <w:noWrap/>
            <w:vAlign w:val="center"/>
          </w:tcPr>
          <w:p w14:paraId="1CDF717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1.26(0.94-1.76)</w:t>
            </w:r>
          </w:p>
        </w:tc>
        <w:tc>
          <w:tcPr>
            <w:tcW w:w="1066" w:type="pct"/>
            <w:tcBorders>
              <w:top w:val="nil"/>
              <w:left w:val="nil"/>
              <w:bottom w:val="nil"/>
              <w:right w:val="nil"/>
            </w:tcBorders>
            <w:noWrap/>
            <w:vAlign w:val="center"/>
          </w:tcPr>
          <w:p w14:paraId="430F8EC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1.34(0.97-1.90)</w:t>
            </w:r>
          </w:p>
        </w:tc>
        <w:tc>
          <w:tcPr>
            <w:tcW w:w="1309" w:type="pct"/>
            <w:tcBorders>
              <w:top w:val="nil"/>
              <w:left w:val="nil"/>
              <w:bottom w:val="nil"/>
              <w:right w:val="nil"/>
            </w:tcBorders>
            <w:noWrap/>
            <w:vAlign w:val="center"/>
          </w:tcPr>
          <w:p w14:paraId="46E5783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1.03(0.80-1.26)</w:t>
            </w:r>
          </w:p>
        </w:tc>
        <w:tc>
          <w:tcPr>
            <w:tcW w:w="630" w:type="pct"/>
            <w:tcBorders>
              <w:top w:val="nil"/>
              <w:left w:val="nil"/>
              <w:bottom w:val="nil"/>
              <w:right w:val="nil"/>
            </w:tcBorders>
            <w:noWrap/>
            <w:vAlign w:val="center"/>
          </w:tcPr>
          <w:p w14:paraId="6C4246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7C84D2A2">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3B9248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HDL</w:t>
            </w:r>
          </w:p>
        </w:tc>
        <w:tc>
          <w:tcPr>
            <w:tcW w:w="1066" w:type="pct"/>
            <w:tcBorders>
              <w:top w:val="nil"/>
              <w:left w:val="nil"/>
              <w:bottom w:val="nil"/>
              <w:right w:val="nil"/>
            </w:tcBorders>
            <w:noWrap/>
            <w:vAlign w:val="center"/>
          </w:tcPr>
          <w:p w14:paraId="75FD42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1.10(0.93-1.31)</w:t>
            </w:r>
          </w:p>
        </w:tc>
        <w:tc>
          <w:tcPr>
            <w:tcW w:w="1066" w:type="pct"/>
            <w:tcBorders>
              <w:top w:val="nil"/>
              <w:left w:val="nil"/>
              <w:bottom w:val="nil"/>
              <w:right w:val="nil"/>
            </w:tcBorders>
            <w:noWrap/>
            <w:vAlign w:val="center"/>
          </w:tcPr>
          <w:p w14:paraId="0FF642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0.98(0.85-1.19)</w:t>
            </w:r>
          </w:p>
        </w:tc>
        <w:tc>
          <w:tcPr>
            <w:tcW w:w="1309" w:type="pct"/>
            <w:tcBorders>
              <w:top w:val="nil"/>
              <w:left w:val="nil"/>
              <w:bottom w:val="nil"/>
              <w:right w:val="nil"/>
            </w:tcBorders>
            <w:noWrap/>
            <w:vAlign w:val="center"/>
          </w:tcPr>
          <w:p w14:paraId="756E5D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1.43(1.26-1.69)</w:t>
            </w:r>
          </w:p>
        </w:tc>
        <w:tc>
          <w:tcPr>
            <w:tcW w:w="630" w:type="pct"/>
            <w:tcBorders>
              <w:top w:val="nil"/>
              <w:left w:val="nil"/>
              <w:bottom w:val="nil"/>
              <w:right w:val="nil"/>
            </w:tcBorders>
            <w:noWrap/>
            <w:vAlign w:val="center"/>
          </w:tcPr>
          <w:p w14:paraId="260081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18D6DA1">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0E918EE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NHDL</w:t>
            </w:r>
          </w:p>
        </w:tc>
        <w:tc>
          <w:tcPr>
            <w:tcW w:w="1066" w:type="pct"/>
            <w:tcBorders>
              <w:top w:val="nil"/>
              <w:left w:val="nil"/>
              <w:bottom w:val="nil"/>
              <w:right w:val="nil"/>
            </w:tcBorders>
            <w:noWrap/>
            <w:vAlign w:val="center"/>
          </w:tcPr>
          <w:p w14:paraId="01233BA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2.69(1.98-3.51)</w:t>
            </w:r>
          </w:p>
        </w:tc>
        <w:tc>
          <w:tcPr>
            <w:tcW w:w="1066" w:type="pct"/>
            <w:tcBorders>
              <w:top w:val="nil"/>
              <w:left w:val="nil"/>
              <w:bottom w:val="nil"/>
              <w:right w:val="nil"/>
            </w:tcBorders>
            <w:noWrap/>
            <w:vAlign w:val="center"/>
          </w:tcPr>
          <w:p w14:paraId="3FB487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2.75(2.04-3.64)</w:t>
            </w:r>
          </w:p>
        </w:tc>
        <w:tc>
          <w:tcPr>
            <w:tcW w:w="1309" w:type="pct"/>
            <w:tcBorders>
              <w:top w:val="nil"/>
              <w:left w:val="nil"/>
              <w:bottom w:val="nil"/>
              <w:right w:val="nil"/>
            </w:tcBorders>
            <w:noWrap/>
            <w:vAlign w:val="center"/>
          </w:tcPr>
          <w:p w14:paraId="0BC9BEC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2.76(2.19-3.18)</w:t>
            </w:r>
          </w:p>
        </w:tc>
        <w:tc>
          <w:tcPr>
            <w:tcW w:w="630" w:type="pct"/>
            <w:tcBorders>
              <w:top w:val="nil"/>
              <w:left w:val="nil"/>
              <w:bottom w:val="nil"/>
              <w:right w:val="nil"/>
            </w:tcBorders>
            <w:noWrap/>
            <w:vAlign w:val="center"/>
          </w:tcPr>
          <w:p w14:paraId="55A8A34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0.4588</w:t>
            </w:r>
          </w:p>
        </w:tc>
      </w:tr>
      <w:tr w14:paraId="649F896B">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9B39D3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LDL</w:t>
            </w:r>
          </w:p>
        </w:tc>
        <w:tc>
          <w:tcPr>
            <w:tcW w:w="1066" w:type="pct"/>
            <w:tcBorders>
              <w:top w:val="nil"/>
              <w:left w:val="nil"/>
              <w:bottom w:val="nil"/>
              <w:right w:val="nil"/>
            </w:tcBorders>
            <w:noWrap/>
            <w:vAlign w:val="center"/>
          </w:tcPr>
          <w:p w14:paraId="2AA33E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2.12(1.57-2.94)</w:t>
            </w:r>
          </w:p>
        </w:tc>
        <w:tc>
          <w:tcPr>
            <w:tcW w:w="1066" w:type="pct"/>
            <w:tcBorders>
              <w:top w:val="nil"/>
              <w:left w:val="nil"/>
              <w:bottom w:val="nil"/>
              <w:right w:val="nil"/>
            </w:tcBorders>
            <w:noWrap/>
            <w:vAlign w:val="center"/>
          </w:tcPr>
          <w:p w14:paraId="5392D76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2.11(1.50-2.95)</w:t>
            </w:r>
          </w:p>
        </w:tc>
        <w:tc>
          <w:tcPr>
            <w:tcW w:w="1309" w:type="pct"/>
            <w:tcBorders>
              <w:top w:val="nil"/>
              <w:left w:val="nil"/>
              <w:bottom w:val="nil"/>
              <w:right w:val="nil"/>
            </w:tcBorders>
            <w:noWrap/>
            <w:vAlign w:val="center"/>
          </w:tcPr>
          <w:p w14:paraId="435E170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2.49(1.98-2.91)</w:t>
            </w:r>
          </w:p>
        </w:tc>
        <w:tc>
          <w:tcPr>
            <w:tcW w:w="630" w:type="pct"/>
            <w:tcBorders>
              <w:top w:val="nil"/>
              <w:left w:val="nil"/>
              <w:bottom w:val="nil"/>
              <w:right w:val="nil"/>
            </w:tcBorders>
            <w:noWrap/>
            <w:vAlign w:val="center"/>
          </w:tcPr>
          <w:p w14:paraId="0BA56E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0.0004</w:t>
            </w:r>
          </w:p>
        </w:tc>
      </w:tr>
      <w:tr w14:paraId="2BD00872">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5767BFD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UREA</w:t>
            </w:r>
          </w:p>
        </w:tc>
        <w:tc>
          <w:tcPr>
            <w:tcW w:w="1066" w:type="pct"/>
            <w:tcBorders>
              <w:top w:val="nil"/>
              <w:left w:val="nil"/>
              <w:bottom w:val="nil"/>
              <w:right w:val="nil"/>
            </w:tcBorders>
            <w:noWrap/>
            <w:vAlign w:val="center"/>
          </w:tcPr>
          <w:p w14:paraId="4237592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5.80(5.00-6.90)</w:t>
            </w:r>
          </w:p>
        </w:tc>
        <w:tc>
          <w:tcPr>
            <w:tcW w:w="1066" w:type="pct"/>
            <w:tcBorders>
              <w:top w:val="nil"/>
              <w:left w:val="nil"/>
              <w:bottom w:val="nil"/>
              <w:right w:val="nil"/>
            </w:tcBorders>
            <w:noWrap/>
            <w:vAlign w:val="center"/>
          </w:tcPr>
          <w:p w14:paraId="6063C99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5.94(5.04-7.30)</w:t>
            </w:r>
          </w:p>
        </w:tc>
        <w:tc>
          <w:tcPr>
            <w:tcW w:w="1309" w:type="pct"/>
            <w:tcBorders>
              <w:top w:val="nil"/>
              <w:left w:val="nil"/>
              <w:bottom w:val="nil"/>
              <w:right w:val="nil"/>
            </w:tcBorders>
            <w:noWrap/>
            <w:vAlign w:val="center"/>
          </w:tcPr>
          <w:p w14:paraId="6F38937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5.19(4.48-6.14)</w:t>
            </w:r>
          </w:p>
        </w:tc>
        <w:tc>
          <w:tcPr>
            <w:tcW w:w="630" w:type="pct"/>
            <w:tcBorders>
              <w:top w:val="nil"/>
              <w:left w:val="nil"/>
              <w:bottom w:val="nil"/>
              <w:right w:val="nil"/>
            </w:tcBorders>
            <w:noWrap/>
            <w:vAlign w:val="center"/>
          </w:tcPr>
          <w:p w14:paraId="687D59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0.0000</w:t>
            </w:r>
          </w:p>
        </w:tc>
      </w:tr>
      <w:tr w14:paraId="42BEBAF8">
        <w:tblPrEx>
          <w:tblCellMar>
            <w:top w:w="0" w:type="dxa"/>
            <w:left w:w="108" w:type="dxa"/>
            <w:bottom w:w="0" w:type="dxa"/>
            <w:right w:w="108" w:type="dxa"/>
          </w:tblCellMar>
        </w:tblPrEx>
        <w:trPr>
          <w:trHeight w:val="277" w:hRule="atLeast"/>
          <w:jc w:val="center"/>
        </w:trPr>
        <w:tc>
          <w:tcPr>
            <w:tcW w:w="926" w:type="pct"/>
            <w:tcBorders>
              <w:top w:val="nil"/>
              <w:left w:val="nil"/>
              <w:bottom w:val="nil"/>
              <w:right w:val="nil"/>
            </w:tcBorders>
            <w:noWrap/>
            <w:vAlign w:val="center"/>
          </w:tcPr>
          <w:p w14:paraId="66E0DA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CREA</w:t>
            </w:r>
          </w:p>
        </w:tc>
        <w:tc>
          <w:tcPr>
            <w:tcW w:w="1066" w:type="pct"/>
            <w:tcBorders>
              <w:top w:val="nil"/>
              <w:left w:val="nil"/>
              <w:bottom w:val="nil"/>
              <w:right w:val="nil"/>
            </w:tcBorders>
            <w:noWrap/>
            <w:vAlign w:val="center"/>
          </w:tcPr>
          <w:p w14:paraId="5B30047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75.00(62.60-85.00)</w:t>
            </w:r>
          </w:p>
        </w:tc>
        <w:tc>
          <w:tcPr>
            <w:tcW w:w="1066" w:type="pct"/>
            <w:tcBorders>
              <w:top w:val="nil"/>
              <w:left w:val="nil"/>
              <w:bottom w:val="nil"/>
              <w:right w:val="nil"/>
            </w:tcBorders>
            <w:noWrap/>
            <w:vAlign w:val="center"/>
          </w:tcPr>
          <w:p w14:paraId="5C2828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75.70(66.90-88.15)</w:t>
            </w:r>
          </w:p>
        </w:tc>
        <w:tc>
          <w:tcPr>
            <w:tcW w:w="1309" w:type="pct"/>
            <w:tcBorders>
              <w:top w:val="nil"/>
              <w:left w:val="nil"/>
              <w:bottom w:val="nil"/>
              <w:right w:val="nil"/>
            </w:tcBorders>
            <w:noWrap/>
            <w:vAlign w:val="center"/>
          </w:tcPr>
          <w:p w14:paraId="0BB950F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71.50(62.38-81.12)</w:t>
            </w:r>
          </w:p>
        </w:tc>
        <w:tc>
          <w:tcPr>
            <w:tcW w:w="630" w:type="pct"/>
            <w:tcBorders>
              <w:top w:val="nil"/>
              <w:left w:val="nil"/>
              <w:bottom w:val="nil"/>
              <w:right w:val="nil"/>
            </w:tcBorders>
            <w:noWrap/>
            <w:vAlign w:val="center"/>
          </w:tcPr>
          <w:p w14:paraId="5F650D5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0.0001</w:t>
            </w:r>
          </w:p>
        </w:tc>
      </w:tr>
      <w:tr w14:paraId="64A43E05">
        <w:tblPrEx>
          <w:tblCellMar>
            <w:top w:w="0" w:type="dxa"/>
            <w:left w:w="108" w:type="dxa"/>
            <w:bottom w:w="0" w:type="dxa"/>
            <w:right w:w="108" w:type="dxa"/>
          </w:tblCellMar>
        </w:tblPrEx>
        <w:trPr>
          <w:trHeight w:val="277" w:hRule="atLeast"/>
          <w:jc w:val="center"/>
        </w:trPr>
        <w:tc>
          <w:tcPr>
            <w:tcW w:w="926" w:type="pct"/>
            <w:tcBorders>
              <w:top w:val="nil"/>
              <w:left w:val="nil"/>
              <w:bottom w:val="single" w:color="000000" w:sz="4" w:space="0"/>
              <w:right w:val="nil"/>
            </w:tcBorders>
            <w:noWrap/>
            <w:vAlign w:val="center"/>
          </w:tcPr>
          <w:p w14:paraId="2A17A4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UA</w:t>
            </w:r>
          </w:p>
        </w:tc>
        <w:tc>
          <w:tcPr>
            <w:tcW w:w="1066" w:type="pct"/>
            <w:tcBorders>
              <w:top w:val="nil"/>
              <w:left w:val="nil"/>
              <w:bottom w:val="single" w:color="000000" w:sz="4" w:space="0"/>
              <w:right w:val="nil"/>
            </w:tcBorders>
            <w:noWrap/>
            <w:vAlign w:val="center"/>
          </w:tcPr>
          <w:p w14:paraId="68104A4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306.00(259.00-361.60)</w:t>
            </w:r>
          </w:p>
        </w:tc>
        <w:tc>
          <w:tcPr>
            <w:tcW w:w="1066" w:type="pct"/>
            <w:tcBorders>
              <w:top w:val="nil"/>
              <w:left w:val="nil"/>
              <w:bottom w:val="single" w:color="000000" w:sz="4" w:space="0"/>
              <w:right w:val="nil"/>
            </w:tcBorders>
            <w:noWrap/>
            <w:vAlign w:val="center"/>
          </w:tcPr>
          <w:p w14:paraId="53FE613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302.90(250.48-368.98)</w:t>
            </w:r>
          </w:p>
        </w:tc>
        <w:tc>
          <w:tcPr>
            <w:tcW w:w="1309" w:type="pct"/>
            <w:tcBorders>
              <w:top w:val="nil"/>
              <w:left w:val="nil"/>
              <w:bottom w:val="single" w:color="000000" w:sz="4" w:space="0"/>
              <w:right w:val="nil"/>
            </w:tcBorders>
            <w:noWrap/>
            <w:vAlign w:val="center"/>
          </w:tcPr>
          <w:p w14:paraId="60E3F8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295.05(258.98-336.52)</w:t>
            </w:r>
          </w:p>
        </w:tc>
        <w:tc>
          <w:tcPr>
            <w:tcW w:w="630" w:type="pct"/>
            <w:tcBorders>
              <w:top w:val="nil"/>
              <w:left w:val="nil"/>
              <w:bottom w:val="single" w:color="000000" w:sz="4" w:space="0"/>
              <w:right w:val="nil"/>
            </w:tcBorders>
            <w:noWrap/>
            <w:vAlign w:val="center"/>
          </w:tcPr>
          <w:p w14:paraId="24CCECC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0.1265</w:t>
            </w:r>
          </w:p>
        </w:tc>
      </w:tr>
    </w:tbl>
    <w:p w14:paraId="0BEC3AB5"/>
    <w:p w14:paraId="0094F305">
      <w:r>
        <w:rPr>
          <w:rFonts w:hint="eastAsia" w:ascii="Times New Roman" w:hAnsi="Times New Roman"/>
          <w:sz w:val="24"/>
        </w:rPr>
        <w:t>Table S8. Performance of machine learning models based on control group and CAD as classification criteria.</w:t>
      </w:r>
    </w:p>
    <w:tbl>
      <w:tblPr>
        <w:tblStyle w:val="2"/>
        <w:tblW w:w="541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1"/>
        <w:gridCol w:w="1158"/>
        <w:gridCol w:w="1351"/>
        <w:gridCol w:w="1070"/>
        <w:gridCol w:w="1070"/>
        <w:gridCol w:w="1071"/>
        <w:gridCol w:w="1071"/>
        <w:gridCol w:w="1381"/>
      </w:tblGrid>
      <w:tr w14:paraId="134199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left w:val="nil"/>
              <w:bottom w:val="single" w:color="auto" w:sz="4" w:space="0"/>
              <w:right w:val="nil"/>
            </w:tcBorders>
            <w:noWrap/>
            <w:vAlign w:val="center"/>
          </w:tcPr>
          <w:p w14:paraId="6D3BC24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Models</w:t>
            </w:r>
          </w:p>
        </w:tc>
        <w:tc>
          <w:tcPr>
            <w:tcW w:w="627" w:type="pct"/>
            <w:tcBorders>
              <w:left w:val="nil"/>
              <w:bottom w:val="single" w:color="auto" w:sz="4" w:space="0"/>
              <w:right w:val="nil"/>
            </w:tcBorders>
            <w:noWrap/>
            <w:vAlign w:val="center"/>
          </w:tcPr>
          <w:p w14:paraId="289A331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Sensitivity</w:t>
            </w:r>
          </w:p>
        </w:tc>
        <w:tc>
          <w:tcPr>
            <w:tcW w:w="731" w:type="pct"/>
            <w:tcBorders>
              <w:left w:val="nil"/>
              <w:bottom w:val="single" w:color="auto" w:sz="4" w:space="0"/>
              <w:right w:val="nil"/>
            </w:tcBorders>
            <w:noWrap/>
            <w:vAlign w:val="center"/>
          </w:tcPr>
          <w:p w14:paraId="3EA67E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Specificity</w:t>
            </w:r>
          </w:p>
        </w:tc>
        <w:tc>
          <w:tcPr>
            <w:tcW w:w="579" w:type="pct"/>
            <w:tcBorders>
              <w:left w:val="nil"/>
              <w:bottom w:val="single" w:color="auto" w:sz="4" w:space="0"/>
              <w:right w:val="nil"/>
            </w:tcBorders>
            <w:noWrap/>
            <w:vAlign w:val="center"/>
          </w:tcPr>
          <w:p w14:paraId="145688B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Accuracy</w:t>
            </w:r>
          </w:p>
        </w:tc>
        <w:tc>
          <w:tcPr>
            <w:tcW w:w="579" w:type="pct"/>
            <w:tcBorders>
              <w:left w:val="nil"/>
              <w:bottom w:val="single" w:color="auto" w:sz="4" w:space="0"/>
              <w:right w:val="nil"/>
            </w:tcBorders>
            <w:noWrap/>
            <w:vAlign w:val="center"/>
          </w:tcPr>
          <w:p w14:paraId="56C7B47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PPV</w:t>
            </w:r>
          </w:p>
        </w:tc>
        <w:tc>
          <w:tcPr>
            <w:tcW w:w="579" w:type="pct"/>
            <w:tcBorders>
              <w:left w:val="nil"/>
              <w:bottom w:val="single" w:color="auto" w:sz="4" w:space="0"/>
              <w:right w:val="nil"/>
            </w:tcBorders>
            <w:noWrap/>
            <w:vAlign w:val="center"/>
          </w:tcPr>
          <w:p w14:paraId="466306D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NPV</w:t>
            </w:r>
          </w:p>
        </w:tc>
        <w:tc>
          <w:tcPr>
            <w:tcW w:w="579" w:type="pct"/>
            <w:tcBorders>
              <w:left w:val="nil"/>
              <w:bottom w:val="single" w:color="auto" w:sz="4" w:space="0"/>
              <w:right w:val="nil"/>
            </w:tcBorders>
            <w:noWrap/>
            <w:vAlign w:val="center"/>
          </w:tcPr>
          <w:p w14:paraId="600AE04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F1</w:t>
            </w:r>
          </w:p>
        </w:tc>
        <w:tc>
          <w:tcPr>
            <w:tcW w:w="747" w:type="pct"/>
            <w:tcBorders>
              <w:left w:val="nil"/>
              <w:bottom w:val="single" w:color="auto" w:sz="4" w:space="0"/>
              <w:right w:val="nil"/>
            </w:tcBorders>
            <w:noWrap/>
            <w:vAlign w:val="center"/>
          </w:tcPr>
          <w:p w14:paraId="1C4B63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Youden's index</w:t>
            </w:r>
          </w:p>
        </w:tc>
      </w:tr>
      <w:tr w14:paraId="34C581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single" w:color="auto" w:sz="4" w:space="0"/>
              <w:left w:val="nil"/>
              <w:bottom w:val="nil"/>
              <w:right w:val="nil"/>
            </w:tcBorders>
            <w:noWrap/>
            <w:vAlign w:val="center"/>
          </w:tcPr>
          <w:p w14:paraId="56B9FD3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RandomForest</w:t>
            </w:r>
          </w:p>
        </w:tc>
        <w:tc>
          <w:tcPr>
            <w:tcW w:w="627" w:type="pct"/>
            <w:tcBorders>
              <w:top w:val="single" w:color="auto" w:sz="4" w:space="0"/>
              <w:left w:val="nil"/>
              <w:bottom w:val="nil"/>
              <w:right w:val="nil"/>
            </w:tcBorders>
            <w:noWrap/>
            <w:vAlign w:val="center"/>
          </w:tcPr>
          <w:p w14:paraId="38353AE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0.947368421052632</w:t>
            </w:r>
          </w:p>
        </w:tc>
        <w:tc>
          <w:tcPr>
            <w:tcW w:w="731" w:type="pct"/>
            <w:tcBorders>
              <w:top w:val="single" w:color="auto" w:sz="4" w:space="0"/>
              <w:left w:val="nil"/>
              <w:bottom w:val="nil"/>
              <w:right w:val="nil"/>
            </w:tcBorders>
            <w:noWrap/>
            <w:vAlign w:val="center"/>
          </w:tcPr>
          <w:p w14:paraId="6D222B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0.888888888888889</w:t>
            </w:r>
          </w:p>
        </w:tc>
        <w:tc>
          <w:tcPr>
            <w:tcW w:w="579" w:type="pct"/>
            <w:tcBorders>
              <w:top w:val="single" w:color="auto" w:sz="4" w:space="0"/>
              <w:left w:val="nil"/>
              <w:bottom w:val="nil"/>
              <w:right w:val="nil"/>
            </w:tcBorders>
            <w:noWrap/>
            <w:vAlign w:val="center"/>
          </w:tcPr>
          <w:p w14:paraId="52F8316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0.926380368098159</w:t>
            </w:r>
          </w:p>
        </w:tc>
        <w:tc>
          <w:tcPr>
            <w:tcW w:w="579" w:type="pct"/>
            <w:tcBorders>
              <w:top w:val="single" w:color="auto" w:sz="4" w:space="0"/>
              <w:left w:val="nil"/>
              <w:bottom w:val="nil"/>
              <w:right w:val="nil"/>
            </w:tcBorders>
            <w:noWrap/>
            <w:vAlign w:val="center"/>
          </w:tcPr>
          <w:p w14:paraId="168CA1C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0.938388625592417</w:t>
            </w:r>
          </w:p>
        </w:tc>
        <w:tc>
          <w:tcPr>
            <w:tcW w:w="579" w:type="pct"/>
            <w:tcBorders>
              <w:top w:val="single" w:color="auto" w:sz="4" w:space="0"/>
              <w:left w:val="nil"/>
              <w:bottom w:val="nil"/>
              <w:right w:val="nil"/>
            </w:tcBorders>
            <w:noWrap/>
            <w:vAlign w:val="center"/>
          </w:tcPr>
          <w:p w14:paraId="2C2702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0.904347826086956</w:t>
            </w:r>
          </w:p>
        </w:tc>
        <w:tc>
          <w:tcPr>
            <w:tcW w:w="579" w:type="pct"/>
            <w:tcBorders>
              <w:top w:val="single" w:color="auto" w:sz="4" w:space="0"/>
              <w:left w:val="nil"/>
              <w:bottom w:val="nil"/>
              <w:right w:val="nil"/>
            </w:tcBorders>
            <w:noWrap/>
            <w:vAlign w:val="center"/>
          </w:tcPr>
          <w:p w14:paraId="6FA4F1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0.942857142857143</w:t>
            </w:r>
          </w:p>
        </w:tc>
        <w:tc>
          <w:tcPr>
            <w:tcW w:w="747" w:type="pct"/>
            <w:tcBorders>
              <w:top w:val="single" w:color="auto" w:sz="4" w:space="0"/>
              <w:left w:val="nil"/>
              <w:bottom w:val="nil"/>
              <w:right w:val="nil"/>
            </w:tcBorders>
            <w:noWrap/>
            <w:vAlign w:val="center"/>
          </w:tcPr>
          <w:p w14:paraId="25C2947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0.83625730994152</w:t>
            </w:r>
          </w:p>
        </w:tc>
      </w:tr>
      <w:tr w14:paraId="7FF549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18116BA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SVM_Kernel</w:t>
            </w:r>
          </w:p>
        </w:tc>
        <w:tc>
          <w:tcPr>
            <w:tcW w:w="627" w:type="pct"/>
            <w:tcBorders>
              <w:top w:val="nil"/>
              <w:left w:val="nil"/>
              <w:bottom w:val="nil"/>
              <w:right w:val="nil"/>
            </w:tcBorders>
            <w:noWrap/>
            <w:vAlign w:val="center"/>
          </w:tcPr>
          <w:p w14:paraId="6F5B481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0.942583732057416</w:t>
            </w:r>
          </w:p>
        </w:tc>
        <w:tc>
          <w:tcPr>
            <w:tcW w:w="731" w:type="pct"/>
            <w:tcBorders>
              <w:top w:val="nil"/>
              <w:left w:val="nil"/>
              <w:bottom w:val="nil"/>
              <w:right w:val="nil"/>
            </w:tcBorders>
            <w:noWrap/>
            <w:vAlign w:val="center"/>
          </w:tcPr>
          <w:p w14:paraId="1BE8BE0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4ACF8E3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0.920245398773006</w:t>
            </w:r>
          </w:p>
        </w:tc>
        <w:tc>
          <w:tcPr>
            <w:tcW w:w="579" w:type="pct"/>
            <w:tcBorders>
              <w:top w:val="nil"/>
              <w:left w:val="nil"/>
              <w:bottom w:val="nil"/>
              <w:right w:val="nil"/>
            </w:tcBorders>
            <w:noWrap/>
            <w:vAlign w:val="center"/>
          </w:tcPr>
          <w:p w14:paraId="179025E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0.933649289099526</w:t>
            </w:r>
          </w:p>
        </w:tc>
        <w:tc>
          <w:tcPr>
            <w:tcW w:w="579" w:type="pct"/>
            <w:tcBorders>
              <w:top w:val="nil"/>
              <w:left w:val="nil"/>
              <w:bottom w:val="nil"/>
              <w:right w:val="nil"/>
            </w:tcBorders>
            <w:noWrap/>
            <w:vAlign w:val="center"/>
          </w:tcPr>
          <w:p w14:paraId="100BF3A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0.895652173913044</w:t>
            </w:r>
          </w:p>
        </w:tc>
        <w:tc>
          <w:tcPr>
            <w:tcW w:w="579" w:type="pct"/>
            <w:tcBorders>
              <w:top w:val="nil"/>
              <w:left w:val="nil"/>
              <w:bottom w:val="nil"/>
              <w:right w:val="nil"/>
            </w:tcBorders>
            <w:noWrap/>
            <w:vAlign w:val="center"/>
          </w:tcPr>
          <w:p w14:paraId="358F1F7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0.938095238095238</w:t>
            </w:r>
          </w:p>
        </w:tc>
        <w:tc>
          <w:tcPr>
            <w:tcW w:w="747" w:type="pct"/>
            <w:tcBorders>
              <w:top w:val="nil"/>
              <w:left w:val="nil"/>
              <w:bottom w:val="nil"/>
              <w:right w:val="nil"/>
            </w:tcBorders>
            <w:noWrap/>
            <w:vAlign w:val="center"/>
          </w:tcPr>
          <w:p w14:paraId="4EB7E5B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0.822925612399297</w:t>
            </w:r>
          </w:p>
        </w:tc>
      </w:tr>
      <w:tr w14:paraId="329EEA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00170B7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LogisticModel</w:t>
            </w:r>
          </w:p>
        </w:tc>
        <w:tc>
          <w:tcPr>
            <w:tcW w:w="627" w:type="pct"/>
            <w:tcBorders>
              <w:top w:val="nil"/>
              <w:left w:val="nil"/>
              <w:bottom w:val="nil"/>
              <w:right w:val="nil"/>
            </w:tcBorders>
            <w:noWrap/>
            <w:vAlign w:val="center"/>
          </w:tcPr>
          <w:p w14:paraId="0F1ED9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731" w:type="pct"/>
            <w:tcBorders>
              <w:top w:val="nil"/>
              <w:left w:val="nil"/>
              <w:bottom w:val="nil"/>
              <w:right w:val="nil"/>
            </w:tcBorders>
            <w:noWrap/>
            <w:vAlign w:val="center"/>
          </w:tcPr>
          <w:p w14:paraId="2D87E93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520BAAF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0.914110429447853</w:t>
            </w:r>
          </w:p>
        </w:tc>
        <w:tc>
          <w:tcPr>
            <w:tcW w:w="579" w:type="pct"/>
            <w:tcBorders>
              <w:top w:val="nil"/>
              <w:left w:val="nil"/>
              <w:bottom w:val="nil"/>
              <w:right w:val="nil"/>
            </w:tcBorders>
            <w:noWrap/>
            <w:vAlign w:val="center"/>
          </w:tcPr>
          <w:p w14:paraId="24AA72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579" w:type="pct"/>
            <w:tcBorders>
              <w:top w:val="nil"/>
              <w:left w:val="nil"/>
              <w:bottom w:val="nil"/>
              <w:right w:val="nil"/>
            </w:tcBorders>
            <w:noWrap/>
            <w:vAlign w:val="center"/>
          </w:tcPr>
          <w:p w14:paraId="3A0742C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439A19A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747" w:type="pct"/>
            <w:tcBorders>
              <w:top w:val="nil"/>
              <w:left w:val="nil"/>
              <w:bottom w:val="nil"/>
              <w:right w:val="nil"/>
            </w:tcBorders>
            <w:noWrap/>
            <w:vAlign w:val="center"/>
          </w:tcPr>
          <w:p w14:paraId="09D7B09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0.813356234408866</w:t>
            </w:r>
          </w:p>
        </w:tc>
      </w:tr>
      <w:tr w14:paraId="630D36A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15A922E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NeighborMethod</w:t>
            </w:r>
          </w:p>
        </w:tc>
        <w:tc>
          <w:tcPr>
            <w:tcW w:w="627" w:type="pct"/>
            <w:tcBorders>
              <w:top w:val="nil"/>
              <w:left w:val="nil"/>
              <w:bottom w:val="nil"/>
              <w:right w:val="nil"/>
            </w:tcBorders>
            <w:noWrap/>
            <w:vAlign w:val="center"/>
          </w:tcPr>
          <w:p w14:paraId="14ADE17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0.827751196172249</w:t>
            </w:r>
          </w:p>
        </w:tc>
        <w:tc>
          <w:tcPr>
            <w:tcW w:w="731" w:type="pct"/>
            <w:tcBorders>
              <w:top w:val="nil"/>
              <w:left w:val="nil"/>
              <w:bottom w:val="nil"/>
              <w:right w:val="nil"/>
            </w:tcBorders>
            <w:noWrap/>
            <w:vAlign w:val="center"/>
          </w:tcPr>
          <w:p w14:paraId="6DAEBC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0.786324786324786</w:t>
            </w:r>
          </w:p>
        </w:tc>
        <w:tc>
          <w:tcPr>
            <w:tcW w:w="579" w:type="pct"/>
            <w:tcBorders>
              <w:top w:val="nil"/>
              <w:left w:val="nil"/>
              <w:bottom w:val="nil"/>
              <w:right w:val="nil"/>
            </w:tcBorders>
            <w:noWrap/>
            <w:vAlign w:val="center"/>
          </w:tcPr>
          <w:p w14:paraId="63774F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0.812883435582822</w:t>
            </w:r>
          </w:p>
        </w:tc>
        <w:tc>
          <w:tcPr>
            <w:tcW w:w="579" w:type="pct"/>
            <w:tcBorders>
              <w:top w:val="nil"/>
              <w:left w:val="nil"/>
              <w:bottom w:val="nil"/>
              <w:right w:val="nil"/>
            </w:tcBorders>
            <w:noWrap/>
            <w:vAlign w:val="center"/>
          </w:tcPr>
          <w:p w14:paraId="733AE3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0.873737373737374</w:t>
            </w:r>
          </w:p>
        </w:tc>
        <w:tc>
          <w:tcPr>
            <w:tcW w:w="579" w:type="pct"/>
            <w:tcBorders>
              <w:top w:val="nil"/>
              <w:left w:val="nil"/>
              <w:bottom w:val="nil"/>
              <w:right w:val="nil"/>
            </w:tcBorders>
            <w:noWrap/>
            <w:vAlign w:val="center"/>
          </w:tcPr>
          <w:p w14:paraId="353DFBE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0.71875</w:t>
            </w:r>
          </w:p>
        </w:tc>
        <w:tc>
          <w:tcPr>
            <w:tcW w:w="579" w:type="pct"/>
            <w:tcBorders>
              <w:top w:val="nil"/>
              <w:left w:val="nil"/>
              <w:bottom w:val="nil"/>
              <w:right w:val="nil"/>
            </w:tcBorders>
            <w:noWrap/>
            <w:vAlign w:val="center"/>
          </w:tcPr>
          <w:p w14:paraId="25F6B26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0.85012285012285</w:t>
            </w:r>
          </w:p>
        </w:tc>
        <w:tc>
          <w:tcPr>
            <w:tcW w:w="747" w:type="pct"/>
            <w:tcBorders>
              <w:top w:val="nil"/>
              <w:left w:val="nil"/>
              <w:bottom w:val="nil"/>
              <w:right w:val="nil"/>
            </w:tcBorders>
            <w:noWrap/>
            <w:vAlign w:val="center"/>
          </w:tcPr>
          <w:p w14:paraId="0426E43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0.614075982497035</w:t>
            </w:r>
          </w:p>
        </w:tc>
      </w:tr>
      <w:tr w14:paraId="5F6994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0CF621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PLSModel</w:t>
            </w:r>
          </w:p>
        </w:tc>
        <w:tc>
          <w:tcPr>
            <w:tcW w:w="627" w:type="pct"/>
            <w:tcBorders>
              <w:top w:val="nil"/>
              <w:left w:val="nil"/>
              <w:bottom w:val="nil"/>
              <w:right w:val="nil"/>
            </w:tcBorders>
            <w:noWrap/>
            <w:vAlign w:val="center"/>
          </w:tcPr>
          <w:p w14:paraId="5976932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0.913875598086124</w:t>
            </w:r>
          </w:p>
        </w:tc>
        <w:tc>
          <w:tcPr>
            <w:tcW w:w="731" w:type="pct"/>
            <w:tcBorders>
              <w:top w:val="nil"/>
              <w:left w:val="nil"/>
              <w:bottom w:val="nil"/>
              <w:right w:val="nil"/>
            </w:tcBorders>
            <w:noWrap/>
            <w:vAlign w:val="center"/>
          </w:tcPr>
          <w:p w14:paraId="34F75C6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0.837606837606838</w:t>
            </w:r>
          </w:p>
        </w:tc>
        <w:tc>
          <w:tcPr>
            <w:tcW w:w="579" w:type="pct"/>
            <w:tcBorders>
              <w:top w:val="nil"/>
              <w:left w:val="nil"/>
              <w:bottom w:val="nil"/>
              <w:right w:val="nil"/>
            </w:tcBorders>
            <w:noWrap/>
            <w:vAlign w:val="center"/>
          </w:tcPr>
          <w:p w14:paraId="10A118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0.886503067484663</w:t>
            </w:r>
          </w:p>
        </w:tc>
        <w:tc>
          <w:tcPr>
            <w:tcW w:w="579" w:type="pct"/>
            <w:tcBorders>
              <w:top w:val="nil"/>
              <w:left w:val="nil"/>
              <w:bottom w:val="nil"/>
              <w:right w:val="nil"/>
            </w:tcBorders>
            <w:noWrap/>
            <w:vAlign w:val="center"/>
          </w:tcPr>
          <w:p w14:paraId="0F458A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0.90952380952381</w:t>
            </w:r>
          </w:p>
        </w:tc>
        <w:tc>
          <w:tcPr>
            <w:tcW w:w="579" w:type="pct"/>
            <w:tcBorders>
              <w:top w:val="nil"/>
              <w:left w:val="nil"/>
              <w:bottom w:val="nil"/>
              <w:right w:val="nil"/>
            </w:tcBorders>
            <w:noWrap/>
            <w:vAlign w:val="center"/>
          </w:tcPr>
          <w:p w14:paraId="79E4BA4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0.844827586206897</w:t>
            </w:r>
          </w:p>
        </w:tc>
        <w:tc>
          <w:tcPr>
            <w:tcW w:w="579" w:type="pct"/>
            <w:tcBorders>
              <w:top w:val="nil"/>
              <w:left w:val="nil"/>
              <w:bottom w:val="nil"/>
              <w:right w:val="nil"/>
            </w:tcBorders>
            <w:noWrap/>
            <w:vAlign w:val="center"/>
          </w:tcPr>
          <w:p w14:paraId="56CB039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0.911694510739857</w:t>
            </w:r>
          </w:p>
        </w:tc>
        <w:tc>
          <w:tcPr>
            <w:tcW w:w="747" w:type="pct"/>
            <w:tcBorders>
              <w:top w:val="nil"/>
              <w:left w:val="nil"/>
              <w:bottom w:val="nil"/>
              <w:right w:val="nil"/>
            </w:tcBorders>
            <w:noWrap/>
            <w:vAlign w:val="center"/>
          </w:tcPr>
          <w:p w14:paraId="4554C07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0.751482435692962</w:t>
            </w:r>
          </w:p>
        </w:tc>
      </w:tr>
      <w:tr w14:paraId="327F63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706F7CE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BoostingMethod</w:t>
            </w:r>
          </w:p>
        </w:tc>
        <w:tc>
          <w:tcPr>
            <w:tcW w:w="627" w:type="pct"/>
            <w:tcBorders>
              <w:top w:val="nil"/>
              <w:left w:val="nil"/>
              <w:bottom w:val="nil"/>
              <w:right w:val="nil"/>
            </w:tcBorders>
            <w:noWrap/>
            <w:vAlign w:val="center"/>
          </w:tcPr>
          <w:p w14:paraId="00176D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0.942583732057416</w:t>
            </w:r>
          </w:p>
        </w:tc>
        <w:tc>
          <w:tcPr>
            <w:tcW w:w="731" w:type="pct"/>
            <w:tcBorders>
              <w:top w:val="nil"/>
              <w:left w:val="nil"/>
              <w:bottom w:val="nil"/>
              <w:right w:val="nil"/>
            </w:tcBorders>
            <w:noWrap/>
            <w:vAlign w:val="center"/>
          </w:tcPr>
          <w:p w14:paraId="1DE200C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0244DC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0.920245398773006</w:t>
            </w:r>
          </w:p>
        </w:tc>
        <w:tc>
          <w:tcPr>
            <w:tcW w:w="579" w:type="pct"/>
            <w:tcBorders>
              <w:top w:val="nil"/>
              <w:left w:val="nil"/>
              <w:bottom w:val="nil"/>
              <w:right w:val="nil"/>
            </w:tcBorders>
            <w:noWrap/>
            <w:vAlign w:val="center"/>
          </w:tcPr>
          <w:p w14:paraId="26B9410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0.933649289099526</w:t>
            </w:r>
          </w:p>
        </w:tc>
        <w:tc>
          <w:tcPr>
            <w:tcW w:w="579" w:type="pct"/>
            <w:tcBorders>
              <w:top w:val="nil"/>
              <w:left w:val="nil"/>
              <w:bottom w:val="nil"/>
              <w:right w:val="nil"/>
            </w:tcBorders>
            <w:noWrap/>
            <w:vAlign w:val="center"/>
          </w:tcPr>
          <w:p w14:paraId="2C0046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0.895652173913044</w:t>
            </w:r>
          </w:p>
        </w:tc>
        <w:tc>
          <w:tcPr>
            <w:tcW w:w="579" w:type="pct"/>
            <w:tcBorders>
              <w:top w:val="nil"/>
              <w:left w:val="nil"/>
              <w:bottom w:val="nil"/>
              <w:right w:val="nil"/>
            </w:tcBorders>
            <w:noWrap/>
            <w:vAlign w:val="center"/>
          </w:tcPr>
          <w:p w14:paraId="2190B8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0.938095238095238</w:t>
            </w:r>
          </w:p>
        </w:tc>
        <w:tc>
          <w:tcPr>
            <w:tcW w:w="747" w:type="pct"/>
            <w:tcBorders>
              <w:top w:val="nil"/>
              <w:left w:val="nil"/>
              <w:bottom w:val="nil"/>
              <w:right w:val="nil"/>
            </w:tcBorders>
            <w:noWrap/>
            <w:vAlign w:val="center"/>
          </w:tcPr>
          <w:p w14:paraId="4813967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0.822925612399297</w:t>
            </w:r>
          </w:p>
        </w:tc>
      </w:tr>
      <w:tr w14:paraId="798F0A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5C10D9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NeuralNet</w:t>
            </w:r>
          </w:p>
        </w:tc>
        <w:tc>
          <w:tcPr>
            <w:tcW w:w="627" w:type="pct"/>
            <w:tcBorders>
              <w:top w:val="nil"/>
              <w:left w:val="nil"/>
              <w:bottom w:val="nil"/>
              <w:right w:val="nil"/>
            </w:tcBorders>
            <w:noWrap/>
            <w:vAlign w:val="center"/>
          </w:tcPr>
          <w:p w14:paraId="0D744E7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731" w:type="pct"/>
            <w:tcBorders>
              <w:top w:val="nil"/>
              <w:left w:val="nil"/>
              <w:bottom w:val="nil"/>
              <w:right w:val="nil"/>
            </w:tcBorders>
            <w:noWrap/>
            <w:vAlign w:val="center"/>
          </w:tcPr>
          <w:p w14:paraId="41F27AE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0E61C3B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0.914110429447853</w:t>
            </w:r>
          </w:p>
        </w:tc>
        <w:tc>
          <w:tcPr>
            <w:tcW w:w="579" w:type="pct"/>
            <w:tcBorders>
              <w:top w:val="nil"/>
              <w:left w:val="nil"/>
              <w:bottom w:val="nil"/>
              <w:right w:val="nil"/>
            </w:tcBorders>
            <w:noWrap/>
            <w:vAlign w:val="center"/>
          </w:tcPr>
          <w:p w14:paraId="579D13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579" w:type="pct"/>
            <w:tcBorders>
              <w:top w:val="nil"/>
              <w:left w:val="nil"/>
              <w:bottom w:val="nil"/>
              <w:right w:val="nil"/>
            </w:tcBorders>
            <w:noWrap/>
            <w:vAlign w:val="center"/>
          </w:tcPr>
          <w:p w14:paraId="4006AF0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0.88034188034188</w:t>
            </w:r>
          </w:p>
        </w:tc>
        <w:tc>
          <w:tcPr>
            <w:tcW w:w="579" w:type="pct"/>
            <w:tcBorders>
              <w:top w:val="nil"/>
              <w:left w:val="nil"/>
              <w:bottom w:val="nil"/>
              <w:right w:val="nil"/>
            </w:tcBorders>
            <w:noWrap/>
            <w:vAlign w:val="center"/>
          </w:tcPr>
          <w:p w14:paraId="5B765BF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0.933014354066986</w:t>
            </w:r>
          </w:p>
        </w:tc>
        <w:tc>
          <w:tcPr>
            <w:tcW w:w="747" w:type="pct"/>
            <w:tcBorders>
              <w:top w:val="nil"/>
              <w:left w:val="nil"/>
              <w:bottom w:val="nil"/>
              <w:right w:val="nil"/>
            </w:tcBorders>
            <w:noWrap/>
            <w:vAlign w:val="center"/>
          </w:tcPr>
          <w:p w14:paraId="66B2EF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0.813356234408866</w:t>
            </w:r>
          </w:p>
        </w:tc>
      </w:tr>
      <w:tr w14:paraId="7E61B3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7F868FA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BayesMethod</w:t>
            </w:r>
          </w:p>
        </w:tc>
        <w:tc>
          <w:tcPr>
            <w:tcW w:w="627" w:type="pct"/>
            <w:tcBorders>
              <w:top w:val="nil"/>
              <w:left w:val="nil"/>
              <w:bottom w:val="nil"/>
              <w:right w:val="nil"/>
            </w:tcBorders>
            <w:noWrap/>
            <w:vAlign w:val="center"/>
          </w:tcPr>
          <w:p w14:paraId="6842E18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0.851674641148325</w:t>
            </w:r>
          </w:p>
        </w:tc>
        <w:tc>
          <w:tcPr>
            <w:tcW w:w="731" w:type="pct"/>
            <w:tcBorders>
              <w:top w:val="nil"/>
              <w:left w:val="nil"/>
              <w:bottom w:val="nil"/>
              <w:right w:val="nil"/>
            </w:tcBorders>
            <w:noWrap/>
            <w:vAlign w:val="center"/>
          </w:tcPr>
          <w:p w14:paraId="68D3A1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79" w:type="pct"/>
            <w:tcBorders>
              <w:top w:val="nil"/>
              <w:left w:val="nil"/>
              <w:bottom w:val="nil"/>
              <w:right w:val="nil"/>
            </w:tcBorders>
            <w:noWrap/>
            <w:vAlign w:val="center"/>
          </w:tcPr>
          <w:p w14:paraId="19F635C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0.904907975460123</w:t>
            </w:r>
          </w:p>
        </w:tc>
        <w:tc>
          <w:tcPr>
            <w:tcW w:w="579" w:type="pct"/>
            <w:tcBorders>
              <w:top w:val="nil"/>
              <w:left w:val="nil"/>
              <w:bottom w:val="nil"/>
              <w:right w:val="nil"/>
            </w:tcBorders>
            <w:noWrap/>
            <w:vAlign w:val="center"/>
          </w:tcPr>
          <w:p w14:paraId="157971C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79" w:type="pct"/>
            <w:tcBorders>
              <w:top w:val="nil"/>
              <w:left w:val="nil"/>
              <w:bottom w:val="nil"/>
              <w:right w:val="nil"/>
            </w:tcBorders>
            <w:noWrap/>
            <w:vAlign w:val="center"/>
          </w:tcPr>
          <w:p w14:paraId="6F0F97E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0.790540540540541</w:t>
            </w:r>
          </w:p>
        </w:tc>
        <w:tc>
          <w:tcPr>
            <w:tcW w:w="579" w:type="pct"/>
            <w:tcBorders>
              <w:top w:val="nil"/>
              <w:left w:val="nil"/>
              <w:bottom w:val="nil"/>
              <w:right w:val="nil"/>
            </w:tcBorders>
            <w:noWrap/>
            <w:vAlign w:val="center"/>
          </w:tcPr>
          <w:p w14:paraId="4442FE8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0.919896640826873</w:t>
            </w:r>
          </w:p>
        </w:tc>
        <w:tc>
          <w:tcPr>
            <w:tcW w:w="747" w:type="pct"/>
            <w:tcBorders>
              <w:top w:val="nil"/>
              <w:left w:val="nil"/>
              <w:bottom w:val="nil"/>
              <w:right w:val="nil"/>
            </w:tcBorders>
            <w:noWrap/>
            <w:vAlign w:val="center"/>
          </w:tcPr>
          <w:p w14:paraId="592BBF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0.851674641148325</w:t>
            </w:r>
          </w:p>
        </w:tc>
      </w:tr>
      <w:tr w14:paraId="3A1BAD1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0541AF6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DiscriminantModel</w:t>
            </w:r>
          </w:p>
        </w:tc>
        <w:tc>
          <w:tcPr>
            <w:tcW w:w="627" w:type="pct"/>
            <w:tcBorders>
              <w:top w:val="nil"/>
              <w:left w:val="nil"/>
              <w:bottom w:val="nil"/>
              <w:right w:val="nil"/>
            </w:tcBorders>
            <w:noWrap/>
            <w:vAlign w:val="center"/>
          </w:tcPr>
          <w:p w14:paraId="43F1A29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0.904306220095694</w:t>
            </w:r>
          </w:p>
        </w:tc>
        <w:tc>
          <w:tcPr>
            <w:tcW w:w="731" w:type="pct"/>
            <w:tcBorders>
              <w:top w:val="nil"/>
              <w:left w:val="nil"/>
              <w:bottom w:val="nil"/>
              <w:right w:val="nil"/>
            </w:tcBorders>
            <w:noWrap/>
            <w:vAlign w:val="center"/>
          </w:tcPr>
          <w:p w14:paraId="27F7FF0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0.897435897435897</w:t>
            </w:r>
          </w:p>
        </w:tc>
        <w:tc>
          <w:tcPr>
            <w:tcW w:w="579" w:type="pct"/>
            <w:tcBorders>
              <w:top w:val="nil"/>
              <w:left w:val="nil"/>
              <w:bottom w:val="nil"/>
              <w:right w:val="nil"/>
            </w:tcBorders>
            <w:noWrap/>
            <w:vAlign w:val="center"/>
          </w:tcPr>
          <w:p w14:paraId="6FFEBC6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0.901840490797546</w:t>
            </w:r>
          </w:p>
        </w:tc>
        <w:tc>
          <w:tcPr>
            <w:tcW w:w="579" w:type="pct"/>
            <w:tcBorders>
              <w:top w:val="nil"/>
              <w:left w:val="nil"/>
              <w:bottom w:val="nil"/>
              <w:right w:val="nil"/>
            </w:tcBorders>
            <w:noWrap/>
            <w:vAlign w:val="center"/>
          </w:tcPr>
          <w:p w14:paraId="1A8DA8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0.940298507462687</w:t>
            </w:r>
          </w:p>
        </w:tc>
        <w:tc>
          <w:tcPr>
            <w:tcW w:w="579" w:type="pct"/>
            <w:tcBorders>
              <w:top w:val="nil"/>
              <w:left w:val="nil"/>
              <w:bottom w:val="nil"/>
              <w:right w:val="nil"/>
            </w:tcBorders>
            <w:noWrap/>
            <w:vAlign w:val="center"/>
          </w:tcPr>
          <w:p w14:paraId="4777101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0.84</w:t>
            </w:r>
          </w:p>
        </w:tc>
        <w:tc>
          <w:tcPr>
            <w:tcW w:w="579" w:type="pct"/>
            <w:tcBorders>
              <w:top w:val="nil"/>
              <w:left w:val="nil"/>
              <w:bottom w:val="nil"/>
              <w:right w:val="nil"/>
            </w:tcBorders>
            <w:noWrap/>
            <w:vAlign w:val="center"/>
          </w:tcPr>
          <w:p w14:paraId="3DB20F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0.921951219512195</w:t>
            </w:r>
          </w:p>
        </w:tc>
        <w:tc>
          <w:tcPr>
            <w:tcW w:w="747" w:type="pct"/>
            <w:tcBorders>
              <w:top w:val="nil"/>
              <w:left w:val="nil"/>
              <w:bottom w:val="nil"/>
              <w:right w:val="nil"/>
            </w:tcBorders>
            <w:noWrap/>
            <w:vAlign w:val="center"/>
          </w:tcPr>
          <w:p w14:paraId="7308F7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0.801742117531591</w:t>
            </w:r>
          </w:p>
        </w:tc>
      </w:tr>
      <w:tr w14:paraId="6272A1B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52CD1AF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Lasso</w:t>
            </w:r>
          </w:p>
        </w:tc>
        <w:tc>
          <w:tcPr>
            <w:tcW w:w="627" w:type="pct"/>
            <w:tcBorders>
              <w:top w:val="nil"/>
              <w:left w:val="nil"/>
              <w:bottom w:val="nil"/>
              <w:right w:val="nil"/>
            </w:tcBorders>
            <w:noWrap/>
            <w:vAlign w:val="center"/>
          </w:tcPr>
          <w:p w14:paraId="219018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0.937799043062201</w:t>
            </w:r>
          </w:p>
        </w:tc>
        <w:tc>
          <w:tcPr>
            <w:tcW w:w="731" w:type="pct"/>
            <w:tcBorders>
              <w:top w:val="nil"/>
              <w:left w:val="nil"/>
              <w:bottom w:val="nil"/>
              <w:right w:val="nil"/>
            </w:tcBorders>
            <w:noWrap/>
            <w:vAlign w:val="center"/>
          </w:tcPr>
          <w:p w14:paraId="300E64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0.871794871794872</w:t>
            </w:r>
          </w:p>
        </w:tc>
        <w:tc>
          <w:tcPr>
            <w:tcW w:w="579" w:type="pct"/>
            <w:tcBorders>
              <w:top w:val="nil"/>
              <w:left w:val="nil"/>
              <w:bottom w:val="nil"/>
              <w:right w:val="nil"/>
            </w:tcBorders>
            <w:noWrap/>
            <w:vAlign w:val="center"/>
          </w:tcPr>
          <w:p w14:paraId="33329EA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0.914110429447853</w:t>
            </w:r>
          </w:p>
        </w:tc>
        <w:tc>
          <w:tcPr>
            <w:tcW w:w="579" w:type="pct"/>
            <w:tcBorders>
              <w:top w:val="nil"/>
              <w:left w:val="nil"/>
              <w:bottom w:val="nil"/>
              <w:right w:val="nil"/>
            </w:tcBorders>
            <w:noWrap/>
            <w:vAlign w:val="center"/>
          </w:tcPr>
          <w:p w14:paraId="37FD34D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0.928909952606635</w:t>
            </w:r>
          </w:p>
        </w:tc>
        <w:tc>
          <w:tcPr>
            <w:tcW w:w="579" w:type="pct"/>
            <w:tcBorders>
              <w:top w:val="nil"/>
              <w:left w:val="nil"/>
              <w:bottom w:val="nil"/>
              <w:right w:val="nil"/>
            </w:tcBorders>
            <w:noWrap/>
            <w:vAlign w:val="center"/>
          </w:tcPr>
          <w:p w14:paraId="07E059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0.88695652173913</w:t>
            </w:r>
          </w:p>
        </w:tc>
        <w:tc>
          <w:tcPr>
            <w:tcW w:w="579" w:type="pct"/>
            <w:tcBorders>
              <w:top w:val="nil"/>
              <w:left w:val="nil"/>
              <w:bottom w:val="nil"/>
              <w:right w:val="nil"/>
            </w:tcBorders>
            <w:noWrap/>
            <w:vAlign w:val="center"/>
          </w:tcPr>
          <w:p w14:paraId="44D344B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0.933333333333333</w:t>
            </w:r>
          </w:p>
        </w:tc>
        <w:tc>
          <w:tcPr>
            <w:tcW w:w="747" w:type="pct"/>
            <w:tcBorders>
              <w:top w:val="nil"/>
              <w:left w:val="nil"/>
              <w:bottom w:val="nil"/>
              <w:right w:val="nil"/>
            </w:tcBorders>
            <w:noWrap/>
            <w:vAlign w:val="center"/>
          </w:tcPr>
          <w:p w14:paraId="78013C4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0.809593914857073</w:t>
            </w:r>
          </w:p>
        </w:tc>
      </w:tr>
      <w:tr w14:paraId="632AADA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62B405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AdaptiveBoosting</w:t>
            </w:r>
          </w:p>
        </w:tc>
        <w:tc>
          <w:tcPr>
            <w:tcW w:w="627" w:type="pct"/>
            <w:tcBorders>
              <w:top w:val="nil"/>
              <w:left w:val="nil"/>
              <w:bottom w:val="nil"/>
              <w:right w:val="nil"/>
            </w:tcBorders>
            <w:noWrap/>
            <w:vAlign w:val="center"/>
          </w:tcPr>
          <w:p w14:paraId="2F4446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0.937799043062201</w:t>
            </w:r>
          </w:p>
        </w:tc>
        <w:tc>
          <w:tcPr>
            <w:tcW w:w="731" w:type="pct"/>
            <w:tcBorders>
              <w:top w:val="nil"/>
              <w:left w:val="nil"/>
              <w:bottom w:val="nil"/>
              <w:right w:val="nil"/>
            </w:tcBorders>
            <w:noWrap/>
            <w:vAlign w:val="center"/>
          </w:tcPr>
          <w:p w14:paraId="694C14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0.897435897435897</w:t>
            </w:r>
          </w:p>
        </w:tc>
        <w:tc>
          <w:tcPr>
            <w:tcW w:w="579" w:type="pct"/>
            <w:tcBorders>
              <w:top w:val="nil"/>
              <w:left w:val="nil"/>
              <w:bottom w:val="nil"/>
              <w:right w:val="nil"/>
            </w:tcBorders>
            <w:noWrap/>
            <w:vAlign w:val="center"/>
          </w:tcPr>
          <w:p w14:paraId="26AC441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0.923312883435583</w:t>
            </w:r>
          </w:p>
        </w:tc>
        <w:tc>
          <w:tcPr>
            <w:tcW w:w="579" w:type="pct"/>
            <w:tcBorders>
              <w:top w:val="nil"/>
              <w:left w:val="nil"/>
              <w:bottom w:val="nil"/>
              <w:right w:val="nil"/>
            </w:tcBorders>
            <w:noWrap/>
            <w:vAlign w:val="center"/>
          </w:tcPr>
          <w:p w14:paraId="39BD495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0.942307692307692</w:t>
            </w:r>
          </w:p>
        </w:tc>
        <w:tc>
          <w:tcPr>
            <w:tcW w:w="579" w:type="pct"/>
            <w:tcBorders>
              <w:top w:val="nil"/>
              <w:left w:val="nil"/>
              <w:bottom w:val="nil"/>
              <w:right w:val="nil"/>
            </w:tcBorders>
            <w:noWrap/>
            <w:vAlign w:val="center"/>
          </w:tcPr>
          <w:p w14:paraId="2DB2D19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0.889830508474576</w:t>
            </w:r>
          </w:p>
        </w:tc>
        <w:tc>
          <w:tcPr>
            <w:tcW w:w="579" w:type="pct"/>
            <w:tcBorders>
              <w:top w:val="nil"/>
              <w:left w:val="nil"/>
              <w:bottom w:val="nil"/>
              <w:right w:val="nil"/>
            </w:tcBorders>
            <w:noWrap/>
            <w:vAlign w:val="center"/>
          </w:tcPr>
          <w:p w14:paraId="4020536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0.940047961630695</w:t>
            </w:r>
          </w:p>
        </w:tc>
        <w:tc>
          <w:tcPr>
            <w:tcW w:w="747" w:type="pct"/>
            <w:tcBorders>
              <w:top w:val="nil"/>
              <w:left w:val="nil"/>
              <w:bottom w:val="nil"/>
              <w:right w:val="nil"/>
            </w:tcBorders>
            <w:noWrap/>
            <w:vAlign w:val="center"/>
          </w:tcPr>
          <w:p w14:paraId="332D127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0.835234940498098</w:t>
            </w:r>
          </w:p>
        </w:tc>
      </w:tr>
      <w:tr w14:paraId="5DF076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bottom w:val="nil"/>
              <w:right w:val="nil"/>
            </w:tcBorders>
            <w:noWrap/>
            <w:vAlign w:val="center"/>
          </w:tcPr>
          <w:p w14:paraId="7754EFF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CATBoost</w:t>
            </w:r>
          </w:p>
        </w:tc>
        <w:tc>
          <w:tcPr>
            <w:tcW w:w="627" w:type="pct"/>
            <w:tcBorders>
              <w:top w:val="nil"/>
              <w:left w:val="nil"/>
              <w:bottom w:val="nil"/>
              <w:right w:val="nil"/>
            </w:tcBorders>
            <w:noWrap/>
            <w:vAlign w:val="center"/>
          </w:tcPr>
          <w:p w14:paraId="108743E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0.942583732057416</w:t>
            </w:r>
          </w:p>
        </w:tc>
        <w:tc>
          <w:tcPr>
            <w:tcW w:w="731" w:type="pct"/>
            <w:tcBorders>
              <w:top w:val="nil"/>
              <w:left w:val="nil"/>
              <w:bottom w:val="nil"/>
              <w:right w:val="nil"/>
            </w:tcBorders>
            <w:noWrap/>
            <w:vAlign w:val="center"/>
          </w:tcPr>
          <w:p w14:paraId="3043E48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0.914529914529915</w:t>
            </w:r>
          </w:p>
        </w:tc>
        <w:tc>
          <w:tcPr>
            <w:tcW w:w="579" w:type="pct"/>
            <w:tcBorders>
              <w:top w:val="nil"/>
              <w:left w:val="nil"/>
              <w:bottom w:val="nil"/>
              <w:right w:val="nil"/>
            </w:tcBorders>
            <w:noWrap/>
            <w:vAlign w:val="center"/>
          </w:tcPr>
          <w:p w14:paraId="37A30E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0.932515337423313</w:t>
            </w:r>
          </w:p>
        </w:tc>
        <w:tc>
          <w:tcPr>
            <w:tcW w:w="579" w:type="pct"/>
            <w:tcBorders>
              <w:top w:val="nil"/>
              <w:left w:val="nil"/>
              <w:bottom w:val="nil"/>
              <w:right w:val="nil"/>
            </w:tcBorders>
            <w:noWrap/>
            <w:vAlign w:val="center"/>
          </w:tcPr>
          <w:p w14:paraId="056D16F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0.951690821256039</w:t>
            </w:r>
          </w:p>
        </w:tc>
        <w:tc>
          <w:tcPr>
            <w:tcW w:w="579" w:type="pct"/>
            <w:tcBorders>
              <w:top w:val="nil"/>
              <w:left w:val="nil"/>
              <w:bottom w:val="nil"/>
              <w:right w:val="nil"/>
            </w:tcBorders>
            <w:noWrap/>
            <w:vAlign w:val="center"/>
          </w:tcPr>
          <w:p w14:paraId="45177B8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0.899159663865546</w:t>
            </w:r>
          </w:p>
        </w:tc>
        <w:tc>
          <w:tcPr>
            <w:tcW w:w="579" w:type="pct"/>
            <w:tcBorders>
              <w:top w:val="nil"/>
              <w:left w:val="nil"/>
              <w:bottom w:val="nil"/>
              <w:right w:val="nil"/>
            </w:tcBorders>
            <w:noWrap/>
            <w:vAlign w:val="center"/>
          </w:tcPr>
          <w:p w14:paraId="30EB4D9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0.947115384615385</w:t>
            </w:r>
          </w:p>
        </w:tc>
        <w:tc>
          <w:tcPr>
            <w:tcW w:w="747" w:type="pct"/>
            <w:tcBorders>
              <w:top w:val="nil"/>
              <w:left w:val="nil"/>
              <w:bottom w:val="nil"/>
              <w:right w:val="nil"/>
            </w:tcBorders>
            <w:noWrap/>
            <w:vAlign w:val="center"/>
          </w:tcPr>
          <w:p w14:paraId="4E0CD91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0.857113646587331</w:t>
            </w:r>
          </w:p>
        </w:tc>
      </w:tr>
      <w:tr w14:paraId="4AB6DE4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4" w:type="pct"/>
            <w:tcBorders>
              <w:top w:val="nil"/>
              <w:left w:val="nil"/>
              <w:right w:val="nil"/>
            </w:tcBorders>
            <w:noWrap/>
            <w:vAlign w:val="center"/>
          </w:tcPr>
          <w:p w14:paraId="6CF973B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LightGBM</w:t>
            </w:r>
          </w:p>
        </w:tc>
        <w:tc>
          <w:tcPr>
            <w:tcW w:w="627" w:type="pct"/>
            <w:tcBorders>
              <w:top w:val="nil"/>
              <w:left w:val="nil"/>
              <w:right w:val="nil"/>
            </w:tcBorders>
            <w:noWrap/>
            <w:vAlign w:val="center"/>
          </w:tcPr>
          <w:p w14:paraId="38D870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0.937799043062201</w:t>
            </w:r>
          </w:p>
        </w:tc>
        <w:tc>
          <w:tcPr>
            <w:tcW w:w="731" w:type="pct"/>
            <w:tcBorders>
              <w:top w:val="nil"/>
              <w:left w:val="nil"/>
              <w:right w:val="nil"/>
            </w:tcBorders>
            <w:noWrap/>
            <w:vAlign w:val="center"/>
          </w:tcPr>
          <w:p w14:paraId="625DA3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0.888888888888889</w:t>
            </w:r>
          </w:p>
        </w:tc>
        <w:tc>
          <w:tcPr>
            <w:tcW w:w="579" w:type="pct"/>
            <w:tcBorders>
              <w:top w:val="nil"/>
              <w:left w:val="nil"/>
              <w:right w:val="nil"/>
            </w:tcBorders>
            <w:noWrap/>
            <w:vAlign w:val="center"/>
          </w:tcPr>
          <w:p w14:paraId="3D5045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0.920245398773006</w:t>
            </w:r>
          </w:p>
        </w:tc>
        <w:tc>
          <w:tcPr>
            <w:tcW w:w="579" w:type="pct"/>
            <w:tcBorders>
              <w:top w:val="nil"/>
              <w:left w:val="nil"/>
              <w:right w:val="nil"/>
            </w:tcBorders>
            <w:noWrap/>
            <w:vAlign w:val="center"/>
          </w:tcPr>
          <w:p w14:paraId="4B76EF8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0.937799043062201</w:t>
            </w:r>
          </w:p>
        </w:tc>
        <w:tc>
          <w:tcPr>
            <w:tcW w:w="579" w:type="pct"/>
            <w:tcBorders>
              <w:top w:val="nil"/>
              <w:left w:val="nil"/>
              <w:right w:val="nil"/>
            </w:tcBorders>
            <w:noWrap/>
            <w:vAlign w:val="center"/>
          </w:tcPr>
          <w:p w14:paraId="2CCED62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0.888888888888889</w:t>
            </w:r>
          </w:p>
        </w:tc>
        <w:tc>
          <w:tcPr>
            <w:tcW w:w="579" w:type="pct"/>
            <w:tcBorders>
              <w:top w:val="nil"/>
              <w:left w:val="nil"/>
              <w:right w:val="nil"/>
            </w:tcBorders>
            <w:noWrap/>
            <w:vAlign w:val="center"/>
          </w:tcPr>
          <w:p w14:paraId="15FB133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0.937799043062201</w:t>
            </w:r>
          </w:p>
        </w:tc>
        <w:tc>
          <w:tcPr>
            <w:tcW w:w="747" w:type="pct"/>
            <w:tcBorders>
              <w:top w:val="nil"/>
              <w:left w:val="nil"/>
              <w:right w:val="nil"/>
            </w:tcBorders>
            <w:noWrap/>
            <w:vAlign w:val="center"/>
          </w:tcPr>
          <w:p w14:paraId="5C1C74B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0.82668793195109</w:t>
            </w:r>
          </w:p>
        </w:tc>
      </w:tr>
    </w:tbl>
    <w:p w14:paraId="647B5543"/>
    <w:p w14:paraId="6A82E000">
      <w:r>
        <w:rPr>
          <w:rFonts w:hint="eastAsia" w:ascii="Times New Roman" w:hAnsi="Times New Roman"/>
          <w:sz w:val="24"/>
        </w:rPr>
        <w:t>Table S9. Performance of machine learning models based on control group and SA as classification criteria.</w:t>
      </w:r>
    </w:p>
    <w:tbl>
      <w:tblPr>
        <w:tblStyle w:val="2"/>
        <w:tblW w:w="5254"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8"/>
        <w:gridCol w:w="1192"/>
        <w:gridCol w:w="1200"/>
        <w:gridCol w:w="1070"/>
        <w:gridCol w:w="1071"/>
        <w:gridCol w:w="1071"/>
        <w:gridCol w:w="1071"/>
        <w:gridCol w:w="1071"/>
      </w:tblGrid>
      <w:tr w14:paraId="022C48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left w:val="nil"/>
              <w:bottom w:val="single" w:color="auto" w:sz="4" w:space="0"/>
              <w:right w:val="nil"/>
            </w:tcBorders>
            <w:noWrap/>
            <w:vAlign w:val="center"/>
          </w:tcPr>
          <w:p w14:paraId="39D85916">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Models</w:t>
            </w:r>
          </w:p>
        </w:tc>
        <w:tc>
          <w:tcPr>
            <w:tcW w:w="665" w:type="pct"/>
            <w:tcBorders>
              <w:left w:val="nil"/>
              <w:bottom w:val="single" w:color="auto" w:sz="4" w:space="0"/>
              <w:right w:val="nil"/>
            </w:tcBorders>
            <w:noWrap/>
            <w:vAlign w:val="center"/>
          </w:tcPr>
          <w:p w14:paraId="3BDE68D9">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Sensitivity</w:t>
            </w:r>
          </w:p>
        </w:tc>
        <w:tc>
          <w:tcPr>
            <w:tcW w:w="670" w:type="pct"/>
            <w:tcBorders>
              <w:left w:val="nil"/>
              <w:bottom w:val="single" w:color="auto" w:sz="4" w:space="0"/>
              <w:right w:val="nil"/>
            </w:tcBorders>
            <w:noWrap/>
            <w:vAlign w:val="center"/>
          </w:tcPr>
          <w:p w14:paraId="5E692E16">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Specificity</w:t>
            </w:r>
          </w:p>
        </w:tc>
        <w:tc>
          <w:tcPr>
            <w:tcW w:w="597" w:type="pct"/>
            <w:tcBorders>
              <w:left w:val="nil"/>
              <w:bottom w:val="single" w:color="auto" w:sz="4" w:space="0"/>
              <w:right w:val="nil"/>
            </w:tcBorders>
            <w:noWrap/>
            <w:vAlign w:val="center"/>
          </w:tcPr>
          <w:p w14:paraId="0419F95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Accuracy</w:t>
            </w:r>
          </w:p>
        </w:tc>
        <w:tc>
          <w:tcPr>
            <w:tcW w:w="597" w:type="pct"/>
            <w:tcBorders>
              <w:left w:val="nil"/>
              <w:bottom w:val="single" w:color="auto" w:sz="4" w:space="0"/>
              <w:right w:val="nil"/>
            </w:tcBorders>
            <w:noWrap/>
            <w:vAlign w:val="center"/>
          </w:tcPr>
          <w:p w14:paraId="737FD91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PPV</w:t>
            </w:r>
          </w:p>
        </w:tc>
        <w:tc>
          <w:tcPr>
            <w:tcW w:w="597" w:type="pct"/>
            <w:tcBorders>
              <w:left w:val="nil"/>
              <w:bottom w:val="single" w:color="auto" w:sz="4" w:space="0"/>
              <w:right w:val="nil"/>
            </w:tcBorders>
            <w:noWrap/>
            <w:vAlign w:val="center"/>
          </w:tcPr>
          <w:p w14:paraId="0AB86109">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NPV</w:t>
            </w:r>
          </w:p>
        </w:tc>
        <w:tc>
          <w:tcPr>
            <w:tcW w:w="597" w:type="pct"/>
            <w:tcBorders>
              <w:left w:val="nil"/>
              <w:bottom w:val="single" w:color="auto" w:sz="4" w:space="0"/>
              <w:right w:val="nil"/>
            </w:tcBorders>
            <w:noWrap/>
            <w:vAlign w:val="center"/>
          </w:tcPr>
          <w:p w14:paraId="5E6F5EB9">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F1</w:t>
            </w:r>
          </w:p>
        </w:tc>
        <w:tc>
          <w:tcPr>
            <w:tcW w:w="597" w:type="pct"/>
            <w:tcBorders>
              <w:left w:val="nil"/>
              <w:bottom w:val="single" w:color="auto" w:sz="4" w:space="0"/>
              <w:right w:val="nil"/>
            </w:tcBorders>
            <w:noWrap/>
            <w:vAlign w:val="center"/>
          </w:tcPr>
          <w:p w14:paraId="7191D1D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Youden's index</w:t>
            </w:r>
          </w:p>
        </w:tc>
      </w:tr>
      <w:tr w14:paraId="17330F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single" w:color="auto" w:sz="4" w:space="0"/>
              <w:left w:val="nil"/>
              <w:bottom w:val="nil"/>
              <w:right w:val="nil"/>
            </w:tcBorders>
            <w:noWrap/>
            <w:vAlign w:val="center"/>
          </w:tcPr>
          <w:p w14:paraId="77DB9D2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RandomForest</w:t>
            </w:r>
          </w:p>
        </w:tc>
        <w:tc>
          <w:tcPr>
            <w:tcW w:w="665" w:type="pct"/>
            <w:tcBorders>
              <w:top w:val="single" w:color="auto" w:sz="4" w:space="0"/>
              <w:left w:val="nil"/>
              <w:bottom w:val="nil"/>
              <w:right w:val="nil"/>
            </w:tcBorders>
            <w:noWrap/>
            <w:vAlign w:val="center"/>
          </w:tcPr>
          <w:p w14:paraId="3F29CBD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0.923728813559322</w:t>
            </w:r>
          </w:p>
        </w:tc>
        <w:tc>
          <w:tcPr>
            <w:tcW w:w="670" w:type="pct"/>
            <w:tcBorders>
              <w:top w:val="single" w:color="auto" w:sz="4" w:space="0"/>
              <w:left w:val="nil"/>
              <w:bottom w:val="nil"/>
              <w:right w:val="nil"/>
            </w:tcBorders>
            <w:noWrap/>
            <w:vAlign w:val="center"/>
          </w:tcPr>
          <w:p w14:paraId="417D2D9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single" w:color="auto" w:sz="4" w:space="0"/>
              <w:left w:val="nil"/>
              <w:bottom w:val="nil"/>
              <w:right w:val="nil"/>
            </w:tcBorders>
            <w:noWrap/>
            <w:vAlign w:val="center"/>
          </w:tcPr>
          <w:p w14:paraId="7A4B3F8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0.914893617021277</w:t>
            </w:r>
          </w:p>
        </w:tc>
        <w:tc>
          <w:tcPr>
            <w:tcW w:w="597" w:type="pct"/>
            <w:tcBorders>
              <w:top w:val="single" w:color="auto" w:sz="4" w:space="0"/>
              <w:left w:val="nil"/>
              <w:bottom w:val="nil"/>
              <w:right w:val="nil"/>
            </w:tcBorders>
            <w:noWrap/>
            <w:vAlign w:val="center"/>
          </w:tcPr>
          <w:p w14:paraId="33D08B3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0.908333333333333</w:t>
            </w:r>
          </w:p>
        </w:tc>
        <w:tc>
          <w:tcPr>
            <w:tcW w:w="597" w:type="pct"/>
            <w:tcBorders>
              <w:top w:val="single" w:color="auto" w:sz="4" w:space="0"/>
              <w:left w:val="nil"/>
              <w:bottom w:val="nil"/>
              <w:right w:val="nil"/>
            </w:tcBorders>
            <w:noWrap/>
            <w:vAlign w:val="center"/>
          </w:tcPr>
          <w:p w14:paraId="627A665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0.921739130434783</w:t>
            </w:r>
          </w:p>
        </w:tc>
        <w:tc>
          <w:tcPr>
            <w:tcW w:w="597" w:type="pct"/>
            <w:tcBorders>
              <w:top w:val="single" w:color="auto" w:sz="4" w:space="0"/>
              <w:left w:val="nil"/>
              <w:bottom w:val="nil"/>
              <w:right w:val="nil"/>
            </w:tcBorders>
            <w:noWrap/>
            <w:vAlign w:val="center"/>
          </w:tcPr>
          <w:p w14:paraId="0CB621B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0.915966386554622</w:t>
            </w:r>
          </w:p>
        </w:tc>
        <w:tc>
          <w:tcPr>
            <w:tcW w:w="597" w:type="pct"/>
            <w:tcBorders>
              <w:top w:val="single" w:color="auto" w:sz="4" w:space="0"/>
              <w:left w:val="nil"/>
              <w:bottom w:val="nil"/>
              <w:right w:val="nil"/>
            </w:tcBorders>
            <w:noWrap/>
            <w:vAlign w:val="center"/>
          </w:tcPr>
          <w:p w14:paraId="4238C6E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0.829711719542228</w:t>
            </w:r>
          </w:p>
        </w:tc>
      </w:tr>
      <w:tr w14:paraId="6884446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1CE14A4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SVM_Kernel</w:t>
            </w:r>
          </w:p>
        </w:tc>
        <w:tc>
          <w:tcPr>
            <w:tcW w:w="665" w:type="pct"/>
            <w:tcBorders>
              <w:top w:val="nil"/>
              <w:left w:val="nil"/>
              <w:bottom w:val="nil"/>
              <w:right w:val="nil"/>
            </w:tcBorders>
            <w:noWrap/>
            <w:vAlign w:val="center"/>
          </w:tcPr>
          <w:p w14:paraId="09EAC04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0.915254237288136</w:t>
            </w:r>
          </w:p>
        </w:tc>
        <w:tc>
          <w:tcPr>
            <w:tcW w:w="670" w:type="pct"/>
            <w:tcBorders>
              <w:top w:val="nil"/>
              <w:left w:val="nil"/>
              <w:bottom w:val="nil"/>
              <w:right w:val="nil"/>
            </w:tcBorders>
            <w:noWrap/>
            <w:vAlign w:val="center"/>
          </w:tcPr>
          <w:p w14:paraId="0DDE8E9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2E116FA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0.91063829787234</w:t>
            </w:r>
          </w:p>
        </w:tc>
        <w:tc>
          <w:tcPr>
            <w:tcW w:w="597" w:type="pct"/>
            <w:tcBorders>
              <w:top w:val="nil"/>
              <w:left w:val="nil"/>
              <w:bottom w:val="nil"/>
              <w:right w:val="nil"/>
            </w:tcBorders>
            <w:noWrap/>
            <w:vAlign w:val="center"/>
          </w:tcPr>
          <w:p w14:paraId="6DF44A7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0.907563025210084</w:t>
            </w:r>
          </w:p>
        </w:tc>
        <w:tc>
          <w:tcPr>
            <w:tcW w:w="597" w:type="pct"/>
            <w:tcBorders>
              <w:top w:val="nil"/>
              <w:left w:val="nil"/>
              <w:bottom w:val="nil"/>
              <w:right w:val="nil"/>
            </w:tcBorders>
            <w:noWrap/>
            <w:vAlign w:val="center"/>
          </w:tcPr>
          <w:p w14:paraId="4FDA261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0.913793103448276</w:t>
            </w:r>
          </w:p>
        </w:tc>
        <w:tc>
          <w:tcPr>
            <w:tcW w:w="597" w:type="pct"/>
            <w:tcBorders>
              <w:top w:val="nil"/>
              <w:left w:val="nil"/>
              <w:bottom w:val="nil"/>
              <w:right w:val="nil"/>
            </w:tcBorders>
            <w:noWrap/>
            <w:vAlign w:val="center"/>
          </w:tcPr>
          <w:p w14:paraId="7EF48FF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0.911392405063291</w:t>
            </w:r>
          </w:p>
        </w:tc>
        <w:tc>
          <w:tcPr>
            <w:tcW w:w="597" w:type="pct"/>
            <w:tcBorders>
              <w:top w:val="nil"/>
              <w:left w:val="nil"/>
              <w:bottom w:val="nil"/>
              <w:right w:val="nil"/>
            </w:tcBorders>
            <w:noWrap/>
            <w:vAlign w:val="center"/>
          </w:tcPr>
          <w:p w14:paraId="0744768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0.821237143271042</w:t>
            </w:r>
          </w:p>
        </w:tc>
      </w:tr>
      <w:tr w14:paraId="601D22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35410D1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LogisticModel</w:t>
            </w:r>
          </w:p>
        </w:tc>
        <w:tc>
          <w:tcPr>
            <w:tcW w:w="665" w:type="pct"/>
            <w:tcBorders>
              <w:top w:val="nil"/>
              <w:left w:val="nil"/>
              <w:bottom w:val="nil"/>
              <w:right w:val="nil"/>
            </w:tcBorders>
            <w:noWrap/>
            <w:vAlign w:val="center"/>
          </w:tcPr>
          <w:p w14:paraId="1B9F235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0.906779661016949</w:t>
            </w:r>
          </w:p>
        </w:tc>
        <w:tc>
          <w:tcPr>
            <w:tcW w:w="670" w:type="pct"/>
            <w:tcBorders>
              <w:top w:val="nil"/>
              <w:left w:val="nil"/>
              <w:bottom w:val="nil"/>
              <w:right w:val="nil"/>
            </w:tcBorders>
            <w:noWrap/>
            <w:vAlign w:val="center"/>
          </w:tcPr>
          <w:p w14:paraId="431C66A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3399D8A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0.906382978723404</w:t>
            </w:r>
          </w:p>
        </w:tc>
        <w:tc>
          <w:tcPr>
            <w:tcW w:w="597" w:type="pct"/>
            <w:tcBorders>
              <w:top w:val="nil"/>
              <w:left w:val="nil"/>
              <w:bottom w:val="nil"/>
              <w:right w:val="nil"/>
            </w:tcBorders>
            <w:noWrap/>
            <w:vAlign w:val="center"/>
          </w:tcPr>
          <w:p w14:paraId="301A227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0.906779661016949</w:t>
            </w:r>
          </w:p>
        </w:tc>
        <w:tc>
          <w:tcPr>
            <w:tcW w:w="597" w:type="pct"/>
            <w:tcBorders>
              <w:top w:val="nil"/>
              <w:left w:val="nil"/>
              <w:bottom w:val="nil"/>
              <w:right w:val="nil"/>
            </w:tcBorders>
            <w:noWrap/>
            <w:vAlign w:val="center"/>
          </w:tcPr>
          <w:p w14:paraId="75A8085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4A55C44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0.906779661016949</w:t>
            </w:r>
          </w:p>
        </w:tc>
        <w:tc>
          <w:tcPr>
            <w:tcW w:w="597" w:type="pct"/>
            <w:tcBorders>
              <w:top w:val="nil"/>
              <w:left w:val="nil"/>
              <w:bottom w:val="nil"/>
              <w:right w:val="nil"/>
            </w:tcBorders>
            <w:noWrap/>
            <w:vAlign w:val="center"/>
          </w:tcPr>
          <w:p w14:paraId="5757D89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0.812762566999855</w:t>
            </w:r>
          </w:p>
        </w:tc>
      </w:tr>
      <w:tr w14:paraId="53B4B7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58B8B636">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NeighborMethod</w:t>
            </w:r>
          </w:p>
        </w:tc>
        <w:tc>
          <w:tcPr>
            <w:tcW w:w="665" w:type="pct"/>
            <w:tcBorders>
              <w:top w:val="nil"/>
              <w:left w:val="nil"/>
              <w:bottom w:val="nil"/>
              <w:right w:val="nil"/>
            </w:tcBorders>
            <w:noWrap/>
            <w:vAlign w:val="center"/>
          </w:tcPr>
          <w:p w14:paraId="41332D3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0.669491525423729</w:t>
            </w:r>
          </w:p>
        </w:tc>
        <w:tc>
          <w:tcPr>
            <w:tcW w:w="670" w:type="pct"/>
            <w:tcBorders>
              <w:top w:val="nil"/>
              <w:left w:val="nil"/>
              <w:bottom w:val="nil"/>
              <w:right w:val="nil"/>
            </w:tcBorders>
            <w:noWrap/>
            <w:vAlign w:val="center"/>
          </w:tcPr>
          <w:p w14:paraId="6359F9D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0.863247863247863</w:t>
            </w:r>
          </w:p>
        </w:tc>
        <w:tc>
          <w:tcPr>
            <w:tcW w:w="597" w:type="pct"/>
            <w:tcBorders>
              <w:top w:val="nil"/>
              <w:left w:val="nil"/>
              <w:bottom w:val="nil"/>
              <w:right w:val="nil"/>
            </w:tcBorders>
            <w:noWrap/>
            <w:vAlign w:val="center"/>
          </w:tcPr>
          <w:p w14:paraId="0DD2475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0.765957446808511</w:t>
            </w:r>
          </w:p>
        </w:tc>
        <w:tc>
          <w:tcPr>
            <w:tcW w:w="597" w:type="pct"/>
            <w:tcBorders>
              <w:top w:val="nil"/>
              <w:left w:val="nil"/>
              <w:bottom w:val="nil"/>
              <w:right w:val="nil"/>
            </w:tcBorders>
            <w:noWrap/>
            <w:vAlign w:val="center"/>
          </w:tcPr>
          <w:p w14:paraId="5707516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0.831578947368421</w:t>
            </w:r>
          </w:p>
        </w:tc>
        <w:tc>
          <w:tcPr>
            <w:tcW w:w="597" w:type="pct"/>
            <w:tcBorders>
              <w:top w:val="nil"/>
              <w:left w:val="nil"/>
              <w:bottom w:val="nil"/>
              <w:right w:val="nil"/>
            </w:tcBorders>
            <w:noWrap/>
            <w:vAlign w:val="center"/>
          </w:tcPr>
          <w:p w14:paraId="4EC9FDB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0.721428571428571</w:t>
            </w:r>
          </w:p>
        </w:tc>
        <w:tc>
          <w:tcPr>
            <w:tcW w:w="597" w:type="pct"/>
            <w:tcBorders>
              <w:top w:val="nil"/>
              <w:left w:val="nil"/>
              <w:bottom w:val="nil"/>
              <w:right w:val="nil"/>
            </w:tcBorders>
            <w:noWrap/>
            <w:vAlign w:val="center"/>
          </w:tcPr>
          <w:p w14:paraId="3616F22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0.741784037558686</w:t>
            </w:r>
          </w:p>
        </w:tc>
        <w:tc>
          <w:tcPr>
            <w:tcW w:w="597" w:type="pct"/>
            <w:tcBorders>
              <w:top w:val="nil"/>
              <w:left w:val="nil"/>
              <w:bottom w:val="nil"/>
              <w:right w:val="nil"/>
            </w:tcBorders>
            <w:noWrap/>
            <w:vAlign w:val="center"/>
          </w:tcPr>
          <w:p w14:paraId="295597F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0.532739388671592</w:t>
            </w:r>
          </w:p>
        </w:tc>
      </w:tr>
      <w:tr w14:paraId="156DD7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56EF92B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PLSModel</w:t>
            </w:r>
          </w:p>
        </w:tc>
        <w:tc>
          <w:tcPr>
            <w:tcW w:w="665" w:type="pct"/>
            <w:tcBorders>
              <w:top w:val="nil"/>
              <w:left w:val="nil"/>
              <w:bottom w:val="nil"/>
              <w:right w:val="nil"/>
            </w:tcBorders>
            <w:noWrap/>
            <w:vAlign w:val="center"/>
          </w:tcPr>
          <w:p w14:paraId="3FDD718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0.822033898305085</w:t>
            </w:r>
          </w:p>
        </w:tc>
        <w:tc>
          <w:tcPr>
            <w:tcW w:w="670" w:type="pct"/>
            <w:tcBorders>
              <w:top w:val="nil"/>
              <w:left w:val="nil"/>
              <w:bottom w:val="nil"/>
              <w:right w:val="nil"/>
            </w:tcBorders>
            <w:noWrap/>
            <w:vAlign w:val="center"/>
          </w:tcPr>
          <w:p w14:paraId="2D59B84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0.854700854700855</w:t>
            </w:r>
          </w:p>
        </w:tc>
        <w:tc>
          <w:tcPr>
            <w:tcW w:w="597" w:type="pct"/>
            <w:tcBorders>
              <w:top w:val="nil"/>
              <w:left w:val="nil"/>
              <w:bottom w:val="nil"/>
              <w:right w:val="nil"/>
            </w:tcBorders>
            <w:noWrap/>
            <w:vAlign w:val="center"/>
          </w:tcPr>
          <w:p w14:paraId="65FEC937">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0.838297872340426</w:t>
            </w:r>
          </w:p>
        </w:tc>
        <w:tc>
          <w:tcPr>
            <w:tcW w:w="597" w:type="pct"/>
            <w:tcBorders>
              <w:top w:val="nil"/>
              <w:left w:val="nil"/>
              <w:bottom w:val="nil"/>
              <w:right w:val="nil"/>
            </w:tcBorders>
            <w:noWrap/>
            <w:vAlign w:val="center"/>
          </w:tcPr>
          <w:p w14:paraId="7A7A2BE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0.850877192982456</w:t>
            </w:r>
          </w:p>
        </w:tc>
        <w:tc>
          <w:tcPr>
            <w:tcW w:w="597" w:type="pct"/>
            <w:tcBorders>
              <w:top w:val="nil"/>
              <w:left w:val="nil"/>
              <w:bottom w:val="nil"/>
              <w:right w:val="nil"/>
            </w:tcBorders>
            <w:noWrap/>
            <w:vAlign w:val="center"/>
          </w:tcPr>
          <w:p w14:paraId="3BF23BF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0.826446280991736</w:t>
            </w:r>
          </w:p>
        </w:tc>
        <w:tc>
          <w:tcPr>
            <w:tcW w:w="597" w:type="pct"/>
            <w:tcBorders>
              <w:top w:val="nil"/>
              <w:left w:val="nil"/>
              <w:bottom w:val="nil"/>
              <w:right w:val="nil"/>
            </w:tcBorders>
            <w:noWrap/>
            <w:vAlign w:val="center"/>
          </w:tcPr>
          <w:p w14:paraId="56F35BD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0.836206896551724</w:t>
            </w:r>
          </w:p>
        </w:tc>
        <w:tc>
          <w:tcPr>
            <w:tcW w:w="597" w:type="pct"/>
            <w:tcBorders>
              <w:top w:val="nil"/>
              <w:left w:val="nil"/>
              <w:bottom w:val="nil"/>
              <w:right w:val="nil"/>
            </w:tcBorders>
            <w:noWrap/>
            <w:vAlign w:val="center"/>
          </w:tcPr>
          <w:p w14:paraId="5117B45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0.67673475300594</w:t>
            </w:r>
          </w:p>
        </w:tc>
      </w:tr>
      <w:tr w14:paraId="549E67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31E5B3D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BoostingMethod</w:t>
            </w:r>
          </w:p>
        </w:tc>
        <w:tc>
          <w:tcPr>
            <w:tcW w:w="665" w:type="pct"/>
            <w:tcBorders>
              <w:top w:val="nil"/>
              <w:left w:val="nil"/>
              <w:bottom w:val="nil"/>
              <w:right w:val="nil"/>
            </w:tcBorders>
            <w:noWrap/>
            <w:vAlign w:val="center"/>
          </w:tcPr>
          <w:p w14:paraId="54302F2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0.898305084745763</w:t>
            </w:r>
          </w:p>
        </w:tc>
        <w:tc>
          <w:tcPr>
            <w:tcW w:w="670" w:type="pct"/>
            <w:tcBorders>
              <w:top w:val="nil"/>
              <w:left w:val="nil"/>
              <w:bottom w:val="nil"/>
              <w:right w:val="nil"/>
            </w:tcBorders>
            <w:noWrap/>
            <w:vAlign w:val="center"/>
          </w:tcPr>
          <w:p w14:paraId="578E611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0C2F420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0.902127659574468</w:t>
            </w:r>
          </w:p>
        </w:tc>
        <w:tc>
          <w:tcPr>
            <w:tcW w:w="597" w:type="pct"/>
            <w:tcBorders>
              <w:top w:val="nil"/>
              <w:left w:val="nil"/>
              <w:bottom w:val="nil"/>
              <w:right w:val="nil"/>
            </w:tcBorders>
            <w:noWrap/>
            <w:vAlign w:val="center"/>
          </w:tcPr>
          <w:p w14:paraId="0C044FB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1C723B0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0.898305084745763</w:t>
            </w:r>
          </w:p>
        </w:tc>
        <w:tc>
          <w:tcPr>
            <w:tcW w:w="597" w:type="pct"/>
            <w:tcBorders>
              <w:top w:val="nil"/>
              <w:left w:val="nil"/>
              <w:bottom w:val="nil"/>
              <w:right w:val="nil"/>
            </w:tcBorders>
            <w:noWrap/>
            <w:vAlign w:val="center"/>
          </w:tcPr>
          <w:p w14:paraId="654E58F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0.902127659574468</w:t>
            </w:r>
          </w:p>
        </w:tc>
        <w:tc>
          <w:tcPr>
            <w:tcW w:w="597" w:type="pct"/>
            <w:tcBorders>
              <w:top w:val="nil"/>
              <w:left w:val="nil"/>
              <w:bottom w:val="nil"/>
              <w:right w:val="nil"/>
            </w:tcBorders>
            <w:noWrap/>
            <w:vAlign w:val="center"/>
          </w:tcPr>
          <w:p w14:paraId="09B735FA">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0.804287990728669</w:t>
            </w:r>
          </w:p>
        </w:tc>
      </w:tr>
      <w:tr w14:paraId="5C38EAA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5BE8FB6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NeuralNet</w:t>
            </w:r>
          </w:p>
        </w:tc>
        <w:tc>
          <w:tcPr>
            <w:tcW w:w="665" w:type="pct"/>
            <w:tcBorders>
              <w:top w:val="nil"/>
              <w:left w:val="nil"/>
              <w:bottom w:val="nil"/>
              <w:right w:val="nil"/>
            </w:tcBorders>
            <w:noWrap/>
            <w:vAlign w:val="center"/>
          </w:tcPr>
          <w:p w14:paraId="1401279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0.898305084745763</w:t>
            </w:r>
          </w:p>
        </w:tc>
        <w:tc>
          <w:tcPr>
            <w:tcW w:w="670" w:type="pct"/>
            <w:tcBorders>
              <w:top w:val="nil"/>
              <w:left w:val="nil"/>
              <w:bottom w:val="nil"/>
              <w:right w:val="nil"/>
            </w:tcBorders>
            <w:noWrap/>
            <w:vAlign w:val="center"/>
          </w:tcPr>
          <w:p w14:paraId="0B5778F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0.863247863247863</w:t>
            </w:r>
          </w:p>
        </w:tc>
        <w:tc>
          <w:tcPr>
            <w:tcW w:w="597" w:type="pct"/>
            <w:tcBorders>
              <w:top w:val="nil"/>
              <w:left w:val="nil"/>
              <w:bottom w:val="nil"/>
              <w:right w:val="nil"/>
            </w:tcBorders>
            <w:noWrap/>
            <w:vAlign w:val="center"/>
          </w:tcPr>
          <w:p w14:paraId="35C7367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0.880851063829787</w:t>
            </w:r>
          </w:p>
        </w:tc>
        <w:tc>
          <w:tcPr>
            <w:tcW w:w="597" w:type="pct"/>
            <w:tcBorders>
              <w:top w:val="nil"/>
              <w:left w:val="nil"/>
              <w:bottom w:val="nil"/>
              <w:right w:val="nil"/>
            </w:tcBorders>
            <w:noWrap/>
            <w:vAlign w:val="center"/>
          </w:tcPr>
          <w:p w14:paraId="3680BA8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0.868852459016393</w:t>
            </w:r>
          </w:p>
        </w:tc>
        <w:tc>
          <w:tcPr>
            <w:tcW w:w="597" w:type="pct"/>
            <w:tcBorders>
              <w:top w:val="nil"/>
              <w:left w:val="nil"/>
              <w:bottom w:val="nil"/>
              <w:right w:val="nil"/>
            </w:tcBorders>
            <w:noWrap/>
            <w:vAlign w:val="center"/>
          </w:tcPr>
          <w:p w14:paraId="037FFA2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0.893805309734513</w:t>
            </w:r>
          </w:p>
        </w:tc>
        <w:tc>
          <w:tcPr>
            <w:tcW w:w="597" w:type="pct"/>
            <w:tcBorders>
              <w:top w:val="nil"/>
              <w:left w:val="nil"/>
              <w:bottom w:val="nil"/>
              <w:right w:val="nil"/>
            </w:tcBorders>
            <w:noWrap/>
            <w:vAlign w:val="center"/>
          </w:tcPr>
          <w:p w14:paraId="5FAD47D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0.883333333333333</w:t>
            </w:r>
          </w:p>
        </w:tc>
        <w:tc>
          <w:tcPr>
            <w:tcW w:w="597" w:type="pct"/>
            <w:tcBorders>
              <w:top w:val="nil"/>
              <w:left w:val="nil"/>
              <w:bottom w:val="nil"/>
              <w:right w:val="nil"/>
            </w:tcBorders>
            <w:noWrap/>
            <w:vAlign w:val="center"/>
          </w:tcPr>
          <w:p w14:paraId="15AB005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0.761552947993626</w:t>
            </w:r>
          </w:p>
        </w:tc>
      </w:tr>
      <w:tr w14:paraId="2CC3C0F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0E8E51A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BayesMethod</w:t>
            </w:r>
          </w:p>
        </w:tc>
        <w:tc>
          <w:tcPr>
            <w:tcW w:w="665" w:type="pct"/>
            <w:tcBorders>
              <w:top w:val="nil"/>
              <w:left w:val="nil"/>
              <w:bottom w:val="nil"/>
              <w:right w:val="nil"/>
            </w:tcBorders>
            <w:noWrap/>
            <w:vAlign w:val="center"/>
          </w:tcPr>
          <w:p w14:paraId="04E000E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0.76271186440678</w:t>
            </w:r>
          </w:p>
        </w:tc>
        <w:tc>
          <w:tcPr>
            <w:tcW w:w="670" w:type="pct"/>
            <w:tcBorders>
              <w:top w:val="nil"/>
              <w:left w:val="nil"/>
              <w:bottom w:val="nil"/>
              <w:right w:val="nil"/>
            </w:tcBorders>
            <w:noWrap/>
            <w:vAlign w:val="center"/>
          </w:tcPr>
          <w:p w14:paraId="208ED04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0.991452991452991</w:t>
            </w:r>
          </w:p>
        </w:tc>
        <w:tc>
          <w:tcPr>
            <w:tcW w:w="597" w:type="pct"/>
            <w:tcBorders>
              <w:top w:val="nil"/>
              <w:left w:val="nil"/>
              <w:bottom w:val="nil"/>
              <w:right w:val="nil"/>
            </w:tcBorders>
            <w:noWrap/>
            <w:vAlign w:val="center"/>
          </w:tcPr>
          <w:p w14:paraId="21D9A03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0.876595744680851</w:t>
            </w:r>
          </w:p>
        </w:tc>
        <w:tc>
          <w:tcPr>
            <w:tcW w:w="597" w:type="pct"/>
            <w:tcBorders>
              <w:top w:val="nil"/>
              <w:left w:val="nil"/>
              <w:bottom w:val="nil"/>
              <w:right w:val="nil"/>
            </w:tcBorders>
            <w:noWrap/>
            <w:vAlign w:val="center"/>
          </w:tcPr>
          <w:p w14:paraId="34E3549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0.989010989010989</w:t>
            </w:r>
          </w:p>
        </w:tc>
        <w:tc>
          <w:tcPr>
            <w:tcW w:w="597" w:type="pct"/>
            <w:tcBorders>
              <w:top w:val="nil"/>
              <w:left w:val="nil"/>
              <w:bottom w:val="nil"/>
              <w:right w:val="nil"/>
            </w:tcBorders>
            <w:noWrap/>
            <w:vAlign w:val="center"/>
          </w:tcPr>
          <w:p w14:paraId="102FED36">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0.805555555555556</w:t>
            </w:r>
          </w:p>
        </w:tc>
        <w:tc>
          <w:tcPr>
            <w:tcW w:w="597" w:type="pct"/>
            <w:tcBorders>
              <w:top w:val="nil"/>
              <w:left w:val="nil"/>
              <w:bottom w:val="nil"/>
              <w:right w:val="nil"/>
            </w:tcBorders>
            <w:noWrap/>
            <w:vAlign w:val="center"/>
          </w:tcPr>
          <w:p w14:paraId="19ABDC6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0.861244019138756</w:t>
            </w:r>
          </w:p>
        </w:tc>
        <w:tc>
          <w:tcPr>
            <w:tcW w:w="597" w:type="pct"/>
            <w:tcBorders>
              <w:top w:val="nil"/>
              <w:left w:val="nil"/>
              <w:bottom w:val="nil"/>
              <w:right w:val="nil"/>
            </w:tcBorders>
            <w:noWrap/>
            <w:vAlign w:val="center"/>
          </w:tcPr>
          <w:p w14:paraId="71322BB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0.754164855859771</w:t>
            </w:r>
          </w:p>
        </w:tc>
      </w:tr>
      <w:tr w14:paraId="2EB937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6CCF2B5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DiscriminantModel</w:t>
            </w:r>
          </w:p>
        </w:tc>
        <w:tc>
          <w:tcPr>
            <w:tcW w:w="665" w:type="pct"/>
            <w:tcBorders>
              <w:top w:val="nil"/>
              <w:left w:val="nil"/>
              <w:bottom w:val="nil"/>
              <w:right w:val="nil"/>
            </w:tcBorders>
            <w:noWrap/>
            <w:vAlign w:val="center"/>
          </w:tcPr>
          <w:p w14:paraId="62BE4706">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0.847457627118644</w:t>
            </w:r>
          </w:p>
        </w:tc>
        <w:tc>
          <w:tcPr>
            <w:tcW w:w="670" w:type="pct"/>
            <w:tcBorders>
              <w:top w:val="nil"/>
              <w:left w:val="nil"/>
              <w:bottom w:val="nil"/>
              <w:right w:val="nil"/>
            </w:tcBorders>
            <w:noWrap/>
            <w:vAlign w:val="center"/>
          </w:tcPr>
          <w:p w14:paraId="38B7A7C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0.931623931623932</w:t>
            </w:r>
          </w:p>
        </w:tc>
        <w:tc>
          <w:tcPr>
            <w:tcW w:w="597" w:type="pct"/>
            <w:tcBorders>
              <w:top w:val="nil"/>
              <w:left w:val="nil"/>
              <w:bottom w:val="nil"/>
              <w:right w:val="nil"/>
            </w:tcBorders>
            <w:noWrap/>
            <w:vAlign w:val="center"/>
          </w:tcPr>
          <w:p w14:paraId="78ACDED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0.88936170212766</w:t>
            </w:r>
          </w:p>
        </w:tc>
        <w:tc>
          <w:tcPr>
            <w:tcW w:w="597" w:type="pct"/>
            <w:tcBorders>
              <w:top w:val="nil"/>
              <w:left w:val="nil"/>
              <w:bottom w:val="nil"/>
              <w:right w:val="nil"/>
            </w:tcBorders>
            <w:noWrap/>
            <w:vAlign w:val="center"/>
          </w:tcPr>
          <w:p w14:paraId="1AED3AD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0.925925925925926</w:t>
            </w:r>
          </w:p>
        </w:tc>
        <w:tc>
          <w:tcPr>
            <w:tcW w:w="597" w:type="pct"/>
            <w:tcBorders>
              <w:top w:val="nil"/>
              <w:left w:val="nil"/>
              <w:bottom w:val="nil"/>
              <w:right w:val="nil"/>
            </w:tcBorders>
            <w:noWrap/>
            <w:vAlign w:val="center"/>
          </w:tcPr>
          <w:p w14:paraId="19F628A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0.858267716535433</w:t>
            </w:r>
          </w:p>
        </w:tc>
        <w:tc>
          <w:tcPr>
            <w:tcW w:w="597" w:type="pct"/>
            <w:tcBorders>
              <w:top w:val="nil"/>
              <w:left w:val="nil"/>
              <w:bottom w:val="nil"/>
              <w:right w:val="nil"/>
            </w:tcBorders>
            <w:noWrap/>
            <w:vAlign w:val="center"/>
          </w:tcPr>
          <w:p w14:paraId="1381BE59">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0.884955752212389</w:t>
            </w:r>
          </w:p>
        </w:tc>
        <w:tc>
          <w:tcPr>
            <w:tcW w:w="597" w:type="pct"/>
            <w:tcBorders>
              <w:top w:val="nil"/>
              <w:left w:val="nil"/>
              <w:bottom w:val="nil"/>
              <w:right w:val="nil"/>
            </w:tcBorders>
            <w:noWrap/>
            <w:vAlign w:val="center"/>
          </w:tcPr>
          <w:p w14:paraId="73701A9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0.779081558742576</w:t>
            </w:r>
          </w:p>
        </w:tc>
      </w:tr>
      <w:tr w14:paraId="0AABF4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128959CF">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Lasso</w:t>
            </w:r>
          </w:p>
        </w:tc>
        <w:tc>
          <w:tcPr>
            <w:tcW w:w="665" w:type="pct"/>
            <w:tcBorders>
              <w:top w:val="nil"/>
              <w:left w:val="nil"/>
              <w:bottom w:val="nil"/>
              <w:right w:val="nil"/>
            </w:tcBorders>
            <w:noWrap/>
            <w:vAlign w:val="center"/>
          </w:tcPr>
          <w:p w14:paraId="3A471F9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0.864406779661017</w:t>
            </w:r>
          </w:p>
        </w:tc>
        <w:tc>
          <w:tcPr>
            <w:tcW w:w="670" w:type="pct"/>
            <w:tcBorders>
              <w:top w:val="nil"/>
              <w:left w:val="nil"/>
              <w:bottom w:val="nil"/>
              <w:right w:val="nil"/>
            </w:tcBorders>
            <w:noWrap/>
            <w:vAlign w:val="center"/>
          </w:tcPr>
          <w:p w14:paraId="5593789C">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0.931623931623932</w:t>
            </w:r>
          </w:p>
        </w:tc>
        <w:tc>
          <w:tcPr>
            <w:tcW w:w="597" w:type="pct"/>
            <w:tcBorders>
              <w:top w:val="nil"/>
              <w:left w:val="nil"/>
              <w:bottom w:val="nil"/>
              <w:right w:val="nil"/>
            </w:tcBorders>
            <w:noWrap/>
            <w:vAlign w:val="center"/>
          </w:tcPr>
          <w:p w14:paraId="1586DE9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0.897872340425532</w:t>
            </w:r>
          </w:p>
        </w:tc>
        <w:tc>
          <w:tcPr>
            <w:tcW w:w="597" w:type="pct"/>
            <w:tcBorders>
              <w:top w:val="nil"/>
              <w:left w:val="nil"/>
              <w:bottom w:val="nil"/>
              <w:right w:val="nil"/>
            </w:tcBorders>
            <w:noWrap/>
            <w:vAlign w:val="center"/>
          </w:tcPr>
          <w:p w14:paraId="7215887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0.927272727272727</w:t>
            </w:r>
          </w:p>
        </w:tc>
        <w:tc>
          <w:tcPr>
            <w:tcW w:w="597" w:type="pct"/>
            <w:tcBorders>
              <w:top w:val="nil"/>
              <w:left w:val="nil"/>
              <w:bottom w:val="nil"/>
              <w:right w:val="nil"/>
            </w:tcBorders>
            <w:noWrap/>
            <w:vAlign w:val="center"/>
          </w:tcPr>
          <w:p w14:paraId="3F202520">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0.872</w:t>
            </w:r>
          </w:p>
        </w:tc>
        <w:tc>
          <w:tcPr>
            <w:tcW w:w="597" w:type="pct"/>
            <w:tcBorders>
              <w:top w:val="nil"/>
              <w:left w:val="nil"/>
              <w:bottom w:val="nil"/>
              <w:right w:val="nil"/>
            </w:tcBorders>
            <w:noWrap/>
            <w:vAlign w:val="center"/>
          </w:tcPr>
          <w:p w14:paraId="4F3D20F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0.894736842105263</w:t>
            </w:r>
          </w:p>
        </w:tc>
        <w:tc>
          <w:tcPr>
            <w:tcW w:w="597" w:type="pct"/>
            <w:tcBorders>
              <w:top w:val="nil"/>
              <w:left w:val="nil"/>
              <w:bottom w:val="nil"/>
              <w:right w:val="nil"/>
            </w:tcBorders>
            <w:noWrap/>
            <w:vAlign w:val="center"/>
          </w:tcPr>
          <w:p w14:paraId="772612CB">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0.796030711284949</w:t>
            </w:r>
          </w:p>
        </w:tc>
      </w:tr>
      <w:tr w14:paraId="677B121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01BC8064">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AdaptiveBoosting</w:t>
            </w:r>
          </w:p>
        </w:tc>
        <w:tc>
          <w:tcPr>
            <w:tcW w:w="665" w:type="pct"/>
            <w:tcBorders>
              <w:top w:val="nil"/>
              <w:left w:val="nil"/>
              <w:bottom w:val="nil"/>
              <w:right w:val="nil"/>
            </w:tcBorders>
            <w:noWrap/>
            <w:vAlign w:val="center"/>
          </w:tcPr>
          <w:p w14:paraId="37962E6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0.889830508474576</w:t>
            </w:r>
          </w:p>
        </w:tc>
        <w:tc>
          <w:tcPr>
            <w:tcW w:w="670" w:type="pct"/>
            <w:tcBorders>
              <w:top w:val="nil"/>
              <w:left w:val="nil"/>
              <w:bottom w:val="nil"/>
              <w:right w:val="nil"/>
            </w:tcBorders>
            <w:noWrap/>
            <w:vAlign w:val="center"/>
          </w:tcPr>
          <w:p w14:paraId="177E25F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0.905982905982906</w:t>
            </w:r>
          </w:p>
        </w:tc>
        <w:tc>
          <w:tcPr>
            <w:tcW w:w="597" w:type="pct"/>
            <w:tcBorders>
              <w:top w:val="nil"/>
              <w:left w:val="nil"/>
              <w:bottom w:val="nil"/>
              <w:right w:val="nil"/>
            </w:tcBorders>
            <w:noWrap/>
            <w:vAlign w:val="center"/>
          </w:tcPr>
          <w:p w14:paraId="5D8366B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0.897872340425532</w:t>
            </w:r>
          </w:p>
        </w:tc>
        <w:tc>
          <w:tcPr>
            <w:tcW w:w="597" w:type="pct"/>
            <w:tcBorders>
              <w:top w:val="nil"/>
              <w:left w:val="nil"/>
              <w:bottom w:val="nil"/>
              <w:right w:val="nil"/>
            </w:tcBorders>
            <w:noWrap/>
            <w:vAlign w:val="center"/>
          </w:tcPr>
          <w:p w14:paraId="15079F12">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0.905172413793103</w:t>
            </w:r>
          </w:p>
        </w:tc>
        <w:tc>
          <w:tcPr>
            <w:tcW w:w="597" w:type="pct"/>
            <w:tcBorders>
              <w:top w:val="nil"/>
              <w:left w:val="nil"/>
              <w:bottom w:val="nil"/>
              <w:right w:val="nil"/>
            </w:tcBorders>
            <w:noWrap/>
            <w:vAlign w:val="center"/>
          </w:tcPr>
          <w:p w14:paraId="606E384C">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0.890756302521008</w:t>
            </w:r>
          </w:p>
        </w:tc>
        <w:tc>
          <w:tcPr>
            <w:tcW w:w="597" w:type="pct"/>
            <w:tcBorders>
              <w:top w:val="nil"/>
              <w:left w:val="nil"/>
              <w:bottom w:val="nil"/>
              <w:right w:val="nil"/>
            </w:tcBorders>
            <w:noWrap/>
            <w:vAlign w:val="center"/>
          </w:tcPr>
          <w:p w14:paraId="7F72B5B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0.897435897435897</w:t>
            </w:r>
          </w:p>
        </w:tc>
        <w:tc>
          <w:tcPr>
            <w:tcW w:w="597" w:type="pct"/>
            <w:tcBorders>
              <w:top w:val="nil"/>
              <w:left w:val="nil"/>
              <w:bottom w:val="nil"/>
              <w:right w:val="nil"/>
            </w:tcBorders>
            <w:noWrap/>
            <w:vAlign w:val="center"/>
          </w:tcPr>
          <w:p w14:paraId="6EB316B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0.795813414457482</w:t>
            </w:r>
          </w:p>
        </w:tc>
      </w:tr>
      <w:tr w14:paraId="1403FF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bottom w:val="nil"/>
              <w:right w:val="nil"/>
            </w:tcBorders>
            <w:noWrap/>
            <w:vAlign w:val="center"/>
          </w:tcPr>
          <w:p w14:paraId="7772E62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CATBoost</w:t>
            </w:r>
          </w:p>
        </w:tc>
        <w:tc>
          <w:tcPr>
            <w:tcW w:w="665" w:type="pct"/>
            <w:tcBorders>
              <w:top w:val="nil"/>
              <w:left w:val="nil"/>
              <w:bottom w:val="nil"/>
              <w:right w:val="nil"/>
            </w:tcBorders>
            <w:noWrap/>
            <w:vAlign w:val="center"/>
          </w:tcPr>
          <w:p w14:paraId="0DF5786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0.915254237288136</w:t>
            </w:r>
          </w:p>
        </w:tc>
        <w:tc>
          <w:tcPr>
            <w:tcW w:w="670" w:type="pct"/>
            <w:tcBorders>
              <w:top w:val="nil"/>
              <w:left w:val="nil"/>
              <w:bottom w:val="nil"/>
              <w:right w:val="nil"/>
            </w:tcBorders>
            <w:noWrap/>
            <w:vAlign w:val="center"/>
          </w:tcPr>
          <w:p w14:paraId="1D18233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0.931623931623932</w:t>
            </w:r>
          </w:p>
        </w:tc>
        <w:tc>
          <w:tcPr>
            <w:tcW w:w="597" w:type="pct"/>
            <w:tcBorders>
              <w:top w:val="nil"/>
              <w:left w:val="nil"/>
              <w:bottom w:val="nil"/>
              <w:right w:val="nil"/>
            </w:tcBorders>
            <w:noWrap/>
            <w:vAlign w:val="center"/>
          </w:tcPr>
          <w:p w14:paraId="420CBA9E">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0.923404255319149</w:t>
            </w:r>
          </w:p>
        </w:tc>
        <w:tc>
          <w:tcPr>
            <w:tcW w:w="597" w:type="pct"/>
            <w:tcBorders>
              <w:top w:val="nil"/>
              <w:left w:val="nil"/>
              <w:bottom w:val="nil"/>
              <w:right w:val="nil"/>
            </w:tcBorders>
            <w:noWrap/>
            <w:vAlign w:val="center"/>
          </w:tcPr>
          <w:p w14:paraId="7D6028F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0.931034482758621</w:t>
            </w:r>
          </w:p>
        </w:tc>
        <w:tc>
          <w:tcPr>
            <w:tcW w:w="597" w:type="pct"/>
            <w:tcBorders>
              <w:top w:val="nil"/>
              <w:left w:val="nil"/>
              <w:bottom w:val="nil"/>
              <w:right w:val="nil"/>
            </w:tcBorders>
            <w:noWrap/>
            <w:vAlign w:val="center"/>
          </w:tcPr>
          <w:p w14:paraId="6D10AFAC">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0.915966386554622</w:t>
            </w:r>
          </w:p>
        </w:tc>
        <w:tc>
          <w:tcPr>
            <w:tcW w:w="597" w:type="pct"/>
            <w:tcBorders>
              <w:top w:val="nil"/>
              <w:left w:val="nil"/>
              <w:bottom w:val="nil"/>
              <w:right w:val="nil"/>
            </w:tcBorders>
            <w:noWrap/>
            <w:vAlign w:val="center"/>
          </w:tcPr>
          <w:p w14:paraId="343043CF">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0.923076923076923</w:t>
            </w:r>
          </w:p>
        </w:tc>
        <w:tc>
          <w:tcPr>
            <w:tcW w:w="597" w:type="pct"/>
            <w:tcBorders>
              <w:top w:val="nil"/>
              <w:left w:val="nil"/>
              <w:bottom w:val="nil"/>
              <w:right w:val="nil"/>
            </w:tcBorders>
            <w:noWrap/>
            <w:vAlign w:val="center"/>
          </w:tcPr>
          <w:p w14:paraId="3AA62C7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0.846878168912067</w:t>
            </w:r>
          </w:p>
        </w:tc>
      </w:tr>
      <w:tr w14:paraId="525E722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74" w:type="pct"/>
            <w:tcBorders>
              <w:top w:val="nil"/>
              <w:left w:val="nil"/>
              <w:right w:val="nil"/>
            </w:tcBorders>
            <w:noWrap/>
            <w:vAlign w:val="center"/>
          </w:tcPr>
          <w:p w14:paraId="787B6AB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LightGBM</w:t>
            </w:r>
          </w:p>
        </w:tc>
        <w:tc>
          <w:tcPr>
            <w:tcW w:w="665" w:type="pct"/>
            <w:tcBorders>
              <w:top w:val="nil"/>
              <w:left w:val="nil"/>
              <w:right w:val="nil"/>
            </w:tcBorders>
            <w:noWrap/>
            <w:vAlign w:val="center"/>
          </w:tcPr>
          <w:p w14:paraId="31B9FFD8">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0.923728813559322</w:t>
            </w:r>
          </w:p>
        </w:tc>
        <w:tc>
          <w:tcPr>
            <w:tcW w:w="670" w:type="pct"/>
            <w:tcBorders>
              <w:top w:val="nil"/>
              <w:left w:val="nil"/>
              <w:right w:val="nil"/>
            </w:tcBorders>
            <w:noWrap/>
            <w:vAlign w:val="center"/>
          </w:tcPr>
          <w:p w14:paraId="4798C3A1">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0.914529914529915</w:t>
            </w:r>
          </w:p>
        </w:tc>
        <w:tc>
          <w:tcPr>
            <w:tcW w:w="597" w:type="pct"/>
            <w:tcBorders>
              <w:top w:val="nil"/>
              <w:left w:val="nil"/>
              <w:right w:val="nil"/>
            </w:tcBorders>
            <w:noWrap/>
            <w:vAlign w:val="center"/>
          </w:tcPr>
          <w:p w14:paraId="4A95E03D">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0.919148936170213</w:t>
            </w:r>
          </w:p>
        </w:tc>
        <w:tc>
          <w:tcPr>
            <w:tcW w:w="597" w:type="pct"/>
            <w:tcBorders>
              <w:top w:val="nil"/>
              <w:left w:val="nil"/>
              <w:right w:val="nil"/>
            </w:tcBorders>
            <w:noWrap/>
            <w:vAlign w:val="center"/>
          </w:tcPr>
          <w:p w14:paraId="72C85B7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0.915966386554622</w:t>
            </w:r>
          </w:p>
        </w:tc>
        <w:tc>
          <w:tcPr>
            <w:tcW w:w="597" w:type="pct"/>
            <w:tcBorders>
              <w:top w:val="nil"/>
              <w:left w:val="nil"/>
              <w:right w:val="nil"/>
            </w:tcBorders>
            <w:noWrap/>
            <w:vAlign w:val="center"/>
          </w:tcPr>
          <w:p w14:paraId="0B693C13">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0.922413793103448</w:t>
            </w:r>
          </w:p>
        </w:tc>
        <w:tc>
          <w:tcPr>
            <w:tcW w:w="597" w:type="pct"/>
            <w:tcBorders>
              <w:top w:val="nil"/>
              <w:left w:val="nil"/>
              <w:right w:val="nil"/>
            </w:tcBorders>
            <w:noWrap/>
            <w:vAlign w:val="center"/>
          </w:tcPr>
          <w:p w14:paraId="5F324A97">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0.919831223628692</w:t>
            </w:r>
          </w:p>
        </w:tc>
        <w:tc>
          <w:tcPr>
            <w:tcW w:w="597" w:type="pct"/>
            <w:tcBorders>
              <w:top w:val="nil"/>
              <w:left w:val="nil"/>
              <w:right w:val="nil"/>
            </w:tcBorders>
            <w:noWrap/>
            <w:vAlign w:val="center"/>
          </w:tcPr>
          <w:p w14:paraId="27646AB5">
            <w:pPr>
              <w:widowControl/>
              <w:jc w:val="center"/>
              <w:textAlignment w:val="center"/>
              <w:rPr>
                <w:rFonts w:ascii="Times New Roman" w:hAnsi="Times New Roman" w:eastAsia="微软雅黑" w:cs="Times New Roman"/>
                <w:color w:val="000000"/>
                <w:sz w:val="22"/>
                <w:szCs w:val="22"/>
              </w:rPr>
            </w:pPr>
            <w:r>
              <w:rPr>
                <w:rFonts w:ascii="Times New Roman" w:hAnsi="Times New Roman" w:eastAsia="微软雅黑" w:cs="Times New Roman"/>
                <w:color w:val="000000"/>
                <w:kern w:val="0"/>
                <w:sz w:val="22"/>
                <w:szCs w:val="22"/>
                <w:lang w:bidi="ar"/>
              </w:rPr>
              <w:t>0.838258728089237</w:t>
            </w:r>
          </w:p>
        </w:tc>
      </w:tr>
    </w:tbl>
    <w:p w14:paraId="0C4E1830"/>
    <w:p w14:paraId="2B02B0FF"/>
    <w:p w14:paraId="214CEC06">
      <w:r>
        <w:rPr>
          <w:rFonts w:hint="eastAsia" w:ascii="Times New Roman" w:hAnsi="Times New Roman"/>
          <w:sz w:val="24"/>
        </w:rPr>
        <w:t>Table S10. Performance of machine learning models based on control group and ACS as classification criteria.</w:t>
      </w:r>
    </w:p>
    <w:tbl>
      <w:tblPr>
        <w:tblStyle w:val="2"/>
        <w:tblW w:w="5343"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8"/>
        <w:gridCol w:w="1267"/>
        <w:gridCol w:w="1188"/>
        <w:gridCol w:w="1070"/>
        <w:gridCol w:w="1070"/>
        <w:gridCol w:w="1071"/>
        <w:gridCol w:w="1071"/>
        <w:gridCol w:w="1071"/>
      </w:tblGrid>
      <w:tr w14:paraId="4557D5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left w:val="nil"/>
              <w:bottom w:val="single" w:color="auto" w:sz="4" w:space="0"/>
              <w:right w:val="nil"/>
            </w:tcBorders>
            <w:noWrap/>
            <w:vAlign w:val="center"/>
          </w:tcPr>
          <w:p w14:paraId="1F075D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Models</w:t>
            </w:r>
          </w:p>
        </w:tc>
        <w:tc>
          <w:tcPr>
            <w:tcW w:w="695" w:type="pct"/>
            <w:tcBorders>
              <w:left w:val="nil"/>
              <w:bottom w:val="single" w:color="auto" w:sz="4" w:space="0"/>
              <w:right w:val="nil"/>
            </w:tcBorders>
            <w:noWrap/>
            <w:vAlign w:val="center"/>
          </w:tcPr>
          <w:p w14:paraId="7893128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Sensitivity</w:t>
            </w:r>
          </w:p>
        </w:tc>
        <w:tc>
          <w:tcPr>
            <w:tcW w:w="652" w:type="pct"/>
            <w:tcBorders>
              <w:left w:val="nil"/>
              <w:bottom w:val="single" w:color="auto" w:sz="4" w:space="0"/>
              <w:right w:val="nil"/>
            </w:tcBorders>
            <w:noWrap/>
            <w:vAlign w:val="center"/>
          </w:tcPr>
          <w:p w14:paraId="3D3A06A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Specificity</w:t>
            </w:r>
          </w:p>
        </w:tc>
        <w:tc>
          <w:tcPr>
            <w:tcW w:w="587" w:type="pct"/>
            <w:tcBorders>
              <w:left w:val="nil"/>
              <w:bottom w:val="single" w:color="auto" w:sz="4" w:space="0"/>
              <w:right w:val="nil"/>
            </w:tcBorders>
            <w:noWrap/>
            <w:vAlign w:val="center"/>
          </w:tcPr>
          <w:p w14:paraId="761D1CA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Accuracy</w:t>
            </w:r>
          </w:p>
        </w:tc>
        <w:tc>
          <w:tcPr>
            <w:tcW w:w="587" w:type="pct"/>
            <w:tcBorders>
              <w:left w:val="nil"/>
              <w:bottom w:val="single" w:color="auto" w:sz="4" w:space="0"/>
              <w:right w:val="nil"/>
            </w:tcBorders>
            <w:noWrap/>
            <w:vAlign w:val="center"/>
          </w:tcPr>
          <w:p w14:paraId="55E084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PPV</w:t>
            </w:r>
          </w:p>
        </w:tc>
        <w:tc>
          <w:tcPr>
            <w:tcW w:w="587" w:type="pct"/>
            <w:tcBorders>
              <w:left w:val="nil"/>
              <w:bottom w:val="single" w:color="auto" w:sz="4" w:space="0"/>
              <w:right w:val="nil"/>
            </w:tcBorders>
            <w:noWrap/>
            <w:vAlign w:val="center"/>
          </w:tcPr>
          <w:p w14:paraId="2142B40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NPV</w:t>
            </w:r>
          </w:p>
        </w:tc>
        <w:tc>
          <w:tcPr>
            <w:tcW w:w="587" w:type="pct"/>
            <w:tcBorders>
              <w:left w:val="nil"/>
              <w:bottom w:val="single" w:color="auto" w:sz="4" w:space="0"/>
              <w:right w:val="nil"/>
            </w:tcBorders>
            <w:noWrap/>
            <w:vAlign w:val="center"/>
          </w:tcPr>
          <w:p w14:paraId="1701855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F1</w:t>
            </w:r>
          </w:p>
        </w:tc>
        <w:tc>
          <w:tcPr>
            <w:tcW w:w="587" w:type="pct"/>
            <w:tcBorders>
              <w:left w:val="nil"/>
              <w:bottom w:val="single" w:color="auto" w:sz="4" w:space="0"/>
              <w:right w:val="nil"/>
            </w:tcBorders>
            <w:noWrap/>
            <w:vAlign w:val="center"/>
          </w:tcPr>
          <w:p w14:paraId="30659D7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Youden's index</w:t>
            </w:r>
          </w:p>
        </w:tc>
      </w:tr>
      <w:tr w14:paraId="6039B9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single" w:color="auto" w:sz="4" w:space="0"/>
              <w:left w:val="nil"/>
              <w:bottom w:val="nil"/>
              <w:right w:val="nil"/>
            </w:tcBorders>
            <w:noWrap/>
            <w:vAlign w:val="center"/>
          </w:tcPr>
          <w:p w14:paraId="55B0CF1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RandomForest</w:t>
            </w:r>
          </w:p>
        </w:tc>
        <w:tc>
          <w:tcPr>
            <w:tcW w:w="695" w:type="pct"/>
            <w:tcBorders>
              <w:top w:val="single" w:color="auto" w:sz="4" w:space="0"/>
              <w:left w:val="nil"/>
              <w:bottom w:val="nil"/>
              <w:right w:val="nil"/>
            </w:tcBorders>
            <w:noWrap/>
            <w:vAlign w:val="center"/>
          </w:tcPr>
          <w:p w14:paraId="7B058E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single" w:color="auto" w:sz="4" w:space="0"/>
              <w:left w:val="nil"/>
              <w:bottom w:val="nil"/>
              <w:right w:val="nil"/>
            </w:tcBorders>
            <w:noWrap/>
            <w:vAlign w:val="center"/>
          </w:tcPr>
          <w:p w14:paraId="1F29791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0.974358974358974</w:t>
            </w:r>
          </w:p>
        </w:tc>
        <w:tc>
          <w:tcPr>
            <w:tcW w:w="587" w:type="pct"/>
            <w:tcBorders>
              <w:top w:val="single" w:color="auto" w:sz="4" w:space="0"/>
              <w:left w:val="nil"/>
              <w:bottom w:val="nil"/>
              <w:right w:val="nil"/>
            </w:tcBorders>
            <w:noWrap/>
            <w:vAlign w:val="center"/>
          </w:tcPr>
          <w:p w14:paraId="1517A57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0.956730769230769</w:t>
            </w:r>
          </w:p>
        </w:tc>
        <w:tc>
          <w:tcPr>
            <w:tcW w:w="587" w:type="pct"/>
            <w:tcBorders>
              <w:top w:val="single" w:color="auto" w:sz="4" w:space="0"/>
              <w:left w:val="nil"/>
              <w:bottom w:val="nil"/>
              <w:right w:val="nil"/>
            </w:tcBorders>
            <w:noWrap/>
            <w:vAlign w:val="center"/>
          </w:tcPr>
          <w:p w14:paraId="4732FFC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0.965909090909091</w:t>
            </w:r>
          </w:p>
        </w:tc>
        <w:tc>
          <w:tcPr>
            <w:tcW w:w="587" w:type="pct"/>
            <w:tcBorders>
              <w:top w:val="single" w:color="auto" w:sz="4" w:space="0"/>
              <w:left w:val="nil"/>
              <w:bottom w:val="nil"/>
              <w:right w:val="nil"/>
            </w:tcBorders>
            <w:noWrap/>
            <w:vAlign w:val="center"/>
          </w:tcPr>
          <w:p w14:paraId="0A8C18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w:t>
            </w:r>
          </w:p>
        </w:tc>
        <w:tc>
          <w:tcPr>
            <w:tcW w:w="587" w:type="pct"/>
            <w:tcBorders>
              <w:top w:val="single" w:color="auto" w:sz="4" w:space="0"/>
              <w:left w:val="nil"/>
              <w:bottom w:val="nil"/>
              <w:right w:val="nil"/>
            </w:tcBorders>
            <w:noWrap/>
            <w:vAlign w:val="center"/>
          </w:tcPr>
          <w:p w14:paraId="3BA1C0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0.949720670391061</w:t>
            </w:r>
          </w:p>
        </w:tc>
        <w:tc>
          <w:tcPr>
            <w:tcW w:w="587" w:type="pct"/>
            <w:tcBorders>
              <w:top w:val="single" w:color="auto" w:sz="4" w:space="0"/>
              <w:left w:val="nil"/>
              <w:bottom w:val="nil"/>
              <w:right w:val="nil"/>
            </w:tcBorders>
            <w:noWrap/>
            <w:vAlign w:val="center"/>
          </w:tcPr>
          <w:p w14:paraId="47714A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0.908424908424908</w:t>
            </w:r>
          </w:p>
        </w:tc>
      </w:tr>
      <w:tr w14:paraId="5154DD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217F54C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SVM_Kernel</w:t>
            </w:r>
          </w:p>
        </w:tc>
        <w:tc>
          <w:tcPr>
            <w:tcW w:w="695" w:type="pct"/>
            <w:tcBorders>
              <w:top w:val="nil"/>
              <w:left w:val="nil"/>
              <w:bottom w:val="nil"/>
              <w:right w:val="nil"/>
            </w:tcBorders>
            <w:noWrap/>
            <w:vAlign w:val="center"/>
          </w:tcPr>
          <w:p w14:paraId="2CE4BF9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nil"/>
              <w:left w:val="nil"/>
              <w:bottom w:val="nil"/>
              <w:right w:val="nil"/>
            </w:tcBorders>
            <w:noWrap/>
            <w:vAlign w:val="center"/>
          </w:tcPr>
          <w:p w14:paraId="5E98025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0.974358974358974</w:t>
            </w:r>
          </w:p>
        </w:tc>
        <w:tc>
          <w:tcPr>
            <w:tcW w:w="587" w:type="pct"/>
            <w:tcBorders>
              <w:top w:val="nil"/>
              <w:left w:val="nil"/>
              <w:bottom w:val="nil"/>
              <w:right w:val="nil"/>
            </w:tcBorders>
            <w:noWrap/>
            <w:vAlign w:val="center"/>
          </w:tcPr>
          <w:p w14:paraId="089F8E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0.956730769230769</w:t>
            </w:r>
          </w:p>
        </w:tc>
        <w:tc>
          <w:tcPr>
            <w:tcW w:w="587" w:type="pct"/>
            <w:tcBorders>
              <w:top w:val="nil"/>
              <w:left w:val="nil"/>
              <w:bottom w:val="nil"/>
              <w:right w:val="nil"/>
            </w:tcBorders>
            <w:noWrap/>
            <w:vAlign w:val="center"/>
          </w:tcPr>
          <w:p w14:paraId="6C1EB08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0.965909090909091</w:t>
            </w:r>
          </w:p>
        </w:tc>
        <w:tc>
          <w:tcPr>
            <w:tcW w:w="587" w:type="pct"/>
            <w:tcBorders>
              <w:top w:val="nil"/>
              <w:left w:val="nil"/>
              <w:bottom w:val="nil"/>
              <w:right w:val="nil"/>
            </w:tcBorders>
            <w:noWrap/>
            <w:vAlign w:val="center"/>
          </w:tcPr>
          <w:p w14:paraId="7068581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w:t>
            </w:r>
          </w:p>
        </w:tc>
        <w:tc>
          <w:tcPr>
            <w:tcW w:w="587" w:type="pct"/>
            <w:tcBorders>
              <w:top w:val="nil"/>
              <w:left w:val="nil"/>
              <w:bottom w:val="nil"/>
              <w:right w:val="nil"/>
            </w:tcBorders>
            <w:noWrap/>
            <w:vAlign w:val="center"/>
          </w:tcPr>
          <w:p w14:paraId="6E07FA7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0.949720670391061</w:t>
            </w:r>
          </w:p>
        </w:tc>
        <w:tc>
          <w:tcPr>
            <w:tcW w:w="587" w:type="pct"/>
            <w:tcBorders>
              <w:top w:val="nil"/>
              <w:left w:val="nil"/>
              <w:bottom w:val="nil"/>
              <w:right w:val="nil"/>
            </w:tcBorders>
            <w:noWrap/>
            <w:vAlign w:val="center"/>
          </w:tcPr>
          <w:p w14:paraId="432083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0.908424908424908</w:t>
            </w:r>
          </w:p>
        </w:tc>
      </w:tr>
      <w:tr w14:paraId="2DA5D9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3FC8A2D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LogisticModel</w:t>
            </w:r>
          </w:p>
        </w:tc>
        <w:tc>
          <w:tcPr>
            <w:tcW w:w="695" w:type="pct"/>
            <w:tcBorders>
              <w:top w:val="nil"/>
              <w:left w:val="nil"/>
              <w:bottom w:val="nil"/>
              <w:right w:val="nil"/>
            </w:tcBorders>
            <w:noWrap/>
            <w:vAlign w:val="center"/>
          </w:tcPr>
          <w:p w14:paraId="0F1B008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nil"/>
              <w:left w:val="nil"/>
              <w:bottom w:val="nil"/>
              <w:right w:val="nil"/>
            </w:tcBorders>
            <w:noWrap/>
            <w:vAlign w:val="center"/>
          </w:tcPr>
          <w:p w14:paraId="19EFCAE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0.957264957264957</w:t>
            </w:r>
          </w:p>
        </w:tc>
        <w:tc>
          <w:tcPr>
            <w:tcW w:w="587" w:type="pct"/>
            <w:tcBorders>
              <w:top w:val="nil"/>
              <w:left w:val="nil"/>
              <w:bottom w:val="nil"/>
              <w:right w:val="nil"/>
            </w:tcBorders>
            <w:noWrap/>
            <w:vAlign w:val="center"/>
          </w:tcPr>
          <w:p w14:paraId="1F48D36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0.947115384615385</w:t>
            </w:r>
          </w:p>
        </w:tc>
        <w:tc>
          <w:tcPr>
            <w:tcW w:w="587" w:type="pct"/>
            <w:tcBorders>
              <w:top w:val="nil"/>
              <w:left w:val="nil"/>
              <w:bottom w:val="nil"/>
              <w:right w:val="nil"/>
            </w:tcBorders>
            <w:noWrap/>
            <w:vAlign w:val="center"/>
          </w:tcPr>
          <w:p w14:paraId="47E38A3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0.944444444444445</w:t>
            </w:r>
          </w:p>
        </w:tc>
        <w:tc>
          <w:tcPr>
            <w:tcW w:w="587" w:type="pct"/>
            <w:tcBorders>
              <w:top w:val="nil"/>
              <w:left w:val="nil"/>
              <w:bottom w:val="nil"/>
              <w:right w:val="nil"/>
            </w:tcBorders>
            <w:noWrap/>
            <w:vAlign w:val="center"/>
          </w:tcPr>
          <w:p w14:paraId="7F3AFBE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0.949152542372881</w:t>
            </w:r>
          </w:p>
        </w:tc>
        <w:tc>
          <w:tcPr>
            <w:tcW w:w="587" w:type="pct"/>
            <w:tcBorders>
              <w:top w:val="nil"/>
              <w:left w:val="nil"/>
              <w:bottom w:val="nil"/>
              <w:right w:val="nil"/>
            </w:tcBorders>
            <w:noWrap/>
            <w:vAlign w:val="center"/>
          </w:tcPr>
          <w:p w14:paraId="14DDF00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0.939226519337017</w:t>
            </w:r>
          </w:p>
        </w:tc>
        <w:tc>
          <w:tcPr>
            <w:tcW w:w="587" w:type="pct"/>
            <w:tcBorders>
              <w:top w:val="nil"/>
              <w:left w:val="nil"/>
              <w:bottom w:val="nil"/>
              <w:right w:val="nil"/>
            </w:tcBorders>
            <w:noWrap/>
            <w:vAlign w:val="center"/>
          </w:tcPr>
          <w:p w14:paraId="214D4D9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0.891330891330891</w:t>
            </w:r>
          </w:p>
        </w:tc>
      </w:tr>
      <w:tr w14:paraId="7E06DB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4EA3EED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NeighborMethod</w:t>
            </w:r>
          </w:p>
        </w:tc>
        <w:tc>
          <w:tcPr>
            <w:tcW w:w="695" w:type="pct"/>
            <w:tcBorders>
              <w:top w:val="nil"/>
              <w:left w:val="nil"/>
              <w:bottom w:val="nil"/>
              <w:right w:val="nil"/>
            </w:tcBorders>
            <w:noWrap/>
            <w:vAlign w:val="center"/>
          </w:tcPr>
          <w:p w14:paraId="020E9C1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0.714285714285714</w:t>
            </w:r>
          </w:p>
        </w:tc>
        <w:tc>
          <w:tcPr>
            <w:tcW w:w="652" w:type="pct"/>
            <w:tcBorders>
              <w:top w:val="nil"/>
              <w:left w:val="nil"/>
              <w:bottom w:val="nil"/>
              <w:right w:val="nil"/>
            </w:tcBorders>
            <w:noWrap/>
            <w:vAlign w:val="center"/>
          </w:tcPr>
          <w:p w14:paraId="05875DC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0.957264957264957</w:t>
            </w:r>
          </w:p>
        </w:tc>
        <w:tc>
          <w:tcPr>
            <w:tcW w:w="587" w:type="pct"/>
            <w:tcBorders>
              <w:top w:val="nil"/>
              <w:left w:val="nil"/>
              <w:bottom w:val="nil"/>
              <w:right w:val="nil"/>
            </w:tcBorders>
            <w:noWrap/>
            <w:vAlign w:val="center"/>
          </w:tcPr>
          <w:p w14:paraId="3526387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0.850961538461538</w:t>
            </w:r>
          </w:p>
        </w:tc>
        <w:tc>
          <w:tcPr>
            <w:tcW w:w="587" w:type="pct"/>
            <w:tcBorders>
              <w:top w:val="nil"/>
              <w:left w:val="nil"/>
              <w:bottom w:val="nil"/>
              <w:right w:val="nil"/>
            </w:tcBorders>
            <w:noWrap/>
            <w:vAlign w:val="center"/>
          </w:tcPr>
          <w:p w14:paraId="165150D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0.928571428571429</w:t>
            </w:r>
          </w:p>
        </w:tc>
        <w:tc>
          <w:tcPr>
            <w:tcW w:w="587" w:type="pct"/>
            <w:tcBorders>
              <w:top w:val="nil"/>
              <w:left w:val="nil"/>
              <w:bottom w:val="nil"/>
              <w:right w:val="nil"/>
            </w:tcBorders>
            <w:noWrap/>
            <w:vAlign w:val="center"/>
          </w:tcPr>
          <w:p w14:paraId="489813D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0.811594202898551</w:t>
            </w:r>
          </w:p>
        </w:tc>
        <w:tc>
          <w:tcPr>
            <w:tcW w:w="587" w:type="pct"/>
            <w:tcBorders>
              <w:top w:val="nil"/>
              <w:left w:val="nil"/>
              <w:bottom w:val="nil"/>
              <w:right w:val="nil"/>
            </w:tcBorders>
            <w:noWrap/>
            <w:vAlign w:val="center"/>
          </w:tcPr>
          <w:p w14:paraId="0D3E611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0.807453416149068</w:t>
            </w:r>
          </w:p>
        </w:tc>
        <w:tc>
          <w:tcPr>
            <w:tcW w:w="587" w:type="pct"/>
            <w:tcBorders>
              <w:top w:val="nil"/>
              <w:left w:val="nil"/>
              <w:bottom w:val="nil"/>
              <w:right w:val="nil"/>
            </w:tcBorders>
            <w:noWrap/>
            <w:vAlign w:val="center"/>
          </w:tcPr>
          <w:p w14:paraId="2D1E49E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0.671550671550672</w:t>
            </w:r>
          </w:p>
        </w:tc>
      </w:tr>
      <w:tr w14:paraId="07D48F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682EAF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PLSModel</w:t>
            </w:r>
          </w:p>
        </w:tc>
        <w:tc>
          <w:tcPr>
            <w:tcW w:w="695" w:type="pct"/>
            <w:tcBorders>
              <w:top w:val="nil"/>
              <w:left w:val="nil"/>
              <w:bottom w:val="nil"/>
              <w:right w:val="nil"/>
            </w:tcBorders>
            <w:noWrap/>
            <w:vAlign w:val="center"/>
          </w:tcPr>
          <w:p w14:paraId="61FD099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0.879120879120879</w:t>
            </w:r>
          </w:p>
        </w:tc>
        <w:tc>
          <w:tcPr>
            <w:tcW w:w="652" w:type="pct"/>
            <w:tcBorders>
              <w:top w:val="nil"/>
              <w:left w:val="nil"/>
              <w:bottom w:val="nil"/>
              <w:right w:val="nil"/>
            </w:tcBorders>
            <w:noWrap/>
            <w:vAlign w:val="center"/>
          </w:tcPr>
          <w:p w14:paraId="4365B73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0.905982905982906</w:t>
            </w:r>
          </w:p>
        </w:tc>
        <w:tc>
          <w:tcPr>
            <w:tcW w:w="587" w:type="pct"/>
            <w:tcBorders>
              <w:top w:val="nil"/>
              <w:left w:val="nil"/>
              <w:bottom w:val="nil"/>
              <w:right w:val="nil"/>
            </w:tcBorders>
            <w:noWrap/>
            <w:vAlign w:val="center"/>
          </w:tcPr>
          <w:p w14:paraId="30330FF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0.894230769230769</w:t>
            </w:r>
          </w:p>
        </w:tc>
        <w:tc>
          <w:tcPr>
            <w:tcW w:w="587" w:type="pct"/>
            <w:tcBorders>
              <w:top w:val="nil"/>
              <w:left w:val="nil"/>
              <w:bottom w:val="nil"/>
              <w:right w:val="nil"/>
            </w:tcBorders>
            <w:noWrap/>
            <w:vAlign w:val="center"/>
          </w:tcPr>
          <w:p w14:paraId="31F7BBF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0.879120879120879</w:t>
            </w:r>
          </w:p>
        </w:tc>
        <w:tc>
          <w:tcPr>
            <w:tcW w:w="587" w:type="pct"/>
            <w:tcBorders>
              <w:top w:val="nil"/>
              <w:left w:val="nil"/>
              <w:bottom w:val="nil"/>
              <w:right w:val="nil"/>
            </w:tcBorders>
            <w:noWrap/>
            <w:vAlign w:val="center"/>
          </w:tcPr>
          <w:p w14:paraId="07F3A3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0.905982905982906</w:t>
            </w:r>
          </w:p>
        </w:tc>
        <w:tc>
          <w:tcPr>
            <w:tcW w:w="587" w:type="pct"/>
            <w:tcBorders>
              <w:top w:val="nil"/>
              <w:left w:val="nil"/>
              <w:bottom w:val="nil"/>
              <w:right w:val="nil"/>
            </w:tcBorders>
            <w:noWrap/>
            <w:vAlign w:val="center"/>
          </w:tcPr>
          <w:p w14:paraId="28C75C53">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0.879120879120879</w:t>
            </w:r>
          </w:p>
        </w:tc>
        <w:tc>
          <w:tcPr>
            <w:tcW w:w="587" w:type="pct"/>
            <w:tcBorders>
              <w:top w:val="nil"/>
              <w:left w:val="nil"/>
              <w:bottom w:val="nil"/>
              <w:right w:val="nil"/>
            </w:tcBorders>
            <w:noWrap/>
            <w:vAlign w:val="center"/>
          </w:tcPr>
          <w:p w14:paraId="032D9C5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0.785103785103785</w:t>
            </w:r>
          </w:p>
        </w:tc>
      </w:tr>
      <w:tr w14:paraId="69D206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008580B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BoostingMethod</w:t>
            </w:r>
          </w:p>
        </w:tc>
        <w:tc>
          <w:tcPr>
            <w:tcW w:w="695" w:type="pct"/>
            <w:tcBorders>
              <w:top w:val="nil"/>
              <w:left w:val="nil"/>
              <w:bottom w:val="nil"/>
              <w:right w:val="nil"/>
            </w:tcBorders>
            <w:noWrap/>
            <w:vAlign w:val="center"/>
          </w:tcPr>
          <w:p w14:paraId="1CA72B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nil"/>
              <w:left w:val="nil"/>
              <w:bottom w:val="nil"/>
              <w:right w:val="nil"/>
            </w:tcBorders>
            <w:noWrap/>
            <w:vAlign w:val="center"/>
          </w:tcPr>
          <w:p w14:paraId="543179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0.982905982905983</w:t>
            </w:r>
          </w:p>
        </w:tc>
        <w:tc>
          <w:tcPr>
            <w:tcW w:w="587" w:type="pct"/>
            <w:tcBorders>
              <w:top w:val="nil"/>
              <w:left w:val="nil"/>
              <w:bottom w:val="nil"/>
              <w:right w:val="nil"/>
            </w:tcBorders>
            <w:noWrap/>
            <w:vAlign w:val="center"/>
          </w:tcPr>
          <w:p w14:paraId="0902D1D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0.961538461538462</w:t>
            </w:r>
          </w:p>
        </w:tc>
        <w:tc>
          <w:tcPr>
            <w:tcW w:w="587" w:type="pct"/>
            <w:tcBorders>
              <w:top w:val="nil"/>
              <w:left w:val="nil"/>
              <w:bottom w:val="nil"/>
              <w:right w:val="nil"/>
            </w:tcBorders>
            <w:noWrap/>
            <w:vAlign w:val="center"/>
          </w:tcPr>
          <w:p w14:paraId="4C39B58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0.977011494252873</w:t>
            </w:r>
          </w:p>
        </w:tc>
        <w:tc>
          <w:tcPr>
            <w:tcW w:w="587" w:type="pct"/>
            <w:tcBorders>
              <w:top w:val="nil"/>
              <w:left w:val="nil"/>
              <w:bottom w:val="nil"/>
              <w:right w:val="nil"/>
            </w:tcBorders>
            <w:noWrap/>
            <w:vAlign w:val="center"/>
          </w:tcPr>
          <w:p w14:paraId="5CF6806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0.950413223140496</w:t>
            </w:r>
          </w:p>
        </w:tc>
        <w:tc>
          <w:tcPr>
            <w:tcW w:w="587" w:type="pct"/>
            <w:tcBorders>
              <w:top w:val="nil"/>
              <w:left w:val="nil"/>
              <w:bottom w:val="nil"/>
              <w:right w:val="nil"/>
            </w:tcBorders>
            <w:noWrap/>
            <w:vAlign w:val="center"/>
          </w:tcPr>
          <w:p w14:paraId="77A96A6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0.955056179775281</w:t>
            </w:r>
          </w:p>
        </w:tc>
        <w:tc>
          <w:tcPr>
            <w:tcW w:w="587" w:type="pct"/>
            <w:tcBorders>
              <w:top w:val="nil"/>
              <w:left w:val="nil"/>
              <w:bottom w:val="nil"/>
              <w:right w:val="nil"/>
            </w:tcBorders>
            <w:noWrap/>
            <w:vAlign w:val="center"/>
          </w:tcPr>
          <w:p w14:paraId="3964C47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0.916971916971917</w:t>
            </w:r>
          </w:p>
        </w:tc>
      </w:tr>
      <w:tr w14:paraId="754C55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39537DE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NeuralNet</w:t>
            </w:r>
          </w:p>
        </w:tc>
        <w:tc>
          <w:tcPr>
            <w:tcW w:w="695" w:type="pct"/>
            <w:tcBorders>
              <w:top w:val="nil"/>
              <w:left w:val="nil"/>
              <w:bottom w:val="nil"/>
              <w:right w:val="nil"/>
            </w:tcBorders>
            <w:noWrap/>
            <w:vAlign w:val="center"/>
          </w:tcPr>
          <w:p w14:paraId="531230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0.923076923076923</w:t>
            </w:r>
          </w:p>
        </w:tc>
        <w:tc>
          <w:tcPr>
            <w:tcW w:w="652" w:type="pct"/>
            <w:tcBorders>
              <w:top w:val="nil"/>
              <w:left w:val="nil"/>
              <w:bottom w:val="nil"/>
              <w:right w:val="nil"/>
            </w:tcBorders>
            <w:noWrap/>
            <w:vAlign w:val="center"/>
          </w:tcPr>
          <w:p w14:paraId="7BCF3B0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0.974358974358974</w:t>
            </w:r>
          </w:p>
        </w:tc>
        <w:tc>
          <w:tcPr>
            <w:tcW w:w="587" w:type="pct"/>
            <w:tcBorders>
              <w:top w:val="nil"/>
              <w:left w:val="nil"/>
              <w:bottom w:val="nil"/>
              <w:right w:val="nil"/>
            </w:tcBorders>
            <w:noWrap/>
            <w:vAlign w:val="center"/>
          </w:tcPr>
          <w:p w14:paraId="5819B34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0.951923076923077</w:t>
            </w:r>
          </w:p>
        </w:tc>
        <w:tc>
          <w:tcPr>
            <w:tcW w:w="587" w:type="pct"/>
            <w:tcBorders>
              <w:top w:val="nil"/>
              <w:left w:val="nil"/>
              <w:bottom w:val="nil"/>
              <w:right w:val="nil"/>
            </w:tcBorders>
            <w:noWrap/>
            <w:vAlign w:val="center"/>
          </w:tcPr>
          <w:p w14:paraId="6D00466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0.96551724137931</w:t>
            </w:r>
          </w:p>
        </w:tc>
        <w:tc>
          <w:tcPr>
            <w:tcW w:w="587" w:type="pct"/>
            <w:tcBorders>
              <w:top w:val="nil"/>
              <w:left w:val="nil"/>
              <w:bottom w:val="nil"/>
              <w:right w:val="nil"/>
            </w:tcBorders>
            <w:noWrap/>
            <w:vAlign w:val="center"/>
          </w:tcPr>
          <w:p w14:paraId="3E997E1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0.942148760330578</w:t>
            </w:r>
          </w:p>
        </w:tc>
        <w:tc>
          <w:tcPr>
            <w:tcW w:w="587" w:type="pct"/>
            <w:tcBorders>
              <w:top w:val="nil"/>
              <w:left w:val="nil"/>
              <w:bottom w:val="nil"/>
              <w:right w:val="nil"/>
            </w:tcBorders>
            <w:noWrap/>
            <w:vAlign w:val="center"/>
          </w:tcPr>
          <w:p w14:paraId="2186F35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0.943820224719101</w:t>
            </w:r>
          </w:p>
        </w:tc>
        <w:tc>
          <w:tcPr>
            <w:tcW w:w="587" w:type="pct"/>
            <w:tcBorders>
              <w:top w:val="nil"/>
              <w:left w:val="nil"/>
              <w:bottom w:val="nil"/>
              <w:right w:val="nil"/>
            </w:tcBorders>
            <w:noWrap/>
            <w:vAlign w:val="center"/>
          </w:tcPr>
          <w:p w14:paraId="51318F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0.897435897435897</w:t>
            </w:r>
          </w:p>
        </w:tc>
      </w:tr>
      <w:tr w14:paraId="0B652B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0C6C930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BayesMethod</w:t>
            </w:r>
          </w:p>
        </w:tc>
        <w:tc>
          <w:tcPr>
            <w:tcW w:w="695" w:type="pct"/>
            <w:tcBorders>
              <w:top w:val="nil"/>
              <w:left w:val="nil"/>
              <w:bottom w:val="nil"/>
              <w:right w:val="nil"/>
            </w:tcBorders>
            <w:noWrap/>
            <w:vAlign w:val="center"/>
          </w:tcPr>
          <w:p w14:paraId="3C51AB7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0.879120879120879</w:t>
            </w:r>
          </w:p>
        </w:tc>
        <w:tc>
          <w:tcPr>
            <w:tcW w:w="652" w:type="pct"/>
            <w:tcBorders>
              <w:top w:val="nil"/>
              <w:left w:val="nil"/>
              <w:bottom w:val="nil"/>
              <w:right w:val="nil"/>
            </w:tcBorders>
            <w:noWrap/>
            <w:vAlign w:val="center"/>
          </w:tcPr>
          <w:p w14:paraId="242CD7D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87" w:type="pct"/>
            <w:tcBorders>
              <w:top w:val="nil"/>
              <w:left w:val="nil"/>
              <w:bottom w:val="nil"/>
              <w:right w:val="nil"/>
            </w:tcBorders>
            <w:noWrap/>
            <w:vAlign w:val="center"/>
          </w:tcPr>
          <w:p w14:paraId="67612F7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0.947115384615385</w:t>
            </w:r>
          </w:p>
        </w:tc>
        <w:tc>
          <w:tcPr>
            <w:tcW w:w="587" w:type="pct"/>
            <w:tcBorders>
              <w:top w:val="nil"/>
              <w:left w:val="nil"/>
              <w:bottom w:val="nil"/>
              <w:right w:val="nil"/>
            </w:tcBorders>
            <w:noWrap/>
            <w:vAlign w:val="center"/>
          </w:tcPr>
          <w:p w14:paraId="1667CD3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87" w:type="pct"/>
            <w:tcBorders>
              <w:top w:val="nil"/>
              <w:left w:val="nil"/>
              <w:bottom w:val="nil"/>
              <w:right w:val="nil"/>
            </w:tcBorders>
            <w:noWrap/>
            <w:vAlign w:val="center"/>
          </w:tcPr>
          <w:p w14:paraId="2737912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0.9140625</w:t>
            </w:r>
          </w:p>
        </w:tc>
        <w:tc>
          <w:tcPr>
            <w:tcW w:w="587" w:type="pct"/>
            <w:tcBorders>
              <w:top w:val="nil"/>
              <w:left w:val="nil"/>
              <w:bottom w:val="nil"/>
              <w:right w:val="nil"/>
            </w:tcBorders>
            <w:noWrap/>
            <w:vAlign w:val="center"/>
          </w:tcPr>
          <w:p w14:paraId="19C8D339">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0.935672514619883</w:t>
            </w:r>
          </w:p>
        </w:tc>
        <w:tc>
          <w:tcPr>
            <w:tcW w:w="587" w:type="pct"/>
            <w:tcBorders>
              <w:top w:val="nil"/>
              <w:left w:val="nil"/>
              <w:bottom w:val="nil"/>
              <w:right w:val="nil"/>
            </w:tcBorders>
            <w:noWrap/>
            <w:vAlign w:val="center"/>
          </w:tcPr>
          <w:p w14:paraId="485BF8D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0.879120879120879</w:t>
            </w:r>
          </w:p>
        </w:tc>
      </w:tr>
      <w:tr w14:paraId="1054FF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4350912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DiscriminantModel</w:t>
            </w:r>
          </w:p>
        </w:tc>
        <w:tc>
          <w:tcPr>
            <w:tcW w:w="695" w:type="pct"/>
            <w:tcBorders>
              <w:top w:val="nil"/>
              <w:left w:val="nil"/>
              <w:bottom w:val="nil"/>
              <w:right w:val="nil"/>
            </w:tcBorders>
            <w:noWrap/>
            <w:vAlign w:val="center"/>
          </w:tcPr>
          <w:p w14:paraId="04DC82A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0.912087912087912</w:t>
            </w:r>
          </w:p>
        </w:tc>
        <w:tc>
          <w:tcPr>
            <w:tcW w:w="652" w:type="pct"/>
            <w:tcBorders>
              <w:top w:val="nil"/>
              <w:left w:val="nil"/>
              <w:bottom w:val="nil"/>
              <w:right w:val="nil"/>
            </w:tcBorders>
            <w:noWrap/>
            <w:vAlign w:val="center"/>
          </w:tcPr>
          <w:p w14:paraId="1A8CBDC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87" w:type="pct"/>
            <w:tcBorders>
              <w:top w:val="nil"/>
              <w:left w:val="nil"/>
              <w:bottom w:val="nil"/>
              <w:right w:val="nil"/>
            </w:tcBorders>
            <w:noWrap/>
            <w:vAlign w:val="center"/>
          </w:tcPr>
          <w:p w14:paraId="24581F0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0.961538461538462</w:t>
            </w:r>
          </w:p>
        </w:tc>
        <w:tc>
          <w:tcPr>
            <w:tcW w:w="587" w:type="pct"/>
            <w:tcBorders>
              <w:top w:val="nil"/>
              <w:left w:val="nil"/>
              <w:bottom w:val="nil"/>
              <w:right w:val="nil"/>
            </w:tcBorders>
            <w:noWrap/>
            <w:vAlign w:val="center"/>
          </w:tcPr>
          <w:p w14:paraId="63AA424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1</w:t>
            </w:r>
          </w:p>
        </w:tc>
        <w:tc>
          <w:tcPr>
            <w:tcW w:w="587" w:type="pct"/>
            <w:tcBorders>
              <w:top w:val="nil"/>
              <w:left w:val="nil"/>
              <w:bottom w:val="nil"/>
              <w:right w:val="nil"/>
            </w:tcBorders>
            <w:noWrap/>
            <w:vAlign w:val="center"/>
          </w:tcPr>
          <w:p w14:paraId="15BE751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0.936</w:t>
            </w:r>
          </w:p>
        </w:tc>
        <w:tc>
          <w:tcPr>
            <w:tcW w:w="587" w:type="pct"/>
            <w:tcBorders>
              <w:top w:val="nil"/>
              <w:left w:val="nil"/>
              <w:bottom w:val="nil"/>
              <w:right w:val="nil"/>
            </w:tcBorders>
            <w:noWrap/>
            <w:vAlign w:val="center"/>
          </w:tcPr>
          <w:p w14:paraId="469FBE0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0.954022988505747</w:t>
            </w:r>
          </w:p>
        </w:tc>
        <w:tc>
          <w:tcPr>
            <w:tcW w:w="587" w:type="pct"/>
            <w:tcBorders>
              <w:top w:val="nil"/>
              <w:left w:val="nil"/>
              <w:bottom w:val="nil"/>
              <w:right w:val="nil"/>
            </w:tcBorders>
            <w:noWrap/>
            <w:vAlign w:val="center"/>
          </w:tcPr>
          <w:p w14:paraId="7949692E">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0.912087912087912</w:t>
            </w:r>
          </w:p>
        </w:tc>
      </w:tr>
      <w:tr w14:paraId="27AD61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27E33958">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Lasso</w:t>
            </w:r>
          </w:p>
        </w:tc>
        <w:tc>
          <w:tcPr>
            <w:tcW w:w="695" w:type="pct"/>
            <w:tcBorders>
              <w:top w:val="nil"/>
              <w:left w:val="nil"/>
              <w:bottom w:val="nil"/>
              <w:right w:val="nil"/>
            </w:tcBorders>
            <w:noWrap/>
            <w:vAlign w:val="center"/>
          </w:tcPr>
          <w:p w14:paraId="531BB6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nil"/>
              <w:left w:val="nil"/>
              <w:bottom w:val="nil"/>
              <w:right w:val="nil"/>
            </w:tcBorders>
            <w:noWrap/>
            <w:vAlign w:val="center"/>
          </w:tcPr>
          <w:p w14:paraId="692F0B7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0.957264957264957</w:t>
            </w:r>
          </w:p>
        </w:tc>
        <w:tc>
          <w:tcPr>
            <w:tcW w:w="587" w:type="pct"/>
            <w:tcBorders>
              <w:top w:val="nil"/>
              <w:left w:val="nil"/>
              <w:bottom w:val="nil"/>
              <w:right w:val="nil"/>
            </w:tcBorders>
            <w:noWrap/>
            <w:vAlign w:val="center"/>
          </w:tcPr>
          <w:p w14:paraId="4CD872C1">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0.947115384615385</w:t>
            </w:r>
          </w:p>
        </w:tc>
        <w:tc>
          <w:tcPr>
            <w:tcW w:w="587" w:type="pct"/>
            <w:tcBorders>
              <w:top w:val="nil"/>
              <w:left w:val="nil"/>
              <w:bottom w:val="nil"/>
              <w:right w:val="nil"/>
            </w:tcBorders>
            <w:noWrap/>
            <w:vAlign w:val="center"/>
          </w:tcPr>
          <w:p w14:paraId="26B746B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0.944444444444445</w:t>
            </w:r>
          </w:p>
        </w:tc>
        <w:tc>
          <w:tcPr>
            <w:tcW w:w="587" w:type="pct"/>
            <w:tcBorders>
              <w:top w:val="nil"/>
              <w:left w:val="nil"/>
              <w:bottom w:val="nil"/>
              <w:right w:val="nil"/>
            </w:tcBorders>
            <w:noWrap/>
            <w:vAlign w:val="center"/>
          </w:tcPr>
          <w:p w14:paraId="60214DF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0.949152542372881</w:t>
            </w:r>
          </w:p>
        </w:tc>
        <w:tc>
          <w:tcPr>
            <w:tcW w:w="587" w:type="pct"/>
            <w:tcBorders>
              <w:top w:val="nil"/>
              <w:left w:val="nil"/>
              <w:bottom w:val="nil"/>
              <w:right w:val="nil"/>
            </w:tcBorders>
            <w:noWrap/>
            <w:vAlign w:val="center"/>
          </w:tcPr>
          <w:p w14:paraId="78BA1636">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0.939226519337017</w:t>
            </w:r>
          </w:p>
        </w:tc>
        <w:tc>
          <w:tcPr>
            <w:tcW w:w="587" w:type="pct"/>
            <w:tcBorders>
              <w:top w:val="nil"/>
              <w:left w:val="nil"/>
              <w:bottom w:val="nil"/>
              <w:right w:val="nil"/>
            </w:tcBorders>
            <w:noWrap/>
            <w:vAlign w:val="center"/>
          </w:tcPr>
          <w:p w14:paraId="15F3090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0.891330891330891</w:t>
            </w:r>
          </w:p>
        </w:tc>
      </w:tr>
      <w:tr w14:paraId="0509C0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4171FD7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AdaptiveBoosting</w:t>
            </w:r>
          </w:p>
        </w:tc>
        <w:tc>
          <w:tcPr>
            <w:tcW w:w="695" w:type="pct"/>
            <w:tcBorders>
              <w:top w:val="nil"/>
              <w:left w:val="nil"/>
              <w:bottom w:val="nil"/>
              <w:right w:val="nil"/>
            </w:tcBorders>
            <w:noWrap/>
            <w:vAlign w:val="center"/>
          </w:tcPr>
          <w:p w14:paraId="4D15260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0.912087912087912</w:t>
            </w:r>
          </w:p>
        </w:tc>
        <w:tc>
          <w:tcPr>
            <w:tcW w:w="652" w:type="pct"/>
            <w:tcBorders>
              <w:top w:val="nil"/>
              <w:left w:val="nil"/>
              <w:bottom w:val="nil"/>
              <w:right w:val="nil"/>
            </w:tcBorders>
            <w:noWrap/>
            <w:vAlign w:val="center"/>
          </w:tcPr>
          <w:p w14:paraId="3F60C10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0.974358974358974</w:t>
            </w:r>
          </w:p>
        </w:tc>
        <w:tc>
          <w:tcPr>
            <w:tcW w:w="587" w:type="pct"/>
            <w:tcBorders>
              <w:top w:val="nil"/>
              <w:left w:val="nil"/>
              <w:bottom w:val="nil"/>
              <w:right w:val="nil"/>
            </w:tcBorders>
            <w:noWrap/>
            <w:vAlign w:val="center"/>
          </w:tcPr>
          <w:p w14:paraId="7DDAAF6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0.947115384615385</w:t>
            </w:r>
          </w:p>
        </w:tc>
        <w:tc>
          <w:tcPr>
            <w:tcW w:w="587" w:type="pct"/>
            <w:tcBorders>
              <w:top w:val="nil"/>
              <w:left w:val="nil"/>
              <w:bottom w:val="nil"/>
              <w:right w:val="nil"/>
            </w:tcBorders>
            <w:noWrap/>
            <w:vAlign w:val="center"/>
          </w:tcPr>
          <w:p w14:paraId="49886F57">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0.965116279069767</w:t>
            </w:r>
          </w:p>
        </w:tc>
        <w:tc>
          <w:tcPr>
            <w:tcW w:w="587" w:type="pct"/>
            <w:tcBorders>
              <w:top w:val="nil"/>
              <w:left w:val="nil"/>
              <w:bottom w:val="nil"/>
              <w:right w:val="nil"/>
            </w:tcBorders>
            <w:noWrap/>
            <w:vAlign w:val="center"/>
          </w:tcPr>
          <w:p w14:paraId="122443E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0.934426229508197</w:t>
            </w:r>
          </w:p>
        </w:tc>
        <w:tc>
          <w:tcPr>
            <w:tcW w:w="587" w:type="pct"/>
            <w:tcBorders>
              <w:top w:val="nil"/>
              <w:left w:val="nil"/>
              <w:bottom w:val="nil"/>
              <w:right w:val="nil"/>
            </w:tcBorders>
            <w:noWrap/>
            <w:vAlign w:val="center"/>
          </w:tcPr>
          <w:p w14:paraId="144EEDC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0.937853107344633</w:t>
            </w:r>
          </w:p>
        </w:tc>
        <w:tc>
          <w:tcPr>
            <w:tcW w:w="587" w:type="pct"/>
            <w:tcBorders>
              <w:top w:val="nil"/>
              <w:left w:val="nil"/>
              <w:bottom w:val="nil"/>
              <w:right w:val="nil"/>
            </w:tcBorders>
            <w:noWrap/>
            <w:vAlign w:val="center"/>
          </w:tcPr>
          <w:p w14:paraId="3305EAB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0.886446886446886</w:t>
            </w:r>
          </w:p>
        </w:tc>
      </w:tr>
      <w:tr w14:paraId="1EC3A1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bottom w:val="nil"/>
              <w:right w:val="nil"/>
            </w:tcBorders>
            <w:noWrap/>
            <w:vAlign w:val="center"/>
          </w:tcPr>
          <w:p w14:paraId="62240E3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CATBoost</w:t>
            </w:r>
          </w:p>
        </w:tc>
        <w:tc>
          <w:tcPr>
            <w:tcW w:w="695" w:type="pct"/>
            <w:tcBorders>
              <w:top w:val="nil"/>
              <w:left w:val="nil"/>
              <w:bottom w:val="nil"/>
              <w:right w:val="nil"/>
            </w:tcBorders>
            <w:noWrap/>
            <w:vAlign w:val="center"/>
          </w:tcPr>
          <w:p w14:paraId="1C411FB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0.934065934065934</w:t>
            </w:r>
          </w:p>
        </w:tc>
        <w:tc>
          <w:tcPr>
            <w:tcW w:w="652" w:type="pct"/>
            <w:tcBorders>
              <w:top w:val="nil"/>
              <w:left w:val="nil"/>
              <w:bottom w:val="nil"/>
              <w:right w:val="nil"/>
            </w:tcBorders>
            <w:noWrap/>
            <w:vAlign w:val="center"/>
          </w:tcPr>
          <w:p w14:paraId="096A152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0.982905982905983</w:t>
            </w:r>
          </w:p>
        </w:tc>
        <w:tc>
          <w:tcPr>
            <w:tcW w:w="587" w:type="pct"/>
            <w:tcBorders>
              <w:top w:val="nil"/>
              <w:left w:val="nil"/>
              <w:bottom w:val="nil"/>
              <w:right w:val="nil"/>
            </w:tcBorders>
            <w:noWrap/>
            <w:vAlign w:val="center"/>
          </w:tcPr>
          <w:p w14:paraId="45BB68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0.961538461538462</w:t>
            </w:r>
          </w:p>
        </w:tc>
        <w:tc>
          <w:tcPr>
            <w:tcW w:w="587" w:type="pct"/>
            <w:tcBorders>
              <w:top w:val="nil"/>
              <w:left w:val="nil"/>
              <w:bottom w:val="nil"/>
              <w:right w:val="nil"/>
            </w:tcBorders>
            <w:noWrap/>
            <w:vAlign w:val="center"/>
          </w:tcPr>
          <w:p w14:paraId="41B4C5BB">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0.977011494252873</w:t>
            </w:r>
          </w:p>
        </w:tc>
        <w:tc>
          <w:tcPr>
            <w:tcW w:w="587" w:type="pct"/>
            <w:tcBorders>
              <w:top w:val="nil"/>
              <w:left w:val="nil"/>
              <w:bottom w:val="nil"/>
              <w:right w:val="nil"/>
            </w:tcBorders>
            <w:noWrap/>
            <w:vAlign w:val="center"/>
          </w:tcPr>
          <w:p w14:paraId="4F125FEA">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0.950413223140496</w:t>
            </w:r>
          </w:p>
        </w:tc>
        <w:tc>
          <w:tcPr>
            <w:tcW w:w="587" w:type="pct"/>
            <w:tcBorders>
              <w:top w:val="nil"/>
              <w:left w:val="nil"/>
              <w:bottom w:val="nil"/>
              <w:right w:val="nil"/>
            </w:tcBorders>
            <w:noWrap/>
            <w:vAlign w:val="center"/>
          </w:tcPr>
          <w:p w14:paraId="0EF66AB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0.955056179775281</w:t>
            </w:r>
          </w:p>
        </w:tc>
        <w:tc>
          <w:tcPr>
            <w:tcW w:w="587" w:type="pct"/>
            <w:tcBorders>
              <w:top w:val="nil"/>
              <w:left w:val="nil"/>
              <w:bottom w:val="nil"/>
              <w:right w:val="nil"/>
            </w:tcBorders>
            <w:noWrap/>
            <w:vAlign w:val="center"/>
          </w:tcPr>
          <w:p w14:paraId="1E6834F0">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0.916971916971917</w:t>
            </w:r>
          </w:p>
        </w:tc>
      </w:tr>
      <w:tr w14:paraId="1530D1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2" w:type="pct"/>
            <w:tcBorders>
              <w:top w:val="nil"/>
              <w:left w:val="nil"/>
              <w:right w:val="nil"/>
            </w:tcBorders>
            <w:noWrap/>
            <w:vAlign w:val="center"/>
          </w:tcPr>
          <w:p w14:paraId="5224C052">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LightGBM</w:t>
            </w:r>
          </w:p>
        </w:tc>
        <w:tc>
          <w:tcPr>
            <w:tcW w:w="695" w:type="pct"/>
            <w:tcBorders>
              <w:top w:val="nil"/>
              <w:left w:val="nil"/>
              <w:right w:val="nil"/>
            </w:tcBorders>
            <w:noWrap/>
            <w:vAlign w:val="center"/>
          </w:tcPr>
          <w:p w14:paraId="66F2F65C">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0.956043956043956</w:t>
            </w:r>
          </w:p>
        </w:tc>
        <w:tc>
          <w:tcPr>
            <w:tcW w:w="652" w:type="pct"/>
            <w:tcBorders>
              <w:top w:val="nil"/>
              <w:left w:val="nil"/>
              <w:right w:val="nil"/>
            </w:tcBorders>
            <w:noWrap/>
            <w:vAlign w:val="center"/>
          </w:tcPr>
          <w:p w14:paraId="11E208D5">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0.991452991452991</w:t>
            </w:r>
          </w:p>
        </w:tc>
        <w:tc>
          <w:tcPr>
            <w:tcW w:w="587" w:type="pct"/>
            <w:tcBorders>
              <w:top w:val="nil"/>
              <w:left w:val="nil"/>
              <w:right w:val="nil"/>
            </w:tcBorders>
            <w:noWrap/>
            <w:vAlign w:val="center"/>
          </w:tcPr>
          <w:p w14:paraId="27798BF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0.975961538461538</w:t>
            </w:r>
          </w:p>
        </w:tc>
        <w:tc>
          <w:tcPr>
            <w:tcW w:w="587" w:type="pct"/>
            <w:tcBorders>
              <w:top w:val="nil"/>
              <w:left w:val="nil"/>
              <w:right w:val="nil"/>
            </w:tcBorders>
            <w:noWrap/>
            <w:vAlign w:val="center"/>
          </w:tcPr>
          <w:p w14:paraId="7CFAC86F">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0.988636363636364</w:t>
            </w:r>
          </w:p>
        </w:tc>
        <w:tc>
          <w:tcPr>
            <w:tcW w:w="587" w:type="pct"/>
            <w:tcBorders>
              <w:top w:val="nil"/>
              <w:left w:val="nil"/>
              <w:right w:val="nil"/>
            </w:tcBorders>
            <w:noWrap/>
            <w:vAlign w:val="center"/>
          </w:tcPr>
          <w:p w14:paraId="3BE83E6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0.966666666666667</w:t>
            </w:r>
          </w:p>
        </w:tc>
        <w:tc>
          <w:tcPr>
            <w:tcW w:w="587" w:type="pct"/>
            <w:tcBorders>
              <w:top w:val="nil"/>
              <w:left w:val="nil"/>
              <w:right w:val="nil"/>
            </w:tcBorders>
            <w:noWrap/>
            <w:vAlign w:val="center"/>
          </w:tcPr>
          <w:p w14:paraId="57AE43BD">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0.972067039106145</w:t>
            </w:r>
          </w:p>
        </w:tc>
        <w:tc>
          <w:tcPr>
            <w:tcW w:w="587" w:type="pct"/>
            <w:tcBorders>
              <w:top w:val="nil"/>
              <w:left w:val="nil"/>
              <w:right w:val="nil"/>
            </w:tcBorders>
            <w:noWrap/>
            <w:vAlign w:val="center"/>
          </w:tcPr>
          <w:p w14:paraId="53699974">
            <w:pPr>
              <w:widowControl/>
              <w:jc w:val="center"/>
              <w:textAlignment w:val="center"/>
              <w:rPr>
                <w:rFonts w:ascii="Times New Roman" w:hAnsi="Times New Roman" w:eastAsia="宋体" w:cs="Times New Roman"/>
                <w:color w:val="000000"/>
                <w:sz w:val="22"/>
                <w:szCs w:val="22"/>
              </w:rPr>
            </w:pPr>
            <w:r>
              <w:rPr>
                <w:rFonts w:ascii="Times New Roman" w:hAnsi="Times New Roman" w:eastAsia="宋体" w:cs="Times New Roman"/>
                <w:color w:val="000000"/>
                <w:kern w:val="0"/>
                <w:sz w:val="22"/>
                <w:szCs w:val="22"/>
                <w:lang w:bidi="ar"/>
              </w:rPr>
              <w:t>0.947496947496948</w:t>
            </w:r>
          </w:p>
        </w:tc>
      </w:tr>
    </w:tbl>
    <w:p w14:paraId="0CD97E5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CB9"/>
    <w:rsid w:val="00362429"/>
    <w:rsid w:val="00A70F0E"/>
    <w:rsid w:val="00BA6CB9"/>
    <w:rsid w:val="00E60334"/>
    <w:rsid w:val="0F8B1A2C"/>
    <w:rsid w:val="1ACC62AA"/>
    <w:rsid w:val="34496D9C"/>
    <w:rsid w:val="34C4180B"/>
    <w:rsid w:val="39317DFF"/>
    <w:rsid w:val="3C5017FE"/>
    <w:rsid w:val="3C8B7301"/>
    <w:rsid w:val="5B855B53"/>
    <w:rsid w:val="6B6B2835"/>
    <w:rsid w:val="6D261E17"/>
    <w:rsid w:val="7C013085"/>
    <w:rsid w:val="7EAD3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customStyle="1" w:styleId="4">
    <w:name w:val="font71"/>
    <w:basedOn w:val="3"/>
    <w:qFormat/>
    <w:uiPriority w:val="0"/>
    <w:rPr>
      <w:rFonts w:hint="eastAsia" w:ascii="宋体" w:hAnsi="宋体" w:eastAsia="宋体" w:cs="宋体"/>
      <w:color w:val="000000"/>
      <w:sz w:val="20"/>
      <w:szCs w:val="20"/>
      <w:u w:val="none"/>
    </w:rPr>
  </w:style>
  <w:style w:type="character" w:customStyle="1" w:styleId="5">
    <w:name w:val="font81"/>
    <w:basedOn w:val="3"/>
    <w:qFormat/>
    <w:uiPriority w:val="0"/>
    <w:rPr>
      <w:rFonts w:hint="eastAsia" w:ascii="宋体" w:hAnsi="宋体" w:eastAsia="宋体" w:cs="宋体"/>
      <w:color w:val="000000"/>
      <w:sz w:val="20"/>
      <w:szCs w:val="20"/>
      <w:u w:val="none"/>
    </w:rPr>
  </w:style>
  <w:style w:type="character" w:customStyle="1" w:styleId="6">
    <w:name w:val="font91"/>
    <w:basedOn w:val="3"/>
    <w:qFormat/>
    <w:uiPriority w:val="0"/>
    <w:rPr>
      <w:rFonts w:ascii="Arial" w:hAnsi="Arial" w:cs="Arial"/>
      <w:color w:val="000000"/>
      <w:sz w:val="20"/>
      <w:szCs w:val="20"/>
      <w:u w:val="none"/>
    </w:rPr>
  </w:style>
  <w:style w:type="paragraph" w:customStyle="1" w:styleId="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tiff"/><Relationship Id="rId7" Type="http://schemas.openxmlformats.org/officeDocument/2006/relationships/image" Target="media/image4.png"/><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70</Pages>
  <Words>872</Words>
  <Characters>5788</Characters>
  <Lines>632</Lines>
  <Paragraphs>178</Paragraphs>
  <TotalTime>3</TotalTime>
  <ScaleCrop>false</ScaleCrop>
  <LinksUpToDate>false</LinksUpToDate>
  <CharactersWithSpaces>6626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2026-02-22T11:44:00Z</dcterms:created>
  <dc:creator>WHUer</dc:creator>
  <cp:lastModifiedBy>欧阳棠林</cp:lastModifiedBy>
  <dcterms:modified xsi:type="dcterms:W3CDTF">2026-02-25T08:08:31Z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eyJoZGlkIjoiNzZjNTM0NGRiMmMwMDFiN2ZkZTU4ZjQ5MTIyNDJhYTUiLCJ1c2VySWQiOiIxNjYxNDMzMTkzIn0=</vt:lpwstr>
  </property>
  <property fmtid="{D5CDD505-2E9C-101B-9397-08002B2CF9AE}" pid="4" name="ICV">
    <vt:lpwstr>98371D95AA4E40989FDFCF61BBFEE768_13</vt:lpwstr>
  </property>
  <property fmtid="{D5CDD505-2E9C-101B-9397-08002B2CF9AE}" pid="5" name="GrammarlyDocumentId">
    <vt:lpwstr>8ba4ef92-11bb-4f8b-9c30-e41710aa3aa1</vt:lpwstr>
  </property>
</Properties>
</file>