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8782" w14:textId="39AB819B" w:rsidR="00D96E99" w:rsidRPr="002242F8" w:rsidRDefault="007717B6" w:rsidP="002B6190">
      <w:pPr>
        <w:pStyle w:val="font-claude-response-body"/>
        <w:rPr>
          <w:rFonts w:asciiTheme="majorBidi" w:hAnsiTheme="majorBidi" w:cstheme="majorBidi"/>
          <w:b/>
          <w:bCs/>
          <w:i/>
          <w:iCs/>
          <w:sz w:val="18"/>
          <w:szCs w:val="18"/>
        </w:rPr>
      </w:pPr>
      <w:r w:rsidRPr="002242F8">
        <w:rPr>
          <w:rFonts w:asciiTheme="majorBidi" w:hAnsiTheme="majorBidi" w:cstheme="majorBidi"/>
          <w:b/>
          <w:bCs/>
          <w:i/>
          <w:iCs/>
          <w:sz w:val="18"/>
          <w:szCs w:val="18"/>
        </w:rPr>
        <w:t xml:space="preserve">Table S1. </w:t>
      </w:r>
      <w:r w:rsidR="00FE71A7">
        <w:rPr>
          <w:rFonts w:asciiTheme="majorBidi" w:hAnsiTheme="majorBidi" w:cstheme="majorBidi"/>
          <w:b/>
          <w:bCs/>
          <w:i/>
          <w:iCs/>
          <w:sz w:val="18"/>
          <w:szCs w:val="18"/>
        </w:rPr>
        <w:t xml:space="preserve">Methodological </w:t>
      </w:r>
      <w:r w:rsidRPr="002242F8">
        <w:rPr>
          <w:rFonts w:asciiTheme="majorBidi" w:hAnsiTheme="majorBidi" w:cstheme="majorBidi"/>
          <w:b/>
          <w:bCs/>
          <w:i/>
          <w:iCs/>
          <w:sz w:val="18"/>
          <w:szCs w:val="18"/>
        </w:rPr>
        <w:t>Data Quality Flags by Country</w:t>
      </w:r>
      <w:r w:rsidR="00FE71A7">
        <w:rPr>
          <w:rFonts w:asciiTheme="majorBidi" w:hAnsiTheme="majorBidi" w:cstheme="majorBidi"/>
          <w:b/>
          <w:bCs/>
          <w:i/>
          <w:iCs/>
          <w:sz w:val="18"/>
          <w:szCs w:val="18"/>
        </w:rPr>
        <w:t xml:space="preserve"> and Uncertainty Calssification.</w:t>
      </w:r>
      <w:r w:rsidR="00FE71A7" w:rsidRPr="00FE71A7">
        <w:rPr>
          <w:rFonts w:asciiTheme="majorBidi" w:hAnsiTheme="majorBidi" w:cstheme="majorBidi"/>
          <w:i/>
          <w:iCs/>
          <w:sz w:val="18"/>
          <w:szCs w:val="18"/>
        </w:rPr>
        <w:t xml:space="preserve"> Assessment of macroeconomic and epidemiological data integrity (2010-2023)</w:t>
      </w:r>
    </w:p>
    <w:p w14:paraId="0B054E33" w14:textId="68BC168A" w:rsidR="002B6190" w:rsidRDefault="00FE71A7" w:rsidP="00A02ECC">
      <w:pPr>
        <w:pStyle w:val="font-claude-response-body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:rtl/>
          <w:lang w:val="ar-SA"/>
          <w14:ligatures w14:val="standardContextual"/>
        </w:rPr>
        <w:drawing>
          <wp:inline distT="0" distB="0" distL="0" distR="0" wp14:anchorId="12B9964F" wp14:editId="3EB9D4ED">
            <wp:extent cx="5943269" cy="4685212"/>
            <wp:effectExtent l="0" t="0" r="635" b="1270"/>
            <wp:docPr id="131547833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78330" name="Picture 1315478330"/>
                    <pic:cNvPicPr/>
                  </pic:nvPicPr>
                  <pic:blipFill rotWithShape="1">
                    <a:blip r:embed="rId5"/>
                    <a:srcRect t="6650" b="3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5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3018D" w14:textId="7EC4F657" w:rsidR="00FE71A7" w:rsidRPr="00274042" w:rsidRDefault="00FE71A7" w:rsidP="00A02ECC">
      <w:pPr>
        <w:pStyle w:val="font-claude-response-body"/>
        <w:rPr>
          <w:rFonts w:asciiTheme="majorBidi" w:hAnsiTheme="majorBidi" w:cstheme="majorBidi"/>
          <w:color w:val="000000"/>
          <w:rtl/>
        </w:rPr>
      </w:pPr>
      <w:r w:rsidRPr="00FE71A7">
        <w:rPr>
          <w:rFonts w:asciiTheme="majorBidi" w:hAnsiTheme="majorBidi" w:cstheme="majorBidi"/>
          <w:color w:val="000000"/>
          <w:vertAlign w:val="superscript"/>
        </w:rPr>
        <w:t>1</w:t>
      </w:r>
      <w:r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  <w:sz w:val="18"/>
          <w:szCs w:val="18"/>
        </w:rPr>
        <w:t>S</w:t>
      </w:r>
      <w:r w:rsidRPr="00FE71A7">
        <w:rPr>
          <w:rFonts w:asciiTheme="majorBidi" w:hAnsiTheme="majorBidi" w:cstheme="majorBidi"/>
          <w:color w:val="000000"/>
          <w:sz w:val="18"/>
          <w:szCs w:val="18"/>
        </w:rPr>
        <w:t>tandard refers to primary data sourced from WHO-CHOICE, World Bank, and ILOStat without significant gaps</w:t>
      </w:r>
      <w:r>
        <w:rPr>
          <w:rFonts w:asciiTheme="majorBidi" w:hAnsiTheme="majorBidi" w:cstheme="majorBidi"/>
          <w:color w:val="000000"/>
          <w:sz w:val="18"/>
          <w:szCs w:val="18"/>
        </w:rPr>
        <w:t>.</w:t>
      </w:r>
    </w:p>
    <w:p w14:paraId="64CC497B" w14:textId="4728B51B" w:rsidR="00EC477E" w:rsidRDefault="005E0535" w:rsidP="005E0535">
      <w:pPr>
        <w:spacing w:after="160" w:line="278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08CA9CC4" w14:textId="63E9DCEB" w:rsidR="00E40C70" w:rsidRPr="007717B6" w:rsidRDefault="00E40C70" w:rsidP="00E40C70">
      <w:pPr>
        <w:pStyle w:val="whitespace-normal"/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</w:pPr>
      <w:r w:rsidRPr="007717B6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lastRenderedPageBreak/>
        <w:t>Table S2. Sensetivity Anal</w:t>
      </w:r>
      <w:r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y</w:t>
      </w:r>
      <w:r w:rsidRPr="007717B6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sis Decision Stability</w:t>
      </w:r>
      <w:r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 xml:space="preserve">. </w:t>
      </w:r>
      <w:r w:rsidRPr="00A0304D">
        <w:rPr>
          <w:rFonts w:asciiTheme="majorBidi" w:hAnsiTheme="majorBidi" w:cstheme="majorBidi"/>
          <w:i/>
          <w:iCs/>
          <w:color w:val="000000"/>
          <w:sz w:val="18"/>
          <w:szCs w:val="18"/>
        </w:rPr>
        <w:t>Testing BCR roboustness against parameter varia</w:t>
      </w:r>
      <w:r w:rsidR="00A0304D" w:rsidRPr="00A0304D">
        <w:rPr>
          <w:rFonts w:asciiTheme="majorBidi" w:hAnsiTheme="majorBidi" w:cstheme="majorBidi"/>
          <w:i/>
          <w:iCs/>
          <w:color w:val="000000"/>
          <w:sz w:val="18"/>
          <w:szCs w:val="18"/>
        </w:rPr>
        <w:t>nce.</w:t>
      </w:r>
    </w:p>
    <w:p w14:paraId="5FECAEF1" w14:textId="77777777" w:rsidR="00E40C70" w:rsidRPr="00274042" w:rsidRDefault="00E40C70" w:rsidP="00E40C70">
      <w:pPr>
        <w:rPr>
          <w:rFonts w:asciiTheme="majorBidi" w:hAnsiTheme="majorBidi" w:cstheme="majorBidi"/>
        </w:rPr>
      </w:pPr>
      <w:r w:rsidRPr="00CA44AE">
        <w:rPr>
          <w:rFonts w:asciiTheme="majorBidi" w:hAnsiTheme="majorBidi" w:cstheme="majorBidi"/>
          <w:noProof/>
        </w:rPr>
        <w:drawing>
          <wp:inline distT="0" distB="0" distL="0" distR="0" wp14:anchorId="238BDC74" wp14:editId="5FDAE718">
            <wp:extent cx="5514474" cy="2416175"/>
            <wp:effectExtent l="0" t="0" r="0" b="0"/>
            <wp:docPr id="933848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48623" name=""/>
                    <pic:cNvPicPr/>
                  </pic:nvPicPr>
                  <pic:blipFill rotWithShape="1">
                    <a:blip r:embed="rId6"/>
                    <a:srcRect t="7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15" cy="2446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754AFD" w14:textId="3E235144" w:rsidR="00E40C70" w:rsidRPr="00274042" w:rsidRDefault="00E40C70" w:rsidP="00E40C70">
      <w:pPr>
        <w:spacing w:after="160" w:line="278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7195E4C0" w14:textId="206C39B8" w:rsidR="001F5026" w:rsidRPr="00274042" w:rsidRDefault="001F5026" w:rsidP="00244DBE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72EEFF4A" wp14:editId="7C427512">
            <wp:extent cx="5942969" cy="2779414"/>
            <wp:effectExtent l="0" t="0" r="635" b="1905"/>
            <wp:docPr id="1232076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076555" name="Picture 1232076555"/>
                    <pic:cNvPicPr/>
                  </pic:nvPicPr>
                  <pic:blipFill rotWithShape="1">
                    <a:blip r:embed="rId7"/>
                    <a:srcRect t="7573" b="12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9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3262C" w14:textId="179FAC8E" w:rsidR="00244DBE" w:rsidRDefault="00244DBE" w:rsidP="00244DBE">
      <w:pPr>
        <w:pStyle w:val="whitespace-normal"/>
        <w:rPr>
          <w:rFonts w:asciiTheme="majorBidi" w:hAnsiTheme="majorBidi" w:cstheme="majorBidi"/>
          <w:i/>
          <w:iCs/>
          <w:color w:val="000000"/>
          <w:sz w:val="18"/>
          <w:szCs w:val="18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 xml:space="preserve">Figure </w:t>
      </w:r>
      <w:r w:rsidR="00F57D23"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S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1. Economic Burden Trajectories by Country Income Tier (2010-2023).</w:t>
      </w:r>
      <w:r w:rsidRPr="00274042">
        <w:rPr>
          <w:rStyle w:val="apple-converted-space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 </w:t>
      </w:r>
      <w:r w:rsidRPr="00274042">
        <w:rPr>
          <w:rFonts w:asciiTheme="majorBidi" w:hAnsiTheme="majorBidi" w:cstheme="majorBidi"/>
          <w:i/>
          <w:iCs/>
          <w:color w:val="000000"/>
          <w:sz w:val="18"/>
          <w:szCs w:val="18"/>
        </w:rPr>
        <w:t>Line graph comparing total annual economic burden across three income tiers: Gulf States (Qatar, UAE, Saudi Arabia, Kuwait, Bahrain, Oman; green), Middle-Income MENA (Egypt, Jordan, Tunisia, Morocco, Algeria, Lebanon, Palestine, Iran; gold), and Conflict-Affected countries (Yemen, Sudan, Libya, Syria, Iraq; red). Middle-income countries bore the highest absolute burden ($3.1-4.4 billion annually) due to large populations and high agricultural workforce exposure. Conflict-affected countries showed pronounced volatility, with 2016-2017 decline corresponding to Syria war escalation and Yemen crisis onset, followed by gradual recovery. Gulf states maintained stable moderate burden ($0.8-1.1 billion) reflecting smaller populations, advanced healthcare systems, and lower pesticide intensity despite higher wage-based valuations.</w:t>
      </w:r>
    </w:p>
    <w:p w14:paraId="72C02C87" w14:textId="5F84A1B5" w:rsidR="00244DBE" w:rsidRPr="001F5026" w:rsidRDefault="005E0535" w:rsidP="001F5026">
      <w:pPr>
        <w:spacing w:after="160" w:line="278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33AB2F0A" w14:textId="11871396" w:rsidR="001F5026" w:rsidRPr="00274042" w:rsidRDefault="001F5026" w:rsidP="00244DBE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06070F47" wp14:editId="34AF08F9">
            <wp:extent cx="5943468" cy="4149969"/>
            <wp:effectExtent l="0" t="0" r="635" b="3175"/>
            <wp:docPr id="20354951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495134" name="Picture 2035495134"/>
                    <pic:cNvPicPr/>
                  </pic:nvPicPr>
                  <pic:blipFill rotWithShape="1">
                    <a:blip r:embed="rId8"/>
                    <a:srcRect t="7397" b="5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0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0ABF9" w14:textId="681857E4" w:rsidR="00C3367C" w:rsidRDefault="00244DBE" w:rsidP="00F57D23">
      <w:pPr>
        <w:pStyle w:val="whitespace-normal"/>
        <w:rPr>
          <w:rFonts w:asciiTheme="majorBidi" w:hAnsiTheme="majorBidi" w:cstheme="majorBidi"/>
          <w:i/>
          <w:iCs/>
          <w:color w:val="000000"/>
          <w:sz w:val="18"/>
          <w:szCs w:val="18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 xml:space="preserve">Figure </w:t>
      </w:r>
      <w:r w:rsidR="00F57D23"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S2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. Average Annual Per Capita Economic Burden by Country (2010-2023).</w:t>
      </w:r>
      <w:r w:rsidRPr="00274042">
        <w:rPr>
          <w:rStyle w:val="apple-converted-space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 </w:t>
      </w:r>
      <w:r w:rsidRPr="00274042">
        <w:rPr>
          <w:rFonts w:asciiTheme="majorBidi" w:hAnsiTheme="majorBidi" w:cstheme="majorBidi"/>
          <w:i/>
          <w:iCs/>
          <w:color w:val="000000"/>
          <w:sz w:val="18"/>
          <w:szCs w:val="18"/>
        </w:rPr>
        <w:t>Horizontal bar chart ranking 18 MENA countries by mean per capita economic burden over 14 years. Palestine showed highest per capita burden ($43.63/person/year), followed by Oman ($24.95), Jordan ($23.91), and Libya ($22.76). Iraq exhibited lowest per capita burden ($0.88), reflecting pesticide intensity data censoring for 8 of 14 years. Gulf states (green) occupied mid-to-high range due to elevated wage valuations offsetting lower disease rates. Conflict-affected countries (red) spanned full distribution due to heterogeneous data quality, population displacement effects, and varying agricultural exposure patterns. Color coding denotes income tier classification used for healthcare cost adjustments.</w:t>
      </w:r>
    </w:p>
    <w:p w14:paraId="1400C515" w14:textId="0A22EA59" w:rsidR="005E0535" w:rsidRPr="005E0535" w:rsidRDefault="005E0535" w:rsidP="005E0535">
      <w:pPr>
        <w:spacing w:after="160" w:line="278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50CD7263" w14:textId="49311800" w:rsidR="00275465" w:rsidRPr="00274042" w:rsidRDefault="001F5026" w:rsidP="00275465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7B728818" wp14:editId="5064DFB8">
            <wp:extent cx="5943508" cy="2907274"/>
            <wp:effectExtent l="0" t="0" r="635" b="1270"/>
            <wp:docPr id="20482534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53421" name="Picture 2048253421"/>
                    <pic:cNvPicPr/>
                  </pic:nvPicPr>
                  <pic:blipFill rotWithShape="1">
                    <a:blip r:embed="rId9"/>
                    <a:srcRect t="7777" b="8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7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F2EF2" w14:textId="3A52CFEF" w:rsidR="00275465" w:rsidRPr="005E0535" w:rsidRDefault="00275465" w:rsidP="005E0535">
      <w:pPr>
        <w:spacing w:after="160" w:line="278" w:lineRule="auto"/>
        <w:rPr>
          <w:rStyle w:val="Strong"/>
          <w:rFonts w:asciiTheme="majorBidi" w:hAnsiTheme="majorBidi" w:cstheme="majorBidi"/>
          <w:b w:val="0"/>
          <w:bCs w:val="0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Figure S</w:t>
      </w:r>
      <w:r w:rsidR="006F58C5"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3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. Annual Direct Healthcare Costs by Disease Category, MENA Region (2010-2023).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 </w:t>
      </w:r>
      <w:r w:rsidRPr="00274042">
        <w:rPr>
          <w:rStyle w:val="Strong"/>
          <w:rFonts w:asciiTheme="majorBidi" w:eastAsiaTheme="majorEastAsia" w:hAnsiTheme="majorBidi" w:cstheme="majorBidi"/>
          <w:b w:val="0"/>
          <w:bCs w:val="0"/>
          <w:i/>
          <w:iCs/>
          <w:sz w:val="18"/>
          <w:szCs w:val="18"/>
        </w:rPr>
        <w:t xml:space="preserve">Dual time series showing intellectual disability (ID; red line) and Parkinson's disease (PD; blue line) healthcare expenditures aggregated across 18 countries. ID costs remained stable at $2.3-2.8 billion annually (mean $2.66B), representing 82.8-87.4% of total direct healthcare burden, while PD costs increased 76% from $329 million (2010) to $579 million (2023), reflecting regional population aging and improved diagnostic capacity. Total 14-year direct healthcare expenditure: $44.2 billion ($38.7B ID, $5.5B PD). </w:t>
      </w:r>
      <w:r w:rsidR="00DE1FB4" w:rsidRPr="00DE1FB4">
        <w:rPr>
          <w:rFonts w:asciiTheme="majorBidi" w:eastAsiaTheme="majorEastAsia" w:hAnsiTheme="majorBidi" w:cstheme="majorBidi"/>
          <w:i/>
          <w:iCs/>
          <w:sz w:val="18"/>
          <w:szCs w:val="18"/>
        </w:rPr>
        <w:t>ID costs include healthcare service utilisation, pharmaceutical use, caregiver time, and broader family/social-care costs</w:t>
      </w:r>
      <w:r w:rsidR="00DE1FB4">
        <w:rPr>
          <w:rFonts w:asciiTheme="majorBidi" w:eastAsiaTheme="majorEastAsia" w:hAnsiTheme="majorBidi" w:cstheme="majorBidi"/>
          <w:i/>
          <w:iCs/>
          <w:sz w:val="18"/>
          <w:szCs w:val="18"/>
        </w:rPr>
        <w:t xml:space="preserve"> </w:t>
      </w:r>
      <w:r w:rsidR="00DE1FB4">
        <w:rPr>
          <w:rFonts w:asciiTheme="majorBidi" w:eastAsiaTheme="majorEastAsia" w:hAnsiTheme="majorBidi" w:cstheme="majorBidi"/>
          <w:i/>
          <w:iCs/>
          <w:sz w:val="18"/>
          <w:szCs w:val="18"/>
        </w:rPr>
        <w:fldChar w:fldCharType="begin">
          <w:fldData xml:space="preserve">PEVuZE5vdGU+PENpdGU+PEF1dGhvcj5Bcm9yYTwvQXV0aG9yPjxZZWFyPjIwMjA8L1llYXI+PElE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</w:fldData>
        </w:fldChar>
      </w:r>
      <w:r w:rsidR="00DE1FB4">
        <w:rPr>
          <w:rFonts w:asciiTheme="majorBidi" w:eastAsiaTheme="majorEastAsia" w:hAnsiTheme="majorBidi" w:cstheme="majorBidi"/>
          <w:i/>
          <w:iCs/>
          <w:sz w:val="18"/>
          <w:szCs w:val="18"/>
        </w:rPr>
        <w:instrText xml:space="preserve"> ADDIN EN.JS.CITE </w:instrText>
      </w:r>
      <w:r w:rsidR="00DE1FB4">
        <w:rPr>
          <w:rFonts w:asciiTheme="majorBidi" w:eastAsiaTheme="majorEastAsia" w:hAnsiTheme="majorBidi" w:cstheme="majorBidi"/>
          <w:i/>
          <w:iCs/>
          <w:sz w:val="18"/>
          <w:szCs w:val="18"/>
        </w:rPr>
      </w:r>
      <w:r w:rsidR="00DE1FB4">
        <w:rPr>
          <w:rFonts w:asciiTheme="majorBidi" w:eastAsiaTheme="majorEastAsia" w:hAnsiTheme="majorBidi" w:cstheme="majorBidi"/>
          <w:i/>
          <w:iCs/>
          <w:sz w:val="18"/>
          <w:szCs w:val="18"/>
        </w:rPr>
        <w:fldChar w:fldCharType="separate"/>
      </w:r>
      <w:r w:rsidR="00DE1FB4">
        <w:rPr>
          <w:rFonts w:asciiTheme="majorBidi" w:eastAsiaTheme="majorEastAsia" w:hAnsiTheme="majorBidi" w:cstheme="majorBidi"/>
          <w:i/>
          <w:iCs/>
          <w:noProof/>
          <w:sz w:val="18"/>
          <w:szCs w:val="18"/>
        </w:rPr>
        <w:t>(Arora, Goodall et al. 2020)</w:t>
      </w:r>
      <w:r w:rsidR="00DE1FB4">
        <w:rPr>
          <w:rFonts w:asciiTheme="majorBidi" w:eastAsiaTheme="majorEastAsia" w:hAnsiTheme="majorBidi" w:cstheme="majorBidi"/>
          <w:i/>
          <w:iCs/>
          <w:sz w:val="18"/>
          <w:szCs w:val="18"/>
        </w:rPr>
        <w:fldChar w:fldCharType="end"/>
      </w:r>
      <w:r w:rsidR="00DE1FB4">
        <w:rPr>
          <w:rFonts w:asciiTheme="majorBidi" w:eastAsiaTheme="majorEastAsia" w:hAnsiTheme="majorBidi" w:cstheme="majorBidi"/>
          <w:i/>
          <w:iCs/>
          <w:sz w:val="18"/>
          <w:szCs w:val="18"/>
        </w:rPr>
        <w:t>.</w:t>
      </w:r>
      <w:r w:rsidRPr="00274042">
        <w:rPr>
          <w:rStyle w:val="Strong"/>
          <w:rFonts w:asciiTheme="majorBidi" w:eastAsiaTheme="majorEastAsia" w:hAnsiTheme="majorBidi" w:cstheme="majorBidi"/>
          <w:b w:val="0"/>
          <w:bCs w:val="0"/>
          <w:i/>
          <w:iCs/>
          <w:color w:val="EE0000"/>
          <w:sz w:val="18"/>
          <w:szCs w:val="18"/>
        </w:rPr>
        <w:t xml:space="preserve"> </w:t>
      </w:r>
      <w:r w:rsidR="00066E6C" w:rsidRPr="00066E6C">
        <w:rPr>
          <w:rFonts w:asciiTheme="majorBidi" w:eastAsiaTheme="majorEastAsia" w:hAnsiTheme="majorBidi" w:cstheme="majorBidi"/>
          <w:i/>
          <w:iCs/>
          <w:sz w:val="18"/>
          <w:szCs w:val="18"/>
        </w:rPr>
        <w:t>PD costs include inpatient and outpatient medical care, medication, nursing-home care, hospital admission, and productivity loss, with medication the largest direct medical cost item</w:t>
      </w:r>
      <w:r w:rsidR="00066E6C">
        <w:rPr>
          <w:rFonts w:asciiTheme="majorBidi" w:eastAsiaTheme="majorEastAsia" w:hAnsiTheme="majorBidi" w:cstheme="majorBidi"/>
          <w:i/>
          <w:iCs/>
          <w:sz w:val="18"/>
          <w:szCs w:val="18"/>
        </w:rPr>
        <w:t xml:space="preserve"> </w:t>
      </w:r>
      <w:r w:rsidR="00066E6C">
        <w:rPr>
          <w:rFonts w:asciiTheme="majorBidi" w:eastAsiaTheme="majorEastAsia" w:hAnsiTheme="majorBidi" w:cstheme="majorBidi"/>
          <w:i/>
          <w:iCs/>
          <w:sz w:val="18"/>
          <w:szCs w:val="18"/>
        </w:rPr>
        <w:fldChar w:fldCharType="begin">
          <w:fldData xml:space="preserve">PEVuZE5vdGU+PENpdGU+PEF1dGhvcj5XaWplcnM8L0F1dGhvcj48WWVhcj4yMDI0PC9ZZWFyPjxJ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</w:fldData>
        </w:fldChar>
      </w:r>
      <w:r w:rsidR="00066E6C">
        <w:rPr>
          <w:rFonts w:asciiTheme="majorBidi" w:eastAsiaTheme="majorEastAsia" w:hAnsiTheme="majorBidi" w:cstheme="majorBidi"/>
          <w:i/>
          <w:iCs/>
          <w:sz w:val="18"/>
          <w:szCs w:val="18"/>
        </w:rPr>
        <w:instrText xml:space="preserve"> ADDIN EN.JS.CITE </w:instrText>
      </w:r>
      <w:r w:rsidR="00066E6C">
        <w:rPr>
          <w:rFonts w:asciiTheme="majorBidi" w:eastAsiaTheme="majorEastAsia" w:hAnsiTheme="majorBidi" w:cstheme="majorBidi"/>
          <w:i/>
          <w:iCs/>
          <w:sz w:val="18"/>
          <w:szCs w:val="18"/>
        </w:rPr>
      </w:r>
      <w:r w:rsidR="00066E6C">
        <w:rPr>
          <w:rFonts w:asciiTheme="majorBidi" w:eastAsiaTheme="majorEastAsia" w:hAnsiTheme="majorBidi" w:cstheme="majorBidi"/>
          <w:i/>
          <w:iCs/>
          <w:sz w:val="18"/>
          <w:szCs w:val="18"/>
        </w:rPr>
        <w:fldChar w:fldCharType="separate"/>
      </w:r>
      <w:r w:rsidR="00066E6C">
        <w:rPr>
          <w:rFonts w:asciiTheme="majorBidi" w:eastAsiaTheme="majorEastAsia" w:hAnsiTheme="majorBidi" w:cstheme="majorBidi"/>
          <w:i/>
          <w:iCs/>
          <w:noProof/>
          <w:sz w:val="18"/>
          <w:szCs w:val="18"/>
        </w:rPr>
        <w:t>(Zhang, Zhou et al. 2022, Wijers, Ravi et al. 2024)</w:t>
      </w:r>
      <w:r w:rsidR="00066E6C">
        <w:rPr>
          <w:rFonts w:asciiTheme="majorBidi" w:eastAsiaTheme="majorEastAsia" w:hAnsiTheme="majorBidi" w:cstheme="majorBidi"/>
          <w:i/>
          <w:iCs/>
          <w:sz w:val="18"/>
          <w:szCs w:val="18"/>
        </w:rPr>
        <w:fldChar w:fldCharType="end"/>
      </w:r>
      <w:r w:rsidR="00066E6C">
        <w:rPr>
          <w:rFonts w:asciiTheme="majorBidi" w:eastAsiaTheme="majorEastAsia" w:hAnsiTheme="majorBidi" w:cstheme="majorBidi"/>
          <w:i/>
          <w:iCs/>
          <w:sz w:val="18"/>
          <w:szCs w:val="18"/>
        </w:rPr>
        <w:t>.</w:t>
      </w:r>
      <w:r w:rsidRPr="00274042">
        <w:rPr>
          <w:rStyle w:val="Strong"/>
          <w:rFonts w:asciiTheme="majorBidi" w:eastAsiaTheme="majorEastAsia" w:hAnsiTheme="majorBidi" w:cstheme="majorBidi"/>
          <w:b w:val="0"/>
          <w:bCs w:val="0"/>
          <w:i/>
          <w:iCs/>
          <w:color w:val="EE0000"/>
          <w:sz w:val="18"/>
          <w:szCs w:val="18"/>
        </w:rPr>
        <w:t xml:space="preserve"> </w:t>
      </w:r>
      <w:r w:rsidRPr="00274042">
        <w:rPr>
          <w:rStyle w:val="Strong"/>
          <w:rFonts w:asciiTheme="majorBidi" w:eastAsiaTheme="majorEastAsia" w:hAnsiTheme="majorBidi" w:cstheme="majorBidi"/>
          <w:b w:val="0"/>
          <w:bCs w:val="0"/>
          <w:i/>
          <w:iCs/>
          <w:sz w:val="18"/>
          <w:szCs w:val="18"/>
        </w:rPr>
        <w:t>All costs in 2020 USD, adjusted for country income tier per methodology.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63B6DEC3" w14:textId="787CC9E2" w:rsidR="00B93184" w:rsidRPr="00274042" w:rsidRDefault="001F5026" w:rsidP="00B93184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6659CB53" wp14:editId="5B02A985">
            <wp:extent cx="5943244" cy="2930574"/>
            <wp:effectExtent l="0" t="0" r="635" b="3175"/>
            <wp:docPr id="2398886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88672" name="Picture 239888672"/>
                    <pic:cNvPicPr/>
                  </pic:nvPicPr>
                  <pic:blipFill rotWithShape="1">
                    <a:blip r:embed="rId10"/>
                    <a:srcRect t="9468" b="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0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59D50" w14:textId="6A972499" w:rsidR="00673C26" w:rsidRPr="005E0535" w:rsidRDefault="00B93184" w:rsidP="005E0535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Figure S4. Direct Healthcare Costs by Country and Disease Category (2023).</w:t>
      </w:r>
      <w:r w:rsidRPr="00274042">
        <w:rPr>
          <w:rStyle w:val="apple-converted-space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 </w:t>
      </w:r>
      <w:r w:rsidRPr="00274042">
        <w:rPr>
          <w:rFonts w:asciiTheme="majorBidi" w:hAnsiTheme="majorBidi" w:cstheme="majorBidi"/>
          <w:i/>
          <w:iCs/>
          <w:color w:val="000000"/>
          <w:sz w:val="18"/>
          <w:szCs w:val="18"/>
        </w:rPr>
        <w:t>Grouped bar chart comparing intellectual disability (ID; red bars) and Parkinson's disease (PD; blue bars) healthcare expenditures across 18 MENA countries for most recent year. Countries ranked by total 2023 direct costs (ID + PD combined). Egypt dominated regional burden ($1.14 billion: $902M ID + $235M PD), followed by Yemen ($557M), Algeria ($358M), and Morocco ($333M). Gulf states clustered at lower end despite high per capita GDP due to small populations: UAE $45M, Oman $37M, Kuwait $19M, Qatar $11M, Bahrain $7M. Iraq exhibited anomalously low costs ($29M) due to pesticide intensity data censoring (8 of 14 years below reference threshold). ID-to-PD cost ratios varied 2.4× (Morocco) to 245× (Kuwait), reflecting heterogeneous age structures, fertility rates, and diagnostic infrastructure. Costs adjusted for country income tier: Gulf states 1.3× base estimate, middle-income 1.0×, low-income/conflict-affected 0.75×.</w:t>
      </w:r>
      <w:r w:rsidR="005E0535">
        <w:rPr>
          <w:rFonts w:asciiTheme="majorBidi" w:hAnsiTheme="majorBidi" w:cstheme="majorBidi"/>
        </w:rPr>
        <w:br w:type="page"/>
      </w:r>
    </w:p>
    <w:p w14:paraId="2D412816" w14:textId="210FADD3" w:rsidR="003C55E8" w:rsidRDefault="00BD757A" w:rsidP="00C0299D">
      <w:pPr>
        <w:pStyle w:val="font-claude-response-body"/>
        <w:rPr>
          <w:rFonts w:asciiTheme="majorBidi" w:hAnsiTheme="majorBidi" w:cstheme="majorBidi"/>
          <w:i/>
          <w:iCs/>
          <w:color w:val="000000"/>
          <w:sz w:val="18"/>
          <w:szCs w:val="18"/>
        </w:rPr>
      </w:pPr>
      <w:r>
        <w:rPr>
          <w:rFonts w:asciiTheme="majorBidi" w:hAnsiTheme="majorBidi" w:cstheme="majorBidi"/>
          <w:i/>
          <w:iCs/>
          <w:noProof/>
          <w:color w:val="000000"/>
          <w:sz w:val="18"/>
          <w:szCs w:val="18"/>
          <w14:ligatures w14:val="standardContextual"/>
        </w:rPr>
        <w:lastRenderedPageBreak/>
        <w:drawing>
          <wp:inline distT="0" distB="0" distL="0" distR="0" wp14:anchorId="718C4ECB" wp14:editId="78D40485">
            <wp:extent cx="5495217" cy="6752492"/>
            <wp:effectExtent l="0" t="0" r="4445" b="4445"/>
            <wp:docPr id="10584627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462720" name="Picture 1058462720"/>
                    <pic:cNvPicPr/>
                  </pic:nvPicPr>
                  <pic:blipFill rotWithShape="1">
                    <a:blip r:embed="rId11"/>
                    <a:srcRect t="2414" b="3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415" cy="6766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54C49" w14:textId="2A3D2675" w:rsidR="001B63F6" w:rsidRPr="005E0535" w:rsidRDefault="003C55E8" w:rsidP="005E0535">
      <w:pPr>
        <w:spacing w:after="160" w:line="278" w:lineRule="auto"/>
        <w:rPr>
          <w:rFonts w:asciiTheme="majorBidi" w:hAnsiTheme="majorBidi" w:cstheme="majorBidi"/>
        </w:rPr>
      </w:pPr>
      <w:r w:rsidRPr="003C55E8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Figure S</w:t>
      </w:r>
      <w:r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5</w:t>
      </w:r>
      <w:r w:rsidRPr="003C55E8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. Health Budget Impact Trajectory:</w:t>
      </w:r>
      <w:r w:rsidRPr="003C55E8">
        <w:rPr>
          <w:rFonts w:asciiTheme="majorBidi" w:hAnsiTheme="majorBidi" w:cstheme="majorBidi"/>
          <w:i/>
          <w:iCs/>
          <w:color w:val="000000"/>
          <w:sz w:val="18"/>
          <w:szCs w:val="18"/>
        </w:rPr>
        <w:t xml:space="preserve"> </w:t>
      </w:r>
      <w:r w:rsidRPr="003C55E8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Yemen versus Saudi Arabia (2010–2023</w:t>
      </w:r>
      <w:r w:rsidRPr="002C173D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). Three-panel figure.</w:t>
      </w:r>
      <w:r w:rsidRPr="003C55E8">
        <w:rPr>
          <w:rFonts w:asciiTheme="majorBidi" w:hAnsiTheme="majorBidi" w:cstheme="majorBidi"/>
          <w:i/>
          <w:iCs/>
          <w:color w:val="000000"/>
          <w:sz w:val="18"/>
          <w:szCs w:val="18"/>
        </w:rPr>
        <w:t xml:space="preserve"> Panel A: pesticide-attributable direct healthcare costs as a percentage of national health budget for Yemen (red) and Saudi Arabia (blue), with shading indicating the growing divergence. Policy events annotated: Yemen conflict escalation (2015), Saudi pesticide reduction policy (2016), Yemen health system collapse (2019). Panel B: absolute annual direct healthcare costs in USD millions (2020 PPP), with light shading representing Yemen's intellectual disability cost component. Panel C: year-by-year divergence expressed as Yemen's budget share minus Saudi Arabia's budget share (percentage points). All Yemen estimates from 2015 onward carry High uncertainty classification (conflict-affected).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0CF6789C" w14:textId="228FC47C" w:rsidR="001B63F6" w:rsidRPr="00274042" w:rsidRDefault="000202E9" w:rsidP="001B63F6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007197CD" wp14:editId="170DE9A7">
            <wp:extent cx="5943600" cy="3355145"/>
            <wp:effectExtent l="0" t="0" r="0" b="0"/>
            <wp:docPr id="1327659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5980" name="Picture 132765980"/>
                    <pic:cNvPicPr/>
                  </pic:nvPicPr>
                  <pic:blipFill rotWithShape="1">
                    <a:blip r:embed="rId12"/>
                    <a:srcRect t="5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5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BE8BF" w14:textId="57C43DB3" w:rsidR="001B63F6" w:rsidRPr="000202E9" w:rsidRDefault="001B63F6" w:rsidP="000202E9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Figure S</w:t>
      </w:r>
      <w:r w:rsidR="00E73965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6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. Annual Indirect Cost Components by Category, MENA Region (2010–2023).</w:t>
      </w:r>
      <w:r w:rsidRPr="00274042">
        <w:rPr>
          <w:rFonts w:asciiTheme="majorBidi" w:hAnsiTheme="majorBidi" w:cstheme="majorBidi"/>
          <w:i/>
          <w:iCs/>
          <w:sz w:val="18"/>
          <w:szCs w:val="18"/>
        </w:rPr>
        <w:t xml:space="preserve"> Stacked area chart showing regional aggregate indirect productivity losses decomposed into three components: reduced work capacity (teal), premature mortality (dark red), and absenteeism (yellow). Total regional indirect costs ranged from approximately $1.1 billion (2016) to $1.9 billion (2014), averaging $1.6 billion annually. Reduced work capacity dominated throughout, consistently comprising &gt;85% of total indirect burden. Absenteeism contributed a negligible visible share (&lt;2%). All values in 2020 USD, discounted at 4.5% annually over a 20-year horizon.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4964C851" w14:textId="7541B937" w:rsidR="000202E9" w:rsidRPr="00274042" w:rsidRDefault="000202E9" w:rsidP="001B63F6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756B6924" wp14:editId="34F5515B">
            <wp:extent cx="5943600" cy="3681046"/>
            <wp:effectExtent l="0" t="0" r="0" b="2540"/>
            <wp:docPr id="20182828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82818" name="Picture 2018282818"/>
                    <pic:cNvPicPr/>
                  </pic:nvPicPr>
                  <pic:blipFill rotWithShape="1">
                    <a:blip r:embed="rId13"/>
                    <a:srcRect t="7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1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5589CA" w14:textId="45247C0B" w:rsidR="001B63F6" w:rsidRPr="005E0535" w:rsidRDefault="001B63F6" w:rsidP="005E0535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Figure S</w:t>
      </w:r>
      <w:r w:rsidR="00E73965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7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. Productivity Loss per Agricultural Worker by Country (2023).</w:t>
      </w:r>
      <w:r w:rsidRPr="00274042">
        <w:rPr>
          <w:rFonts w:asciiTheme="majorBidi" w:hAnsiTheme="majorBidi" w:cstheme="majorBidi"/>
          <w:i/>
          <w:iCs/>
          <w:sz w:val="18"/>
          <w:szCs w:val="18"/>
        </w:rPr>
        <w:t xml:space="preserve"> Scatter plot displaying total annual indirect costs divided by national agricultural workforce size (log scale, x-axis) across 18 MENA countries, color-coded by income tier: Gulf States (gold), Middle-Income (red-orange), and Conflict-Affected (blue). Palestine exhibited the highest occupational burden intensity ($1,070/worker), followed by Bahrain ($995) and UAE ($951). Conflict-affected countries clustered at the lower right (large workforces, low per-worker costs), reflecting wage suppression and data quality limitations. Iraq showed the lowest per-worker burden ($5.90), consistent with pesticide intensity data censoring. All costs in 2020 USD.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00524699" w14:textId="3533DB44" w:rsidR="001B63F6" w:rsidRPr="00274042" w:rsidRDefault="000202E9" w:rsidP="001B63F6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216F9A38" wp14:editId="2462FE74">
            <wp:extent cx="5943600" cy="3704492"/>
            <wp:effectExtent l="0" t="0" r="0" b="4445"/>
            <wp:docPr id="5567712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771223" name="Picture 556771223"/>
                    <pic:cNvPicPr/>
                  </pic:nvPicPr>
                  <pic:blipFill rotWithShape="1">
                    <a:blip r:embed="rId14"/>
                    <a:srcRect t="6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4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0F49C" w14:textId="6C00AED3" w:rsidR="003D1223" w:rsidRPr="00947EE8" w:rsidRDefault="001B63F6" w:rsidP="00947EE8">
      <w:pPr>
        <w:spacing w:after="160" w:line="278" w:lineRule="auto"/>
        <w:rPr>
          <w:rFonts w:asciiTheme="majorBidi" w:hAnsiTheme="majorBidi" w:cstheme="majorBidi"/>
        </w:rPr>
      </w:pPr>
      <w:r w:rsidRPr="002242F8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Figure S</w:t>
      </w:r>
      <w:r w:rsidR="00E73965" w:rsidRPr="002242F8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8</w:t>
      </w:r>
      <w:r w:rsidRPr="002242F8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. Productivity Loss per Rural Resident by Country (2023).</w:t>
      </w:r>
      <w:r w:rsidRPr="002242F8">
        <w:rPr>
          <w:rFonts w:asciiTheme="majorBidi" w:hAnsiTheme="majorBidi" w:cstheme="majorBidi"/>
          <w:i/>
          <w:iCs/>
          <w:sz w:val="18"/>
          <w:szCs w:val="18"/>
        </w:rPr>
        <w:t xml:space="preserve"> Scatter plot displaying total annual indirect costs divided by rural population size (log scale, x-axis) across 18 MENA countries, color-coded by income tier. Qatar exhibited the highest environmental burden intensity ($586/rural resident) driven by an extremely small rural population (19,030 persons). Palestine ranked second ($116/resident), followed by UAE ($60) and Libya ($47). Countries with large rural populations—Egypt, Sudan, Yemen—clustered at the lower right with costs below $6/resident, reflecting dilution of burden across tens of millions of rural inhabitants. Iraq showed lowest per-resident burden ($0.83). All costs in 2020 USD. </w:t>
      </w:r>
      <w:r w:rsidR="005E0535">
        <w:rPr>
          <w:rFonts w:asciiTheme="majorBidi" w:hAnsiTheme="majorBidi" w:cstheme="majorBidi"/>
        </w:rPr>
        <w:br w:type="page"/>
      </w:r>
    </w:p>
    <w:p w14:paraId="4C87D122" w14:textId="7F51D0D6" w:rsidR="00947EE8" w:rsidRPr="00274042" w:rsidRDefault="00947EE8" w:rsidP="003D1223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00C5A83E" wp14:editId="347A597C">
            <wp:extent cx="5943600" cy="2760785"/>
            <wp:effectExtent l="0" t="0" r="0" b="0"/>
            <wp:docPr id="3814544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54431" name="Picture 381454431"/>
                    <pic:cNvPicPr/>
                  </pic:nvPicPr>
                  <pic:blipFill rotWithShape="1">
                    <a:blip r:embed="rId15"/>
                    <a:srcRect t="7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4F464" w14:textId="5E8F396C" w:rsidR="003D1223" w:rsidRPr="005E0535" w:rsidRDefault="003D1223" w:rsidP="005E0535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Fig</w:t>
      </w:r>
      <w:r w:rsidR="00E73965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ure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 xml:space="preserve"> S</w:t>
      </w:r>
      <w:r w:rsidR="00E73965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9</w:t>
      </w:r>
      <w:r w:rsidR="00295D2C"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.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 xml:space="preserve"> </w:t>
      </w:r>
      <w:r w:rsidR="00295D2C" w:rsidRPr="00274042">
        <w:rPr>
          <w:rFonts w:asciiTheme="majorBidi" w:eastAsiaTheme="majorEastAsia" w:hAnsiTheme="majorBidi" w:cstheme="majorBidi"/>
          <w:b/>
          <w:bCs/>
          <w:i/>
          <w:iCs/>
          <w:sz w:val="18"/>
          <w:szCs w:val="18"/>
        </w:rPr>
        <w:t>DALY Valuation Methods Comparison (Regional)</w:t>
      </w:r>
      <w:r w:rsidRPr="00274042">
        <w:rPr>
          <w:rFonts w:asciiTheme="majorBidi" w:hAnsiTheme="majorBidi" w:cstheme="majorBidi"/>
          <w:i/>
          <w:iCs/>
          <w:sz w:val="18"/>
          <w:szCs w:val="18"/>
        </w:rPr>
        <w:t>.</w:t>
      </w:r>
      <w:r w:rsidR="00295D2C" w:rsidRPr="00274042">
        <w:rPr>
          <w:rFonts w:asciiTheme="majorBidi" w:hAnsiTheme="majorBidi" w:cstheme="majorBidi"/>
          <w:i/>
          <w:iCs/>
          <w:sz w:val="18"/>
          <w:szCs w:val="18"/>
        </w:rPr>
        <w:t xml:space="preserve"> Grouped bar chart comparing annual regional aggregate quality-of-life valuations using Human Capital (HC; dark blue), WHO 1×GDP threshold (light blue), WHO 3×GDP threshold (orange), and Value of Statistical Life (VSL; red) methods across 14 years. HC estimates were lowest and most stable ($1.0–1.5 billion annually), while VSL estimates showed the steepest growth trajectory ($9.0 billion in 2010 to $16.1 billion in 2023), driven by rising PD mortality among aging agricultural populations. WHO 3×GDP and VSL converged in the $10–16 billion range. All values in 2020 USD PPP.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65EDE023" w14:textId="3AC1816A" w:rsidR="003D1223" w:rsidRPr="00274042" w:rsidRDefault="00947EE8" w:rsidP="003D1223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2C8E97A0" wp14:editId="6AB80E75">
            <wp:extent cx="5943600" cy="3669323"/>
            <wp:effectExtent l="0" t="0" r="0" b="1270"/>
            <wp:docPr id="5700569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056909" name="Picture 570056909"/>
                    <pic:cNvPicPr/>
                  </pic:nvPicPr>
                  <pic:blipFill rotWithShape="1">
                    <a:blip r:embed="rId16"/>
                    <a:srcRect t="7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9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C8D62" w14:textId="18C1C464" w:rsidR="003D1223" w:rsidRPr="005E0535" w:rsidRDefault="003D1223" w:rsidP="005E0535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Fig</w:t>
      </w:r>
      <w:r w:rsidR="00E73965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ure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 xml:space="preserve"> S</w:t>
      </w:r>
      <w:r w:rsidR="00E73965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10</w:t>
      </w:r>
      <w:r w:rsidR="00295D2C"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 xml:space="preserve">: </w:t>
      </w:r>
      <w:r w:rsidR="00295D2C" w:rsidRPr="00274042">
        <w:rPr>
          <w:rFonts w:asciiTheme="majorBidi" w:eastAsiaTheme="majorEastAsia" w:hAnsiTheme="majorBidi" w:cstheme="majorBidi"/>
          <w:b/>
          <w:bCs/>
          <w:i/>
          <w:iCs/>
          <w:sz w:val="18"/>
          <w:szCs w:val="18"/>
        </w:rPr>
        <w:t xml:space="preserve">Intangible Costs per DALY (Human Capital Method). </w:t>
      </w:r>
      <w:r w:rsidR="00295D2C" w:rsidRPr="00274042">
        <w:rPr>
          <w:rFonts w:asciiTheme="majorBidi" w:eastAsiaTheme="majorEastAsia" w:hAnsiTheme="majorBidi" w:cstheme="majorBidi"/>
          <w:i/>
          <w:iCs/>
          <w:sz w:val="18"/>
          <w:szCs w:val="18"/>
        </w:rPr>
        <w:t>Horizontal box plots showing the median, interquartile range, and annual variation in per-DALY intangible valuations for 18 MENA countries, color-coded by income tier (Gulf States: gold; Middle-Income: red; Conflict-Affected: blue). UAE ranked highest (median ~$9,000/DALY), reflecting the region's highest economy-wide wages. Conflict-affected countries clustered at the lower end. Libya showed the widest IQR among conflict-affected countries, reflecting war-driven wage volatility. Countries ordered by median value ascending.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7DB9CE00" w14:textId="77777777" w:rsidR="003D1223" w:rsidRPr="00274042" w:rsidRDefault="003D1223" w:rsidP="003D1223">
      <w:pPr>
        <w:pStyle w:val="whitespace-normal"/>
        <w:rPr>
          <w:rFonts w:asciiTheme="majorBidi" w:hAnsiTheme="majorBidi" w:cstheme="majorBidi"/>
          <w:color w:val="000000"/>
        </w:rPr>
      </w:pPr>
      <w:r w:rsidRPr="00274042"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6F879FEF" wp14:editId="540D4161">
            <wp:extent cx="6049008" cy="2696259"/>
            <wp:effectExtent l="0" t="0" r="0" b="0"/>
            <wp:docPr id="5661003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100360" name="Picture 56610036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328" cy="2732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91764" w14:textId="645022B2" w:rsidR="005B736A" w:rsidRPr="00947EE8" w:rsidRDefault="003D1223" w:rsidP="00947EE8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Fig</w:t>
      </w:r>
      <w:r w:rsidR="00E73965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ure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 xml:space="preserve"> S1</w:t>
      </w:r>
      <w:r w:rsidR="00E73965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1</w:t>
      </w:r>
      <w:r w:rsidR="00295D2C"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 xml:space="preserve">. </w:t>
      </w:r>
      <w:r w:rsidR="00295D2C" w:rsidRPr="00274042">
        <w:rPr>
          <w:rFonts w:asciiTheme="majorBidi" w:eastAsiaTheme="majorEastAsia" w:hAnsiTheme="majorBidi" w:cstheme="majorBidi"/>
          <w:b/>
          <w:bCs/>
          <w:i/>
          <w:iCs/>
          <w:sz w:val="18"/>
          <w:szCs w:val="18"/>
        </w:rPr>
        <w:t xml:space="preserve">Sensitivity of Total Annual Economic Burden to Intangible Cost Valuation Method. </w:t>
      </w:r>
      <w:r w:rsidR="00295D2C" w:rsidRPr="00274042">
        <w:rPr>
          <w:rFonts w:asciiTheme="majorBidi" w:eastAsiaTheme="majorEastAsia" w:hAnsiTheme="majorBidi" w:cstheme="majorBidi"/>
          <w:i/>
          <w:iCs/>
          <w:sz w:val="18"/>
          <w:szCs w:val="18"/>
        </w:rPr>
        <w:t>Forest-plot style sensitivity diagram showing mean annual total economic burden (direct + indirect + intangible components) under four valuation methods, with error bars representing ±30% uncertainty on the intangible cost component. The dashed red line marks the Human Capital baseline (~$1.5 billion). WHO 1×GDP shifted the mean to ~$3.8 billion (±$0.57B); WHO 3×GDP to ~$11.0 billion (±$1.6B); VSL to ~$12.7 billion (±$1.9B). Direct and indirect components were held constant at Human Capital scenario values across all methods. All values in 2020 USD PPP, 18-country regional aggregate.</w:t>
      </w:r>
      <w:r w:rsidR="00295D2C" w:rsidRPr="00274042">
        <w:rPr>
          <w:rFonts w:asciiTheme="majorBidi" w:eastAsiaTheme="majorEastAsia" w:hAnsiTheme="majorBidi" w:cstheme="majorBidi"/>
          <w:b/>
          <w:bCs/>
          <w:i/>
          <w:iCs/>
          <w:sz w:val="18"/>
          <w:szCs w:val="18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4E0DCEED" w14:textId="220195C2" w:rsidR="00947EE8" w:rsidRPr="00274042" w:rsidRDefault="00947EE8" w:rsidP="005B736A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31DAFBEF" wp14:editId="05AEFAA3">
            <wp:extent cx="5943542" cy="4677508"/>
            <wp:effectExtent l="0" t="0" r="635" b="0"/>
            <wp:docPr id="16054810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481057" name="Picture 1605481057"/>
                    <pic:cNvPicPr/>
                  </pic:nvPicPr>
                  <pic:blipFill rotWithShape="1">
                    <a:blip r:embed="rId18"/>
                    <a:srcRect t="6136" b="6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7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7322C7" w14:textId="734CCB8C" w:rsidR="005B736A" w:rsidRPr="005E0535" w:rsidRDefault="005B736A" w:rsidP="005E0535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 xml:space="preserve">Figure </w:t>
      </w:r>
      <w:r w:rsidR="00234A09"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S1</w:t>
      </w:r>
      <w:r w:rsidR="00E73965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2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. Economic Burden Composition by Country (2010-2023 Average).</w:t>
      </w:r>
      <w:r w:rsidRPr="00274042">
        <w:rPr>
          <w:rStyle w:val="apple-converted-space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 </w:t>
      </w:r>
      <w:r w:rsidRPr="00274042">
        <w:rPr>
          <w:rFonts w:asciiTheme="majorBidi" w:hAnsiTheme="majorBidi" w:cstheme="majorBidi"/>
          <w:i/>
          <w:iCs/>
          <w:color w:val="000000"/>
          <w:sz w:val="18"/>
          <w:szCs w:val="18"/>
        </w:rPr>
        <w:t>100% stacked horizontal bar chart showing proportional contribution of direct healthcare costs (blue), indirect productivity losses (purple), and intangible quality-of-life costs (orange) for 18 MENA countries. Countries ranked by total absolute burden descending (Egypt highest, Bahrain lowest). Direct healthcare costs dominated burden in conflict-affected countries (Syria 71.4%, Yemen 68.5%, Iraq 66.2%, Sudan 55.7%) due to limited economic productivity capacity and suppressed wage-based valuations during instability. Intangible quality-of-life costs comprised largest share in Gulf states (Palestine 33.8%, UAE 35.9%, Kuwait 33.3%, Bahrain 33.1%, Oman 30.1%, Qatar 31.3%) reflecting high wage valuations in Human Capital DALY calculations. Indirect productivity losses showed greatest contribution in middle-income countries with large agricultural workforces (Saudi Arabia 33.2%, UAE 41.8%, Oman 36.8%, Jordan 32.6%, Lebanon 32.6%, Morocco 27.2%). Egypt and Algeria, despite ranking 1st and 2nd in absolute burden, exhibited middle-income typical composition (direct 59%, indirect 24%, intangible 18%) rather than extreme profiles.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75D10F05" w14:textId="18FB8148" w:rsidR="005B736A" w:rsidRPr="00274042" w:rsidRDefault="00FE71A7" w:rsidP="005B736A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039B7828" wp14:editId="4A9D393E">
            <wp:extent cx="5943348" cy="5135187"/>
            <wp:effectExtent l="0" t="0" r="635" b="0"/>
            <wp:docPr id="73969393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693930" name="Picture 739693930"/>
                    <pic:cNvPicPr/>
                  </pic:nvPicPr>
                  <pic:blipFill rotWithShape="1">
                    <a:blip r:embed="rId19"/>
                    <a:srcRect t="5439" b="8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5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8A778" w14:textId="2AC0E1E0" w:rsidR="005B736A" w:rsidRPr="005E0535" w:rsidRDefault="005B736A" w:rsidP="005E0535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 xml:space="preserve">Figure </w:t>
      </w:r>
      <w:r w:rsidR="00234A09"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S1</w:t>
      </w:r>
      <w:r w:rsidR="00E73965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3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. Absolute Burden vs Per Capita Burden Rankings (2010-2023).</w:t>
      </w:r>
      <w:r w:rsidRPr="00274042">
        <w:rPr>
          <w:rStyle w:val="apple-converted-space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 </w:t>
      </w:r>
      <w:r w:rsidRPr="00274042">
        <w:rPr>
          <w:rFonts w:asciiTheme="majorBidi" w:hAnsiTheme="majorBidi" w:cstheme="majorBidi"/>
          <w:i/>
          <w:iCs/>
          <w:color w:val="000000"/>
          <w:sz w:val="18"/>
          <w:szCs w:val="18"/>
        </w:rPr>
        <w:t>Slope graph comparing country rankings by total DALYs (left axis, absolute burden) versus DALY rate per 100,000 population (right axis, per capita burden intensity). Lines connect each country's two rankings; line slope indicates population-adjusted burden shift. Steep upward slopes (rank improves left-to-right) identify large-population countries with high absolute burden but moderate per capita intensity: Egypt (1→3), Algeria (3→6), Morocco (4→5). Steep downward slopes (rank worsens left-to-right) identify small-population countries with modest absolute burden but high per capita intensity: Palestine (10→2), Oman (14→7), Jordan (8→4), Bahrain (18→12). Near-horizontal lines indicate burden proportional to population size: Yemen (2→1, highest on both metrics), Tunisia (9→9), Lebanon (12→10). Iraq exhibited dramatic drop (16→18) due to data censoring artifact suppressing both absolute and per capita estimates. Yemen ranked #1 per capita (234.6/100k) and #2 absolute (1.09M DALYs), reflecting combination of high exposure intensity and large population. Countries with minimal slope change (parallel rankings) represent natural burden-population proportionality and should be policy priorities regardless of ranking metric chosen.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38337EE5" w14:textId="32D6FC32" w:rsidR="005B736A" w:rsidRPr="00274042" w:rsidRDefault="00947EE8" w:rsidP="005B736A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7C95CD26" wp14:editId="1AAB5117">
            <wp:extent cx="5942854" cy="4114800"/>
            <wp:effectExtent l="0" t="0" r="1270" b="0"/>
            <wp:docPr id="202284695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46958" name="Picture 2022846958"/>
                    <pic:cNvPicPr/>
                  </pic:nvPicPr>
                  <pic:blipFill rotWithShape="1">
                    <a:blip r:embed="rId20"/>
                    <a:srcRect t="5680" b="11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5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7E93D" w14:textId="15D1128F" w:rsidR="005B736A" w:rsidRPr="005E0535" w:rsidRDefault="005B736A" w:rsidP="005E0535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 xml:space="preserve">Figure </w:t>
      </w:r>
      <w:r w:rsidR="00234A09"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S1</w:t>
      </w:r>
      <w:r w:rsidR="00E73965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4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. Burden per Agricultural Worker vs Burden per Rural Resident (2010-2023 Average).</w:t>
      </w:r>
      <w:r w:rsidRPr="00274042">
        <w:rPr>
          <w:rStyle w:val="apple-converted-space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 </w:t>
      </w:r>
      <w:r w:rsidRPr="00274042">
        <w:rPr>
          <w:rFonts w:asciiTheme="majorBidi" w:hAnsiTheme="majorBidi" w:cstheme="majorBidi"/>
          <w:i/>
          <w:iCs/>
          <w:color w:val="000000"/>
          <w:sz w:val="18"/>
          <w:szCs w:val="18"/>
        </w:rPr>
        <w:t>Scatter plot with quadrant analysis identifying occupational versus environmental exposure pathway dominance. X-axis: total economic burden per agricultural worker (occupational intensity); Y-axis: total economic burden per rural resident (environmental/residential exposure intensity). Quadrants defined by median values (dashed lines: $277/worker, $43/rural resident). Upper-right quadrant (high occupational + high environmental): Palestine ($2,279/worker, $298/rural resident) and Jordan ($3,434/worker, $227/rural resident), indicating intensive agriculture with concentrated residential exposure—require comprehensive interventions (PPE + buffer zones + community protection). Lower-right quadrant (high occupational, low environmental): Qatar ($1,146/worker, $1,210/rural resident) represents measurement artifact in highly urbanized Gulf state with minimal agricultural sector (24k workers, 23k rural residents). Upper-left quadrant (low occupational, high environmental): Libya ($363/worker, $186/rural resident) suggests residential proximity burden dominates. Lower-left quadrant (low both pathways): Egypt, Morocco, Algeria, Yemen, Sudan, Syria, Iraq—large agricultural workforces (0.6-7M workers) and rural populations (6-59M residents) dilute per-unit burden despite high absolute costs; surveillance and monitoring sufficient. Gulf states (except Qatar) cluster mid-range on occupational axis ($1,000-1,300/worker) due to high wage valuations but low-to-mid on environmental axis due to small-to-moderate rural populations.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2B174582" w14:textId="47313A98" w:rsidR="006143DD" w:rsidRDefault="0017615B" w:rsidP="0028513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14:ligatures w14:val="standardContextual"/>
        </w:rPr>
        <w:lastRenderedPageBreak/>
        <w:drawing>
          <wp:inline distT="0" distB="0" distL="0" distR="0" wp14:anchorId="46A1B336" wp14:editId="48CE1ACA">
            <wp:extent cx="5942993" cy="2373330"/>
            <wp:effectExtent l="0" t="0" r="635" b="1905"/>
            <wp:docPr id="15202991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299187" name="Picture 1520299187"/>
                    <pic:cNvPicPr/>
                  </pic:nvPicPr>
                  <pic:blipFill rotWithShape="1">
                    <a:blip r:embed="rId21"/>
                    <a:srcRect t="10717" b="9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3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F3E498" w14:textId="19067546" w:rsidR="001A6D6E" w:rsidRPr="00DB79AA" w:rsidRDefault="006143DD" w:rsidP="00DB79AA">
      <w:pPr>
        <w:spacing w:after="160" w:line="278" w:lineRule="auto"/>
        <w:rPr>
          <w:rFonts w:asciiTheme="majorBidi" w:hAnsiTheme="majorBidi" w:cstheme="majorBidi"/>
        </w:rPr>
      </w:pPr>
      <w:r w:rsidRPr="0050664C">
        <w:rPr>
          <w:rFonts w:asciiTheme="majorBidi" w:hAnsiTheme="majorBidi" w:cstheme="majorBidi"/>
          <w:b/>
          <w:bCs/>
          <w:i/>
          <w:iCs/>
          <w:sz w:val="18"/>
          <w:szCs w:val="18"/>
        </w:rPr>
        <w:t>Figure S</w:t>
      </w:r>
      <w:r w:rsidR="00E73965">
        <w:rPr>
          <w:rFonts w:asciiTheme="majorBidi" w:hAnsiTheme="majorBidi" w:cstheme="majorBidi"/>
          <w:b/>
          <w:bCs/>
          <w:i/>
          <w:iCs/>
          <w:sz w:val="18"/>
          <w:szCs w:val="18"/>
        </w:rPr>
        <w:t>15</w:t>
      </w:r>
      <w:r w:rsidRPr="0050664C">
        <w:rPr>
          <w:rFonts w:asciiTheme="majorBidi" w:hAnsiTheme="majorBidi" w:cstheme="majorBidi"/>
          <w:b/>
          <w:bCs/>
          <w:i/>
          <w:iCs/>
          <w:sz w:val="18"/>
          <w:szCs w:val="18"/>
        </w:rPr>
        <w:t>.</w:t>
      </w:r>
      <w:r w:rsidRPr="0050664C">
        <w:rPr>
          <w:rFonts w:asciiTheme="majorBidi" w:hAnsiTheme="majorBidi" w:cstheme="majorBidi"/>
          <w:i/>
          <w:iCs/>
          <w:sz w:val="18"/>
          <w:szCs w:val="18"/>
        </w:rPr>
        <w:t> </w:t>
      </w:r>
      <w:r w:rsidRPr="0050664C">
        <w:rPr>
          <w:rFonts w:asciiTheme="majorBidi" w:hAnsiTheme="majorBidi" w:cstheme="majorBidi"/>
          <w:b/>
          <w:bCs/>
          <w:i/>
          <w:iCs/>
          <w:sz w:val="18"/>
          <w:szCs w:val="18"/>
        </w:rPr>
        <w:t>Chemical Ban: BCR Sensitivity Surface Across Assumed PD Latency and Discount Rate.</w:t>
      </w:r>
      <w:r w:rsidRPr="0050664C">
        <w:rPr>
          <w:rFonts w:asciiTheme="majorBidi" w:hAnsiTheme="majorBidi" w:cstheme="majorBidi"/>
          <w:i/>
          <w:iCs/>
          <w:sz w:val="18"/>
          <w:szCs w:val="18"/>
        </w:rPr>
        <w:t xml:space="preserve"> Two-panel heat map. Left panel: 20-year modelling horizon. Right panel: 35-year horizon. Colour scale (dark = lower BCR, lighter red = higher BCR) reflects the magnitude of BCR across the full parameter grid; the entire surface remains below BCR = 1.0. Yellow diamond = base-case parameters (4.5% discount rate, 15–20 year PD latency). White arrow indicates the direction of parameter combinations approaching (but not reaching) break-even. The flat region visible at latency ≥ 20 years in the 20-year panel reflects the mathematical boundary condition: when assumed latency exceeds the modelling horizon, zero PD benefit accrues regardless of discount rate. Annual implementation cost: USD 897.8 million. ID benefit (6% risk reduction) accrues from implementation year 1; PD benefit (20% risk reduction) accrues only after the latency period. BCR range under ±30% efficacy and ±50% cost sensitivity: 0.029–0.053. </w:t>
      </w:r>
      <w:r w:rsidR="005E0535">
        <w:rPr>
          <w:rFonts w:asciiTheme="majorBidi" w:hAnsiTheme="majorBidi" w:cstheme="majorBidi"/>
        </w:rPr>
        <w:br w:type="page"/>
      </w:r>
    </w:p>
    <w:p w14:paraId="400931ED" w14:textId="71470473" w:rsidR="00DB79AA" w:rsidRPr="00274042" w:rsidRDefault="00DB79AA" w:rsidP="001A6D6E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4C82B67F" wp14:editId="447317CC">
            <wp:extent cx="5943600" cy="2413421"/>
            <wp:effectExtent l="0" t="0" r="0" b="0"/>
            <wp:docPr id="193002686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26869" name="Picture 1930026869"/>
                    <pic:cNvPicPr/>
                  </pic:nvPicPr>
                  <pic:blipFill rotWithShape="1">
                    <a:blip r:embed="rId22"/>
                    <a:srcRect t="5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C9A7C" w14:textId="2A2CC04E" w:rsidR="00F77029" w:rsidRPr="00DB79AA" w:rsidRDefault="001A6D6E" w:rsidP="00DB79AA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 xml:space="preserve">Figure </w:t>
      </w:r>
      <w:r w:rsidR="00E032E6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S</w:t>
      </w:r>
      <w:r w:rsidR="00EF1301"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1</w:t>
      </w:r>
      <w:r w:rsidR="00E73965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6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sz w:val="18"/>
          <w:szCs w:val="18"/>
        </w:rPr>
        <w:t>. Cost-Effectiveness Ratios vs WHO GDP per Capita Thresholds, Typical MENA Country.</w:t>
      </w:r>
      <w:r w:rsidRPr="00274042">
        <w:rPr>
          <w:rFonts w:asciiTheme="majorBidi" w:hAnsiTheme="majorBidi" w:cstheme="majorBidi"/>
          <w:i/>
          <w:iCs/>
          <w:sz w:val="18"/>
          <w:szCs w:val="18"/>
        </w:rPr>
        <w:t xml:space="preserve"> Dual-panel lollipop chart. Panel A (linear scale, $0–$126,000): Surveillance ($651/DALY), PPE Program ($2,796/DALY), and Buffer Zones ($3,138/DALY) all fall within the green highly cost-effective zone (&lt; WHO 1×GDP threshold = $31,201). Dashed green line = WHO 1×GDP; dashed red line = WHO 3×GDP ($93,603). Panel B ($0–$300,000): Chemical Ban ($183,727/DALY; sensitivity range $141,328–$262,467) substantially exceeds the WHO 3×GDP threshold</w:t>
      </w:r>
      <w:r w:rsidR="00FA4A81" w:rsidRPr="00274042">
        <w:rPr>
          <w:rFonts w:asciiTheme="majorBidi" w:hAnsiTheme="majorBidi" w:cstheme="majorBidi"/>
          <w:i/>
          <w:iCs/>
          <w:sz w:val="18"/>
          <w:szCs w:val="18"/>
        </w:rPr>
        <w:t xml:space="preserve">. </w:t>
      </w:r>
      <w:r w:rsidRPr="00274042">
        <w:rPr>
          <w:rFonts w:asciiTheme="majorBidi" w:hAnsiTheme="majorBidi" w:cstheme="majorBidi"/>
          <w:i/>
          <w:iCs/>
          <w:sz w:val="18"/>
          <w:szCs w:val="18"/>
        </w:rPr>
        <w:t>MENA-average GDP per capita (PPP 2020 USD) = $31,201. Error bars = ±30% sensitivity on CER.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4CA6D923" w14:textId="649CB0B4" w:rsidR="00DB79AA" w:rsidRPr="00274042" w:rsidRDefault="00DB79AA" w:rsidP="001A6D6E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6A33DE0D" wp14:editId="256EC777">
            <wp:extent cx="5942250" cy="1489382"/>
            <wp:effectExtent l="0" t="0" r="1905" b="0"/>
            <wp:docPr id="210653053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530532" name="Picture 2106530532"/>
                    <pic:cNvPicPr/>
                  </pic:nvPicPr>
                  <pic:blipFill rotWithShape="1">
                    <a:blip r:embed="rId23"/>
                    <a:srcRect t="6295" b="28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0214EB" w14:textId="18BBE238" w:rsidR="001A6D6E" w:rsidRPr="005E0535" w:rsidRDefault="00F77029" w:rsidP="005E0535">
      <w:pPr>
        <w:spacing w:after="160" w:line="278" w:lineRule="auto"/>
        <w:rPr>
          <w:rFonts w:asciiTheme="majorBidi" w:hAnsiTheme="majorBidi" w:cstheme="majorBidi"/>
        </w:rPr>
      </w:pPr>
      <w:r w:rsidRPr="00F77029">
        <w:rPr>
          <w:rFonts w:asciiTheme="majorBidi" w:eastAsiaTheme="majorEastAsia" w:hAnsiTheme="majorBidi" w:cstheme="majorBidi"/>
          <w:b/>
          <w:bCs/>
          <w:i/>
          <w:iCs/>
          <w:sz w:val="18"/>
          <w:szCs w:val="18"/>
        </w:rPr>
        <w:t>Figure S17. Investment return timeline — payback period and net present value by intervention, typical MENA country.</w:t>
      </w:r>
      <w:r>
        <w:rPr>
          <w:rFonts w:asciiTheme="majorBidi" w:eastAsiaTheme="majorEastAsia" w:hAnsiTheme="majorBidi" w:cstheme="majorBidi"/>
          <w:b/>
          <w:bCs/>
          <w:i/>
          <w:iCs/>
          <w:sz w:val="18"/>
          <w:szCs w:val="18"/>
        </w:rPr>
        <w:t xml:space="preserve"> </w:t>
      </w:r>
      <w:r w:rsidRPr="00F77029">
        <w:rPr>
          <w:rFonts w:asciiTheme="majorBidi" w:eastAsiaTheme="majorEastAsia" w:hAnsiTheme="majorBidi" w:cstheme="majorBidi"/>
          <w:i/>
          <w:iCs/>
          <w:sz w:val="18"/>
          <w:szCs w:val="18"/>
        </w:rPr>
        <w:t>Panel A shows payback periods for the three cost-beneficial interventions: the Surveillance System recovers its implementation cost in approximately 5 weeks (0.10 years), the PPE Programme in 5 months (0.44 years), and Buffer Zones in 10 months (0.81 years). Panel B shows net present value (NPV) at 5-year (light blue) and 20-year (dark blue) horizons in USD millions (constant 2020 PPP), discounted at 4.5% annually. The Chemical Ban is excluded from both panels (20-year NPV = −$11,198M). All values derived from a typical MENA country profile; country-specific NPVs scale with agricultural workforce size and baseline disease burden.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6A7D1271" w14:textId="67013BD4" w:rsidR="007717B6" w:rsidRDefault="00DB79AA" w:rsidP="007717B6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356129E1" wp14:editId="38B48FE2">
            <wp:extent cx="5943527" cy="3277456"/>
            <wp:effectExtent l="0" t="0" r="635" b="0"/>
            <wp:docPr id="2493136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1367" name="Picture 24931367"/>
                    <pic:cNvPicPr/>
                  </pic:nvPicPr>
                  <pic:blipFill rotWithShape="1">
                    <a:blip r:embed="rId24"/>
                    <a:srcRect t="8874" b="5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7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972A8" w14:textId="75D18DA8" w:rsidR="007717B6" w:rsidRPr="005E0535" w:rsidRDefault="007717B6" w:rsidP="005E0535">
      <w:pPr>
        <w:spacing w:after="160" w:line="278" w:lineRule="auto"/>
        <w:rPr>
          <w:rFonts w:asciiTheme="majorBidi" w:hAnsiTheme="majorBidi" w:cstheme="majorBidi"/>
        </w:rPr>
      </w:pPr>
      <w:r w:rsidRPr="007717B6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 xml:space="preserve">Figure </w:t>
      </w:r>
      <w:r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S1</w:t>
      </w:r>
      <w:r w:rsidR="00653151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8</w:t>
      </w:r>
      <w:r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.</w:t>
      </w:r>
      <w:r w:rsidRPr="007717B6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 xml:space="preserve"> Tornado Diagrams — BCR Sensitivity to Key Parameters by Intervention (Typical MENA Country).</w:t>
      </w:r>
      <w:r w:rsidRPr="007717B6">
        <w:rPr>
          <w:rFonts w:asciiTheme="majorBidi" w:hAnsiTheme="majorBidi" w:cstheme="majorBidi"/>
          <w:i/>
          <w:iCs/>
          <w:color w:val="000000"/>
          <w:sz w:val="18"/>
          <w:szCs w:val="18"/>
        </w:rPr>
        <w:t xml:space="preserve"> Four-panel horizontal bar chart showing the BCR sensitivity range for the dominant parameter of each intervention under ±30% (efficacy) or ±50% (implementation cost) variation. Solid vertical line = base-case BCR; dashed vertical line = break-even (BCR = 1). Light shade = low estimate; dark shade = high estimate. Chemical Ban (top left): most sensitive parameter is implementation cost (±50%); BCR range 0.029–0.053 — entirely below break-even. Buffer Zones (top right): most sensitive parameter is health impact efficacy (±30%); BCR range 1.56–2.90 — above break-even in all scenarios. PPE Program (bottom left): health impact efficacy ±30%; BCR range 2.28–4.23. Surveillance (bottom right): health impact efficacy ±30%; BCR range 7.71–14.32. Parameter_Name, BCR_Low, BCR_High from sheet eROI_Sensitivity_Analy_Tornado (sheet 22). Human Capital valuation, 2020 USD PPP, 4.5% discount rate.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1B69C2D8" w14:textId="0A6FB296" w:rsidR="007717B6" w:rsidRDefault="00CF4901" w:rsidP="007717B6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7A22E90C" wp14:editId="5BFF0335">
            <wp:extent cx="5943535" cy="3657600"/>
            <wp:effectExtent l="0" t="0" r="635" b="0"/>
            <wp:docPr id="26277205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72059" name="Picture 262772059"/>
                    <pic:cNvPicPr/>
                  </pic:nvPicPr>
                  <pic:blipFill rotWithShape="1">
                    <a:blip r:embed="rId25"/>
                    <a:srcRect t="7985" b="5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49769" w14:textId="6F8304FB" w:rsidR="007717B6" w:rsidRPr="005E0535" w:rsidRDefault="007717B6" w:rsidP="005E0535">
      <w:pPr>
        <w:spacing w:after="160" w:line="278" w:lineRule="auto"/>
        <w:rPr>
          <w:rFonts w:asciiTheme="majorBidi" w:hAnsiTheme="majorBidi" w:cstheme="majorBidi"/>
        </w:rPr>
      </w:pPr>
      <w:r w:rsidRPr="007717B6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 xml:space="preserve">Figure </w:t>
      </w:r>
      <w:r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S1</w:t>
      </w:r>
      <w:r w:rsidR="00653151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9</w:t>
      </w:r>
      <w:r w:rsidRPr="007717B6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. Scenario Analysis — Best Case, Base Case, and Worst Case BCR and CER by Intervention.</w:t>
      </w:r>
      <w:r w:rsidRPr="007717B6">
        <w:rPr>
          <w:rFonts w:asciiTheme="majorBidi" w:hAnsiTheme="majorBidi" w:cstheme="majorBidi"/>
          <w:i/>
          <w:iCs/>
          <w:color w:val="000000"/>
          <w:sz w:val="18"/>
          <w:szCs w:val="18"/>
        </w:rPr>
        <w:t xml:space="preserve"> Four-panel grouped bar chart. Panels A and B: BCR under three scenarios. Panel A (linear scale): viable interventions (Buffer Zones, PPE Program, Surveillance) maintain BCR &gt; 1 in all scenarios; Surveillance BCR ranges 7.71–14.32. Panel B: Chemical Ban BCR ranges 0.029–0.053 — below break-even in all scenarios. Panels C and D: CER under three scenarios. Panel C: all three viable interventions remain well below WHO 1×GDP threshold ($31,201; green dashed) in all scenarios, including worst case (Buffer Zones $4,483, PPE $3,995, Surveillance $929). Panel D: Chemical Ban CER ranges $141,328 (best) to $262,467 (worst) — exceeding WHO 3×GDP ($93,603; red dashed) in all scenarios. Best case = BCR_High/CER_Low; worst case = BCR_Low/CER_High. WHO thresholds: 1×GDP = $31,201; 3×GDP = $93,603 (MENA average PPP 2020 USD).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4F60EFD3" w14:textId="25423233" w:rsidR="00274042" w:rsidRPr="00274042" w:rsidRDefault="00CF4901" w:rsidP="00274042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778C9987" wp14:editId="5E643B92">
            <wp:extent cx="5943600" cy="4253501"/>
            <wp:effectExtent l="0" t="0" r="0" b="1270"/>
            <wp:docPr id="17983592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59250" name="Picture 1798359250"/>
                    <pic:cNvPicPr/>
                  </pic:nvPicPr>
                  <pic:blipFill rotWithShape="1">
                    <a:blip r:embed="rId26"/>
                    <a:srcRect t="6698" b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D48F1" w14:textId="1D63F62E" w:rsidR="00274042" w:rsidRPr="005E0535" w:rsidRDefault="00274042" w:rsidP="005E0535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 xml:space="preserve">Figure </w:t>
      </w:r>
      <w:r w:rsidR="007B239D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S</w:t>
      </w:r>
      <w:r w:rsidR="00653151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20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. Composite priority score components by country for policy investment targeting.</w:t>
      </w:r>
      <w:r w:rsidRPr="00274042">
        <w:rPr>
          <w:rStyle w:val="apple-converted-space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 </w:t>
      </w:r>
      <w:r w:rsidRPr="00274042">
        <w:rPr>
          <w:rFonts w:asciiTheme="majorBidi" w:hAnsiTheme="majorBidi" w:cstheme="majorBidi"/>
          <w:i/>
          <w:iCs/>
          <w:color w:val="000000"/>
          <w:sz w:val="18"/>
          <w:szCs w:val="18"/>
        </w:rPr>
        <w:t>Stacked horizontal bars show weighted contributions of absolute disease burden (40%, red), per capita rate (30%, yellow), and implementation feasibility (30%, blue) to each country's composite priority score. Countries are ordered by final priority rank (Egypt = rank 1). Tier 1 countries (n=6) combine high burden with moderate-to-high feasibility; Tier 2 (n=6) have either high burden with low feasibility or moderate burden with high feasibility; Tier 3 (n=6) have low burden regardless of feasibility. Egypt's top ranking reflects both the highest absolute burden (203,275 DALYs) and strong feasibility (score=4/5), while Yemen ranks second due to exceptionally high per capita rate (235/100k) despite very low feasibility (score=1/5) due to active conflict.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</w:p>
    <w:p w14:paraId="543381B2" w14:textId="1F86BB2C" w:rsidR="00274042" w:rsidRDefault="006E3BA1" w:rsidP="00274042">
      <w:pPr>
        <w:pStyle w:val="whitespace-normal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  <w14:ligatures w14:val="standardContextual"/>
        </w:rPr>
        <w:lastRenderedPageBreak/>
        <w:drawing>
          <wp:inline distT="0" distB="0" distL="0" distR="0" wp14:anchorId="0EC75164" wp14:editId="40216651">
            <wp:extent cx="5942658" cy="3698697"/>
            <wp:effectExtent l="0" t="0" r="1270" b="0"/>
            <wp:docPr id="120968600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86000" name="Picture 1209686000"/>
                    <pic:cNvPicPr/>
                  </pic:nvPicPr>
                  <pic:blipFill rotWithShape="1">
                    <a:blip r:embed="rId27"/>
                    <a:srcRect t="6914" b="4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9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A5491" w14:textId="74A176F8" w:rsidR="006E3BA1" w:rsidRPr="006E3BA1" w:rsidRDefault="00274042" w:rsidP="006E3BA1">
      <w:pPr>
        <w:spacing w:after="160" w:line="278" w:lineRule="auto"/>
        <w:rPr>
          <w:rFonts w:asciiTheme="majorBidi" w:hAnsiTheme="majorBidi" w:cstheme="majorBidi"/>
        </w:rPr>
      </w:pP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 xml:space="preserve">Figure </w:t>
      </w:r>
      <w:r w:rsidR="007B239D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S</w:t>
      </w:r>
      <w:r w:rsidR="00653151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21</w:t>
      </w:r>
      <w:r w:rsidRPr="00274042">
        <w:rPr>
          <w:rStyle w:val="Strong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. Estimated 5-year health impact and implementation costs by priority tier.</w:t>
      </w:r>
      <w:r w:rsidRPr="00274042">
        <w:rPr>
          <w:rStyle w:val="apple-converted-space"/>
          <w:rFonts w:asciiTheme="majorBidi" w:eastAsiaTheme="majorEastAsia" w:hAnsiTheme="majorBidi" w:cstheme="majorBidi"/>
          <w:i/>
          <w:iCs/>
          <w:color w:val="000000"/>
          <w:sz w:val="18"/>
          <w:szCs w:val="18"/>
        </w:rPr>
        <w:t> </w:t>
      </w:r>
      <w:r w:rsidRPr="00274042">
        <w:rPr>
          <w:rFonts w:asciiTheme="majorBidi" w:hAnsiTheme="majorBidi" w:cstheme="majorBidi"/>
          <w:i/>
          <w:iCs/>
          <w:color w:val="000000"/>
          <w:sz w:val="18"/>
          <w:szCs w:val="18"/>
        </w:rPr>
        <w:t>Grouped bar chart compares projected DALYs averted (green bars, left y-axis) and total implementation costs (purple bars, right y-axis, millions USD) across three priority tiers over a 5-year horizon (2027–2031), assuming deployment of surveillance systems (highest benefit-cost ratio intervention, BCR=11.01) in each country. DALYs averted are uniform across tiers (195,670 per tier) because intervention efficacy assumptions are standardized; however, implementation costs decline sharply from Tier 1 ($2,041.8M for 6 countries) to Tier 2 ($945.4M) to Tier 3 ($371.0M), reflecting differences in agricultural workforce size and rural population scale. Tier 1 countries require 5.5× higher total investment than Tier 3 but offer the largest absolute health gains due to higher baseline burden.</w:t>
      </w:r>
      <w:r w:rsidR="005E0535" w:rsidRPr="005E0535">
        <w:rPr>
          <w:rFonts w:asciiTheme="majorBidi" w:hAnsiTheme="majorBidi" w:cstheme="majorBidi"/>
        </w:rPr>
        <w:t xml:space="preserve"> </w:t>
      </w:r>
      <w:r w:rsidR="005E0535">
        <w:rPr>
          <w:rFonts w:asciiTheme="majorBidi" w:hAnsiTheme="majorBidi" w:cstheme="majorBidi"/>
        </w:rPr>
        <w:br w:type="page"/>
      </w:r>
      <w:r w:rsidR="006E3BA1">
        <w:rPr>
          <w:rFonts w:asciiTheme="majorBidi" w:hAnsiTheme="majorBidi" w:cstheme="majorBidi"/>
          <w:b/>
          <w:bCs/>
          <w:i/>
          <w:iCs/>
          <w:noProof/>
          <w:color w:val="000000"/>
          <w:sz w:val="18"/>
          <w:szCs w:val="18"/>
          <w14:ligatures w14:val="standardContextual"/>
        </w:rPr>
        <w:lastRenderedPageBreak/>
        <w:drawing>
          <wp:inline distT="0" distB="0" distL="0" distR="0" wp14:anchorId="7628E3D4" wp14:editId="5EF65E53">
            <wp:extent cx="5943135" cy="3935002"/>
            <wp:effectExtent l="0" t="0" r="635" b="2540"/>
            <wp:docPr id="97373736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737360" name="Picture 973737360"/>
                    <pic:cNvPicPr/>
                  </pic:nvPicPr>
                  <pic:blipFill rotWithShape="1">
                    <a:blip r:embed="rId28"/>
                    <a:srcRect t="5893" b="3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FC54B" w14:textId="472B8B43" w:rsidR="002C4B26" w:rsidRPr="00274042" w:rsidRDefault="002C4B26" w:rsidP="002C4B26">
      <w:pPr>
        <w:pStyle w:val="whitespace-normal"/>
        <w:rPr>
          <w:rFonts w:asciiTheme="majorBidi" w:hAnsiTheme="majorBidi" w:cstheme="majorBidi"/>
          <w:i/>
          <w:iCs/>
          <w:color w:val="000000"/>
          <w:sz w:val="18"/>
          <w:szCs w:val="18"/>
        </w:rPr>
      </w:pPr>
      <w:r w:rsidRPr="002C4B26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Figure S</w:t>
      </w:r>
      <w:r w:rsidR="00653151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22</w:t>
      </w:r>
      <w:r w:rsidRPr="002C4B26">
        <w:rPr>
          <w:rFonts w:asciiTheme="majorBidi" w:hAnsiTheme="majorBidi" w:cstheme="majorBidi"/>
          <w:b/>
          <w:bCs/>
          <w:i/>
          <w:iCs/>
          <w:color w:val="000000"/>
          <w:sz w:val="18"/>
          <w:szCs w:val="18"/>
        </w:rPr>
        <w:t>. Optimal Pesticide-Intervention Sequencing by Country Priority Tier (2027–2037).</w:t>
      </w:r>
      <w:r w:rsidRPr="002C4B26">
        <w:rPr>
          <w:rFonts w:asciiTheme="majorBidi" w:hAnsiTheme="majorBidi" w:cstheme="majorBidi"/>
          <w:i/>
          <w:iCs/>
          <w:color w:val="000000"/>
          <w:sz w:val="18"/>
          <w:szCs w:val="18"/>
        </w:rPr>
        <w:t xml:space="preserve"> Gantt-style chart showing recommended intervention rollout sequence for all 18 MENA countries. Countries ordered by priority rank (Egypt rank 1 at top). Colour coding: Surveillance System (blue), PPE Programme (green), Buffer Zones (orange), Chemical Ban (red). Background shading indicates priority tier (red = Tier 1 Urgent, yellow = Tier 2 Important, blue = Tier 3 Consider). F= Implementation feasibility score (1=very low, 5=very high). BCR labels shown for Tier 1 countries reflect best available ROI intervention. Sequencing is determined by BCR order: Surveillance (11.0) → PPE (3.25) → Buffer Zones (2.23) → Chemical Ban (0.04, Tier 1 long-horizon only). Chemical Ban BCR at 20-year horizon; PD latency benefits extend beyond this window.</w:t>
      </w:r>
    </w:p>
    <w:sectPr w:rsidR="002C4B26" w:rsidRPr="002740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206"/>
    <w:multiLevelType w:val="multilevel"/>
    <w:tmpl w:val="6CAC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93869"/>
    <w:multiLevelType w:val="multilevel"/>
    <w:tmpl w:val="944C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74691"/>
    <w:multiLevelType w:val="multilevel"/>
    <w:tmpl w:val="B834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B61D3"/>
    <w:multiLevelType w:val="multilevel"/>
    <w:tmpl w:val="292C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C5E39"/>
    <w:multiLevelType w:val="multilevel"/>
    <w:tmpl w:val="E6FE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4137D1"/>
    <w:multiLevelType w:val="multilevel"/>
    <w:tmpl w:val="FF0A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96FAB"/>
    <w:multiLevelType w:val="multilevel"/>
    <w:tmpl w:val="98AA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F573F"/>
    <w:multiLevelType w:val="multilevel"/>
    <w:tmpl w:val="929A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262C81"/>
    <w:multiLevelType w:val="multilevel"/>
    <w:tmpl w:val="FA02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A0793"/>
    <w:multiLevelType w:val="multilevel"/>
    <w:tmpl w:val="8A1A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686D7A"/>
    <w:multiLevelType w:val="multilevel"/>
    <w:tmpl w:val="40D2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460405"/>
    <w:multiLevelType w:val="multilevel"/>
    <w:tmpl w:val="B0F0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565C34"/>
    <w:multiLevelType w:val="multilevel"/>
    <w:tmpl w:val="E248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1C0387"/>
    <w:multiLevelType w:val="multilevel"/>
    <w:tmpl w:val="07D6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A12AFF"/>
    <w:multiLevelType w:val="multilevel"/>
    <w:tmpl w:val="593A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A23E41"/>
    <w:multiLevelType w:val="multilevel"/>
    <w:tmpl w:val="1A9C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9F49D9"/>
    <w:multiLevelType w:val="multilevel"/>
    <w:tmpl w:val="8FBE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F4321F"/>
    <w:multiLevelType w:val="multilevel"/>
    <w:tmpl w:val="031E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DC2F29"/>
    <w:multiLevelType w:val="multilevel"/>
    <w:tmpl w:val="D666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2024E"/>
    <w:multiLevelType w:val="multilevel"/>
    <w:tmpl w:val="165A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B357E9"/>
    <w:multiLevelType w:val="multilevel"/>
    <w:tmpl w:val="897A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9A552A"/>
    <w:multiLevelType w:val="multilevel"/>
    <w:tmpl w:val="E078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690544"/>
    <w:multiLevelType w:val="multilevel"/>
    <w:tmpl w:val="69E2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566494"/>
    <w:multiLevelType w:val="multilevel"/>
    <w:tmpl w:val="A8D4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E10E7B"/>
    <w:multiLevelType w:val="multilevel"/>
    <w:tmpl w:val="4C1AE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941C2C"/>
    <w:multiLevelType w:val="multilevel"/>
    <w:tmpl w:val="CFEE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404B2A"/>
    <w:multiLevelType w:val="multilevel"/>
    <w:tmpl w:val="9F84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5E6FF8"/>
    <w:multiLevelType w:val="multilevel"/>
    <w:tmpl w:val="9546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9B67C3"/>
    <w:multiLevelType w:val="multilevel"/>
    <w:tmpl w:val="DC4E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DA58BE"/>
    <w:multiLevelType w:val="multilevel"/>
    <w:tmpl w:val="7CF4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7765C1"/>
    <w:multiLevelType w:val="multilevel"/>
    <w:tmpl w:val="CD3C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7F3C8A"/>
    <w:multiLevelType w:val="multilevel"/>
    <w:tmpl w:val="54AA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9037CA"/>
    <w:multiLevelType w:val="hybridMultilevel"/>
    <w:tmpl w:val="19F89446"/>
    <w:lvl w:ilvl="0" w:tplc="C72A3104">
      <w:start w:val="1"/>
      <w:numFmt w:val="bullet"/>
      <w:lvlText w:val="•"/>
      <w:lvlJc w:val="left"/>
      <w:pPr>
        <w:ind w:left="720" w:hanging="360"/>
      </w:pPr>
    </w:lvl>
    <w:lvl w:ilvl="1" w:tplc="BB7C28E0">
      <w:numFmt w:val="decimal"/>
      <w:lvlText w:val=""/>
      <w:lvlJc w:val="left"/>
    </w:lvl>
    <w:lvl w:ilvl="2" w:tplc="8B6E6942">
      <w:numFmt w:val="decimal"/>
      <w:lvlText w:val=""/>
      <w:lvlJc w:val="left"/>
    </w:lvl>
    <w:lvl w:ilvl="3" w:tplc="73AC179E">
      <w:numFmt w:val="decimal"/>
      <w:lvlText w:val=""/>
      <w:lvlJc w:val="left"/>
    </w:lvl>
    <w:lvl w:ilvl="4" w:tplc="73F87BEA">
      <w:numFmt w:val="decimal"/>
      <w:lvlText w:val=""/>
      <w:lvlJc w:val="left"/>
    </w:lvl>
    <w:lvl w:ilvl="5" w:tplc="4C0863E2">
      <w:numFmt w:val="decimal"/>
      <w:lvlText w:val=""/>
      <w:lvlJc w:val="left"/>
    </w:lvl>
    <w:lvl w:ilvl="6" w:tplc="4CF49458">
      <w:numFmt w:val="decimal"/>
      <w:lvlText w:val=""/>
      <w:lvlJc w:val="left"/>
    </w:lvl>
    <w:lvl w:ilvl="7" w:tplc="81F05A38">
      <w:numFmt w:val="decimal"/>
      <w:lvlText w:val=""/>
      <w:lvlJc w:val="left"/>
    </w:lvl>
    <w:lvl w:ilvl="8" w:tplc="930EF8A4">
      <w:numFmt w:val="decimal"/>
      <w:lvlText w:val=""/>
      <w:lvlJc w:val="left"/>
    </w:lvl>
  </w:abstractNum>
  <w:abstractNum w:abstractNumId="33" w15:restartNumberingAfterBreak="0">
    <w:nsid w:val="647A6022"/>
    <w:multiLevelType w:val="multilevel"/>
    <w:tmpl w:val="81A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835691"/>
    <w:multiLevelType w:val="multilevel"/>
    <w:tmpl w:val="82EE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A56474"/>
    <w:multiLevelType w:val="multilevel"/>
    <w:tmpl w:val="02A6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4A1C52"/>
    <w:multiLevelType w:val="multilevel"/>
    <w:tmpl w:val="5364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E53AE7"/>
    <w:multiLevelType w:val="multilevel"/>
    <w:tmpl w:val="CE5E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1B59D8"/>
    <w:multiLevelType w:val="multilevel"/>
    <w:tmpl w:val="1BAE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E045D0"/>
    <w:multiLevelType w:val="multilevel"/>
    <w:tmpl w:val="1250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972C04"/>
    <w:multiLevelType w:val="multilevel"/>
    <w:tmpl w:val="B29E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066464">
    <w:abstractNumId w:val="23"/>
  </w:num>
  <w:num w:numId="2" w16cid:durableId="1672757369">
    <w:abstractNumId w:val="34"/>
  </w:num>
  <w:num w:numId="3" w16cid:durableId="1999651992">
    <w:abstractNumId w:val="13"/>
  </w:num>
  <w:num w:numId="4" w16cid:durableId="891037834">
    <w:abstractNumId w:val="1"/>
  </w:num>
  <w:num w:numId="5" w16cid:durableId="1096438380">
    <w:abstractNumId w:val="0"/>
  </w:num>
  <w:num w:numId="6" w16cid:durableId="779226413">
    <w:abstractNumId w:val="24"/>
  </w:num>
  <w:num w:numId="7" w16cid:durableId="1939409293">
    <w:abstractNumId w:val="15"/>
  </w:num>
  <w:num w:numId="8" w16cid:durableId="166750543">
    <w:abstractNumId w:val="3"/>
  </w:num>
  <w:num w:numId="9" w16cid:durableId="1368677045">
    <w:abstractNumId w:val="27"/>
  </w:num>
  <w:num w:numId="10" w16cid:durableId="1444687212">
    <w:abstractNumId w:val="2"/>
  </w:num>
  <w:num w:numId="11" w16cid:durableId="925193646">
    <w:abstractNumId w:val="28"/>
  </w:num>
  <w:num w:numId="12" w16cid:durableId="1739980902">
    <w:abstractNumId w:val="21"/>
  </w:num>
  <w:num w:numId="13" w16cid:durableId="963999572">
    <w:abstractNumId w:val="33"/>
  </w:num>
  <w:num w:numId="14" w16cid:durableId="1053315676">
    <w:abstractNumId w:val="6"/>
  </w:num>
  <w:num w:numId="15" w16cid:durableId="1722051906">
    <w:abstractNumId w:val="30"/>
  </w:num>
  <w:num w:numId="16" w16cid:durableId="418478175">
    <w:abstractNumId w:val="26"/>
  </w:num>
  <w:num w:numId="17" w16cid:durableId="914047119">
    <w:abstractNumId w:val="12"/>
  </w:num>
  <w:num w:numId="18" w16cid:durableId="1827474499">
    <w:abstractNumId w:val="38"/>
  </w:num>
  <w:num w:numId="19" w16cid:durableId="639502470">
    <w:abstractNumId w:val="9"/>
  </w:num>
  <w:num w:numId="20" w16cid:durableId="1270888344">
    <w:abstractNumId w:val="20"/>
  </w:num>
  <w:num w:numId="21" w16cid:durableId="504397399">
    <w:abstractNumId w:val="39"/>
  </w:num>
  <w:num w:numId="22" w16cid:durableId="334650117">
    <w:abstractNumId w:val="18"/>
  </w:num>
  <w:num w:numId="23" w16cid:durableId="1853295154">
    <w:abstractNumId w:val="8"/>
  </w:num>
  <w:num w:numId="24" w16cid:durableId="590359608">
    <w:abstractNumId w:val="31"/>
  </w:num>
  <w:num w:numId="25" w16cid:durableId="453863292">
    <w:abstractNumId w:val="16"/>
  </w:num>
  <w:num w:numId="26" w16cid:durableId="1080100805">
    <w:abstractNumId w:val="25"/>
  </w:num>
  <w:num w:numId="27" w16cid:durableId="334456456">
    <w:abstractNumId w:val="22"/>
  </w:num>
  <w:num w:numId="28" w16cid:durableId="1150101026">
    <w:abstractNumId w:val="29"/>
  </w:num>
  <w:num w:numId="29" w16cid:durableId="946961536">
    <w:abstractNumId w:val="7"/>
  </w:num>
  <w:num w:numId="30" w16cid:durableId="1830293635">
    <w:abstractNumId w:val="10"/>
  </w:num>
  <w:num w:numId="31" w16cid:durableId="1497376085">
    <w:abstractNumId w:val="11"/>
  </w:num>
  <w:num w:numId="32" w16cid:durableId="2020427376">
    <w:abstractNumId w:val="36"/>
  </w:num>
  <w:num w:numId="33" w16cid:durableId="1552383292">
    <w:abstractNumId w:val="37"/>
  </w:num>
  <w:num w:numId="34" w16cid:durableId="625819034">
    <w:abstractNumId w:val="17"/>
  </w:num>
  <w:num w:numId="35" w16cid:durableId="360938230">
    <w:abstractNumId w:val="5"/>
  </w:num>
  <w:num w:numId="36" w16cid:durableId="1429890288">
    <w:abstractNumId w:val="40"/>
  </w:num>
  <w:num w:numId="37" w16cid:durableId="1249189865">
    <w:abstractNumId w:val="4"/>
  </w:num>
  <w:num w:numId="38" w16cid:durableId="849611297">
    <w:abstractNumId w:val="35"/>
  </w:num>
  <w:num w:numId="39" w16cid:durableId="2118597458">
    <w:abstractNumId w:val="19"/>
  </w:num>
  <w:num w:numId="40" w16cid:durableId="1350134915">
    <w:abstractNumId w:val="14"/>
  </w:num>
  <w:num w:numId="41" w16cid:durableId="66656647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F24AB2"/>
    <w:rsid w:val="00000318"/>
    <w:rsid w:val="0000506C"/>
    <w:rsid w:val="00007D9B"/>
    <w:rsid w:val="00010089"/>
    <w:rsid w:val="0001153E"/>
    <w:rsid w:val="00012C0D"/>
    <w:rsid w:val="0001533D"/>
    <w:rsid w:val="000202E9"/>
    <w:rsid w:val="00022416"/>
    <w:rsid w:val="00023A03"/>
    <w:rsid w:val="00026389"/>
    <w:rsid w:val="00026D14"/>
    <w:rsid w:val="00027AE0"/>
    <w:rsid w:val="00031B21"/>
    <w:rsid w:val="00033E7D"/>
    <w:rsid w:val="00037B38"/>
    <w:rsid w:val="0004081C"/>
    <w:rsid w:val="00042B53"/>
    <w:rsid w:val="0005340B"/>
    <w:rsid w:val="00054B20"/>
    <w:rsid w:val="000615E3"/>
    <w:rsid w:val="00064CB2"/>
    <w:rsid w:val="00066E6C"/>
    <w:rsid w:val="00070C74"/>
    <w:rsid w:val="0007170E"/>
    <w:rsid w:val="00071D10"/>
    <w:rsid w:val="00072CE2"/>
    <w:rsid w:val="00074D3D"/>
    <w:rsid w:val="00077D45"/>
    <w:rsid w:val="0008125B"/>
    <w:rsid w:val="00081D88"/>
    <w:rsid w:val="00083C6E"/>
    <w:rsid w:val="000871A4"/>
    <w:rsid w:val="00090853"/>
    <w:rsid w:val="00093CA6"/>
    <w:rsid w:val="00096A52"/>
    <w:rsid w:val="0009719F"/>
    <w:rsid w:val="000A1CFB"/>
    <w:rsid w:val="000B242D"/>
    <w:rsid w:val="000B47DD"/>
    <w:rsid w:val="000B4FF8"/>
    <w:rsid w:val="000B7CA6"/>
    <w:rsid w:val="000C4153"/>
    <w:rsid w:val="000C5D0E"/>
    <w:rsid w:val="000C5DFF"/>
    <w:rsid w:val="000D1D6F"/>
    <w:rsid w:val="000D36B2"/>
    <w:rsid w:val="000D666E"/>
    <w:rsid w:val="000E139A"/>
    <w:rsid w:val="000E1E35"/>
    <w:rsid w:val="000E2E4A"/>
    <w:rsid w:val="000E5C86"/>
    <w:rsid w:val="000F02E3"/>
    <w:rsid w:val="000F4747"/>
    <w:rsid w:val="000F6507"/>
    <w:rsid w:val="000F6E90"/>
    <w:rsid w:val="00100B7F"/>
    <w:rsid w:val="00102B85"/>
    <w:rsid w:val="00103069"/>
    <w:rsid w:val="0011151E"/>
    <w:rsid w:val="00114CC3"/>
    <w:rsid w:val="00115A22"/>
    <w:rsid w:val="00120070"/>
    <w:rsid w:val="00120B93"/>
    <w:rsid w:val="00121C84"/>
    <w:rsid w:val="00124279"/>
    <w:rsid w:val="00127830"/>
    <w:rsid w:val="00127AFD"/>
    <w:rsid w:val="00131DB6"/>
    <w:rsid w:val="00132973"/>
    <w:rsid w:val="001354C1"/>
    <w:rsid w:val="0013581E"/>
    <w:rsid w:val="00135E86"/>
    <w:rsid w:val="00146930"/>
    <w:rsid w:val="0014734D"/>
    <w:rsid w:val="00147C21"/>
    <w:rsid w:val="00153EF5"/>
    <w:rsid w:val="00154261"/>
    <w:rsid w:val="00156F4D"/>
    <w:rsid w:val="00161FBF"/>
    <w:rsid w:val="00165E17"/>
    <w:rsid w:val="0017286B"/>
    <w:rsid w:val="001736B5"/>
    <w:rsid w:val="00173BBC"/>
    <w:rsid w:val="00174BB6"/>
    <w:rsid w:val="0017615B"/>
    <w:rsid w:val="001763A1"/>
    <w:rsid w:val="00176465"/>
    <w:rsid w:val="001807F9"/>
    <w:rsid w:val="001809D9"/>
    <w:rsid w:val="00180FD5"/>
    <w:rsid w:val="00182B00"/>
    <w:rsid w:val="00183829"/>
    <w:rsid w:val="00183842"/>
    <w:rsid w:val="0018395A"/>
    <w:rsid w:val="00185CB5"/>
    <w:rsid w:val="00195F01"/>
    <w:rsid w:val="00195F29"/>
    <w:rsid w:val="001A4015"/>
    <w:rsid w:val="001A6D6E"/>
    <w:rsid w:val="001A7D7D"/>
    <w:rsid w:val="001B63F6"/>
    <w:rsid w:val="001B6C9F"/>
    <w:rsid w:val="001C3774"/>
    <w:rsid w:val="001C3AED"/>
    <w:rsid w:val="001C629D"/>
    <w:rsid w:val="001C7C94"/>
    <w:rsid w:val="001D30F8"/>
    <w:rsid w:val="001D77D7"/>
    <w:rsid w:val="001E0972"/>
    <w:rsid w:val="001E223C"/>
    <w:rsid w:val="001E2F41"/>
    <w:rsid w:val="001F1079"/>
    <w:rsid w:val="001F3462"/>
    <w:rsid w:val="001F5026"/>
    <w:rsid w:val="00200294"/>
    <w:rsid w:val="00200A90"/>
    <w:rsid w:val="00201682"/>
    <w:rsid w:val="00202FE9"/>
    <w:rsid w:val="00205DE1"/>
    <w:rsid w:val="00210708"/>
    <w:rsid w:val="00210CF6"/>
    <w:rsid w:val="00211416"/>
    <w:rsid w:val="00214B43"/>
    <w:rsid w:val="002156AE"/>
    <w:rsid w:val="00215C58"/>
    <w:rsid w:val="002206FF"/>
    <w:rsid w:val="00220DB9"/>
    <w:rsid w:val="00220DE8"/>
    <w:rsid w:val="00221F64"/>
    <w:rsid w:val="002242F8"/>
    <w:rsid w:val="00226A85"/>
    <w:rsid w:val="00231E87"/>
    <w:rsid w:val="00232A87"/>
    <w:rsid w:val="0023474C"/>
    <w:rsid w:val="00234A09"/>
    <w:rsid w:val="00235568"/>
    <w:rsid w:val="00236A5F"/>
    <w:rsid w:val="00244DBE"/>
    <w:rsid w:val="002455C1"/>
    <w:rsid w:val="00246E51"/>
    <w:rsid w:val="00250D5E"/>
    <w:rsid w:val="00252B50"/>
    <w:rsid w:val="00252FB3"/>
    <w:rsid w:val="00253C4A"/>
    <w:rsid w:val="0025546B"/>
    <w:rsid w:val="00255868"/>
    <w:rsid w:val="00260C49"/>
    <w:rsid w:val="0026170C"/>
    <w:rsid w:val="00262B69"/>
    <w:rsid w:val="0026450B"/>
    <w:rsid w:val="00274042"/>
    <w:rsid w:val="00275465"/>
    <w:rsid w:val="002805BA"/>
    <w:rsid w:val="002814E3"/>
    <w:rsid w:val="00283481"/>
    <w:rsid w:val="0028513C"/>
    <w:rsid w:val="00285902"/>
    <w:rsid w:val="00286523"/>
    <w:rsid w:val="00287506"/>
    <w:rsid w:val="00291B29"/>
    <w:rsid w:val="00294797"/>
    <w:rsid w:val="00295D2C"/>
    <w:rsid w:val="002961FE"/>
    <w:rsid w:val="002A26C5"/>
    <w:rsid w:val="002A2C76"/>
    <w:rsid w:val="002B1ED5"/>
    <w:rsid w:val="002B212E"/>
    <w:rsid w:val="002B6190"/>
    <w:rsid w:val="002C0CE7"/>
    <w:rsid w:val="002C173D"/>
    <w:rsid w:val="002C4B26"/>
    <w:rsid w:val="002C4F11"/>
    <w:rsid w:val="002D0251"/>
    <w:rsid w:val="002E0961"/>
    <w:rsid w:val="002E1D4C"/>
    <w:rsid w:val="002E5339"/>
    <w:rsid w:val="002E5D13"/>
    <w:rsid w:val="002E7B88"/>
    <w:rsid w:val="002F5A20"/>
    <w:rsid w:val="002F655B"/>
    <w:rsid w:val="002F77EB"/>
    <w:rsid w:val="0030152A"/>
    <w:rsid w:val="003024A9"/>
    <w:rsid w:val="00303910"/>
    <w:rsid w:val="00304421"/>
    <w:rsid w:val="00305673"/>
    <w:rsid w:val="0030781A"/>
    <w:rsid w:val="00311848"/>
    <w:rsid w:val="0031215E"/>
    <w:rsid w:val="0031246F"/>
    <w:rsid w:val="00314AD3"/>
    <w:rsid w:val="0032339F"/>
    <w:rsid w:val="00325C22"/>
    <w:rsid w:val="0032694C"/>
    <w:rsid w:val="003317B7"/>
    <w:rsid w:val="00331C83"/>
    <w:rsid w:val="00332614"/>
    <w:rsid w:val="00332F01"/>
    <w:rsid w:val="00333172"/>
    <w:rsid w:val="003339B8"/>
    <w:rsid w:val="003365E8"/>
    <w:rsid w:val="003370A4"/>
    <w:rsid w:val="0033799A"/>
    <w:rsid w:val="00344A39"/>
    <w:rsid w:val="00346400"/>
    <w:rsid w:val="00346D5D"/>
    <w:rsid w:val="00347A39"/>
    <w:rsid w:val="00350502"/>
    <w:rsid w:val="00351590"/>
    <w:rsid w:val="00360B10"/>
    <w:rsid w:val="00360F33"/>
    <w:rsid w:val="00361BEB"/>
    <w:rsid w:val="00363753"/>
    <w:rsid w:val="00363B9F"/>
    <w:rsid w:val="00365812"/>
    <w:rsid w:val="00365957"/>
    <w:rsid w:val="003666CC"/>
    <w:rsid w:val="003747FC"/>
    <w:rsid w:val="0037652B"/>
    <w:rsid w:val="00377D8F"/>
    <w:rsid w:val="003826E4"/>
    <w:rsid w:val="003840E6"/>
    <w:rsid w:val="00385463"/>
    <w:rsid w:val="00391315"/>
    <w:rsid w:val="00393899"/>
    <w:rsid w:val="003A131E"/>
    <w:rsid w:val="003A354B"/>
    <w:rsid w:val="003A4D1E"/>
    <w:rsid w:val="003B2448"/>
    <w:rsid w:val="003B3365"/>
    <w:rsid w:val="003B52D0"/>
    <w:rsid w:val="003C4527"/>
    <w:rsid w:val="003C4622"/>
    <w:rsid w:val="003C55E8"/>
    <w:rsid w:val="003C5DFE"/>
    <w:rsid w:val="003C7AA4"/>
    <w:rsid w:val="003D1223"/>
    <w:rsid w:val="003D5C7A"/>
    <w:rsid w:val="003E30A2"/>
    <w:rsid w:val="003E4FD5"/>
    <w:rsid w:val="003F219F"/>
    <w:rsid w:val="003F22CC"/>
    <w:rsid w:val="003F3170"/>
    <w:rsid w:val="0040152F"/>
    <w:rsid w:val="00406729"/>
    <w:rsid w:val="00412985"/>
    <w:rsid w:val="00422ED4"/>
    <w:rsid w:val="004244CD"/>
    <w:rsid w:val="004267EF"/>
    <w:rsid w:val="00427F9D"/>
    <w:rsid w:val="00441B67"/>
    <w:rsid w:val="00442498"/>
    <w:rsid w:val="004432A6"/>
    <w:rsid w:val="004437FE"/>
    <w:rsid w:val="004468A2"/>
    <w:rsid w:val="0044746E"/>
    <w:rsid w:val="00447B59"/>
    <w:rsid w:val="0045517E"/>
    <w:rsid w:val="00457D01"/>
    <w:rsid w:val="0046022F"/>
    <w:rsid w:val="004650BB"/>
    <w:rsid w:val="0046646D"/>
    <w:rsid w:val="00466FBD"/>
    <w:rsid w:val="004675D0"/>
    <w:rsid w:val="004703B6"/>
    <w:rsid w:val="00471E22"/>
    <w:rsid w:val="00472A50"/>
    <w:rsid w:val="00474DBE"/>
    <w:rsid w:val="004819DF"/>
    <w:rsid w:val="00483A54"/>
    <w:rsid w:val="00492E9A"/>
    <w:rsid w:val="004930A7"/>
    <w:rsid w:val="00494CF9"/>
    <w:rsid w:val="004A3556"/>
    <w:rsid w:val="004A7D81"/>
    <w:rsid w:val="004B4133"/>
    <w:rsid w:val="004B471A"/>
    <w:rsid w:val="004B6947"/>
    <w:rsid w:val="004B74F2"/>
    <w:rsid w:val="004B7B88"/>
    <w:rsid w:val="004C0C5B"/>
    <w:rsid w:val="004C1417"/>
    <w:rsid w:val="004C4E94"/>
    <w:rsid w:val="004C6037"/>
    <w:rsid w:val="004D3209"/>
    <w:rsid w:val="004D6597"/>
    <w:rsid w:val="004E15DF"/>
    <w:rsid w:val="004E25D2"/>
    <w:rsid w:val="004E3B13"/>
    <w:rsid w:val="004E4395"/>
    <w:rsid w:val="004E7003"/>
    <w:rsid w:val="004F1A0A"/>
    <w:rsid w:val="0050664C"/>
    <w:rsid w:val="0050793E"/>
    <w:rsid w:val="00507D5D"/>
    <w:rsid w:val="0051034F"/>
    <w:rsid w:val="00510A06"/>
    <w:rsid w:val="00512E58"/>
    <w:rsid w:val="00512FA5"/>
    <w:rsid w:val="00513A55"/>
    <w:rsid w:val="00515623"/>
    <w:rsid w:val="00517FB5"/>
    <w:rsid w:val="00521640"/>
    <w:rsid w:val="00521DEA"/>
    <w:rsid w:val="00522099"/>
    <w:rsid w:val="00523B30"/>
    <w:rsid w:val="00526083"/>
    <w:rsid w:val="0052737B"/>
    <w:rsid w:val="0053286B"/>
    <w:rsid w:val="00535CC0"/>
    <w:rsid w:val="005377AD"/>
    <w:rsid w:val="00537A57"/>
    <w:rsid w:val="005440C5"/>
    <w:rsid w:val="005441CA"/>
    <w:rsid w:val="0056352D"/>
    <w:rsid w:val="00564C89"/>
    <w:rsid w:val="005732E8"/>
    <w:rsid w:val="00573869"/>
    <w:rsid w:val="00576045"/>
    <w:rsid w:val="00582FA0"/>
    <w:rsid w:val="00585295"/>
    <w:rsid w:val="00586F9B"/>
    <w:rsid w:val="00594233"/>
    <w:rsid w:val="00595FC7"/>
    <w:rsid w:val="005A4F7F"/>
    <w:rsid w:val="005A58A4"/>
    <w:rsid w:val="005A7A97"/>
    <w:rsid w:val="005B51B5"/>
    <w:rsid w:val="005B6347"/>
    <w:rsid w:val="005B736A"/>
    <w:rsid w:val="005C3A9C"/>
    <w:rsid w:val="005D0B84"/>
    <w:rsid w:val="005D223C"/>
    <w:rsid w:val="005D3857"/>
    <w:rsid w:val="005D430D"/>
    <w:rsid w:val="005E0535"/>
    <w:rsid w:val="005E3182"/>
    <w:rsid w:val="005E6862"/>
    <w:rsid w:val="005E7578"/>
    <w:rsid w:val="005F2337"/>
    <w:rsid w:val="005F63AC"/>
    <w:rsid w:val="00605D23"/>
    <w:rsid w:val="00605F19"/>
    <w:rsid w:val="006070DC"/>
    <w:rsid w:val="00611BEA"/>
    <w:rsid w:val="006132FA"/>
    <w:rsid w:val="006143DD"/>
    <w:rsid w:val="00616940"/>
    <w:rsid w:val="00631DBF"/>
    <w:rsid w:val="00632504"/>
    <w:rsid w:val="0063357C"/>
    <w:rsid w:val="006465A9"/>
    <w:rsid w:val="00646925"/>
    <w:rsid w:val="006530E4"/>
    <w:rsid w:val="00653151"/>
    <w:rsid w:val="00653897"/>
    <w:rsid w:val="00655FA6"/>
    <w:rsid w:val="00657E8B"/>
    <w:rsid w:val="00661CCE"/>
    <w:rsid w:val="00664ADA"/>
    <w:rsid w:val="00666633"/>
    <w:rsid w:val="00666BBA"/>
    <w:rsid w:val="00666D6C"/>
    <w:rsid w:val="0067277B"/>
    <w:rsid w:val="00673C26"/>
    <w:rsid w:val="00674C50"/>
    <w:rsid w:val="00680486"/>
    <w:rsid w:val="0069254B"/>
    <w:rsid w:val="00692C58"/>
    <w:rsid w:val="00695CEC"/>
    <w:rsid w:val="00695EE9"/>
    <w:rsid w:val="00697060"/>
    <w:rsid w:val="00697124"/>
    <w:rsid w:val="006A1DF2"/>
    <w:rsid w:val="006A576D"/>
    <w:rsid w:val="006B02E8"/>
    <w:rsid w:val="006B10F6"/>
    <w:rsid w:val="006B3A88"/>
    <w:rsid w:val="006C596D"/>
    <w:rsid w:val="006C5A4B"/>
    <w:rsid w:val="006D39CB"/>
    <w:rsid w:val="006D3AD2"/>
    <w:rsid w:val="006D7960"/>
    <w:rsid w:val="006D7B49"/>
    <w:rsid w:val="006E3BA1"/>
    <w:rsid w:val="006E6625"/>
    <w:rsid w:val="006E6873"/>
    <w:rsid w:val="006E7BC1"/>
    <w:rsid w:val="006E7D7E"/>
    <w:rsid w:val="006F0498"/>
    <w:rsid w:val="006F241C"/>
    <w:rsid w:val="006F36B0"/>
    <w:rsid w:val="006F471B"/>
    <w:rsid w:val="006F58C5"/>
    <w:rsid w:val="007005EB"/>
    <w:rsid w:val="00701A37"/>
    <w:rsid w:val="00703EA3"/>
    <w:rsid w:val="0071096A"/>
    <w:rsid w:val="00713457"/>
    <w:rsid w:val="00713788"/>
    <w:rsid w:val="00713A44"/>
    <w:rsid w:val="00717AF4"/>
    <w:rsid w:val="00720312"/>
    <w:rsid w:val="007205B9"/>
    <w:rsid w:val="007206B8"/>
    <w:rsid w:val="007206C0"/>
    <w:rsid w:val="0072661E"/>
    <w:rsid w:val="007322ED"/>
    <w:rsid w:val="0073291F"/>
    <w:rsid w:val="00746149"/>
    <w:rsid w:val="00754F6C"/>
    <w:rsid w:val="00765951"/>
    <w:rsid w:val="00767537"/>
    <w:rsid w:val="007677E6"/>
    <w:rsid w:val="007701FC"/>
    <w:rsid w:val="007717B6"/>
    <w:rsid w:val="00771BA0"/>
    <w:rsid w:val="00772D36"/>
    <w:rsid w:val="0078140A"/>
    <w:rsid w:val="00782352"/>
    <w:rsid w:val="0078273B"/>
    <w:rsid w:val="007859BB"/>
    <w:rsid w:val="00785B7B"/>
    <w:rsid w:val="007902CB"/>
    <w:rsid w:val="007904D2"/>
    <w:rsid w:val="00794D8A"/>
    <w:rsid w:val="007A7321"/>
    <w:rsid w:val="007B239D"/>
    <w:rsid w:val="007B32CC"/>
    <w:rsid w:val="007B4347"/>
    <w:rsid w:val="007B7379"/>
    <w:rsid w:val="007B750A"/>
    <w:rsid w:val="007C19AF"/>
    <w:rsid w:val="007C546C"/>
    <w:rsid w:val="007C6272"/>
    <w:rsid w:val="007D0E2E"/>
    <w:rsid w:val="007D1DB9"/>
    <w:rsid w:val="007D2535"/>
    <w:rsid w:val="007D38AE"/>
    <w:rsid w:val="007D39CA"/>
    <w:rsid w:val="007D58BE"/>
    <w:rsid w:val="007D6DDA"/>
    <w:rsid w:val="007E2416"/>
    <w:rsid w:val="007E482E"/>
    <w:rsid w:val="007E5563"/>
    <w:rsid w:val="007F2184"/>
    <w:rsid w:val="007F4437"/>
    <w:rsid w:val="007F5A4A"/>
    <w:rsid w:val="007F6B9B"/>
    <w:rsid w:val="00804506"/>
    <w:rsid w:val="00804F87"/>
    <w:rsid w:val="008073E3"/>
    <w:rsid w:val="00811D09"/>
    <w:rsid w:val="008136F1"/>
    <w:rsid w:val="00813AD3"/>
    <w:rsid w:val="00815529"/>
    <w:rsid w:val="00816560"/>
    <w:rsid w:val="008205E0"/>
    <w:rsid w:val="008220B7"/>
    <w:rsid w:val="008253FF"/>
    <w:rsid w:val="00825FA3"/>
    <w:rsid w:val="00830286"/>
    <w:rsid w:val="00831102"/>
    <w:rsid w:val="0083130B"/>
    <w:rsid w:val="00832B72"/>
    <w:rsid w:val="00835ECA"/>
    <w:rsid w:val="00836745"/>
    <w:rsid w:val="008414EF"/>
    <w:rsid w:val="00841AE3"/>
    <w:rsid w:val="00845B64"/>
    <w:rsid w:val="008477B5"/>
    <w:rsid w:val="00853C82"/>
    <w:rsid w:val="008545A5"/>
    <w:rsid w:val="00861B75"/>
    <w:rsid w:val="00864658"/>
    <w:rsid w:val="00870F60"/>
    <w:rsid w:val="008710FD"/>
    <w:rsid w:val="00871714"/>
    <w:rsid w:val="008744FF"/>
    <w:rsid w:val="00875BF0"/>
    <w:rsid w:val="00876E8E"/>
    <w:rsid w:val="00877C4B"/>
    <w:rsid w:val="008857EA"/>
    <w:rsid w:val="00890170"/>
    <w:rsid w:val="008905B8"/>
    <w:rsid w:val="008A1470"/>
    <w:rsid w:val="008A15BA"/>
    <w:rsid w:val="008A3155"/>
    <w:rsid w:val="008A4727"/>
    <w:rsid w:val="008A514D"/>
    <w:rsid w:val="008A61B4"/>
    <w:rsid w:val="008B78F3"/>
    <w:rsid w:val="008C3B68"/>
    <w:rsid w:val="008C6E60"/>
    <w:rsid w:val="008D0991"/>
    <w:rsid w:val="008D1BA5"/>
    <w:rsid w:val="008D2932"/>
    <w:rsid w:val="008E1E1A"/>
    <w:rsid w:val="008E272F"/>
    <w:rsid w:val="008E748C"/>
    <w:rsid w:val="008F12B3"/>
    <w:rsid w:val="008F3D4C"/>
    <w:rsid w:val="008F51FE"/>
    <w:rsid w:val="008F7AB1"/>
    <w:rsid w:val="009011E6"/>
    <w:rsid w:val="00904823"/>
    <w:rsid w:val="009058D3"/>
    <w:rsid w:val="00910F3D"/>
    <w:rsid w:val="00912FC5"/>
    <w:rsid w:val="009172E7"/>
    <w:rsid w:val="009200AA"/>
    <w:rsid w:val="00921299"/>
    <w:rsid w:val="0092221E"/>
    <w:rsid w:val="009226F7"/>
    <w:rsid w:val="00925AAE"/>
    <w:rsid w:val="0092640F"/>
    <w:rsid w:val="009307F3"/>
    <w:rsid w:val="00930E36"/>
    <w:rsid w:val="009401D3"/>
    <w:rsid w:val="00940A21"/>
    <w:rsid w:val="00942D49"/>
    <w:rsid w:val="00944793"/>
    <w:rsid w:val="00944CB5"/>
    <w:rsid w:val="00946734"/>
    <w:rsid w:val="00946D9F"/>
    <w:rsid w:val="00947EE8"/>
    <w:rsid w:val="00956130"/>
    <w:rsid w:val="00956E83"/>
    <w:rsid w:val="00960D25"/>
    <w:rsid w:val="0097411F"/>
    <w:rsid w:val="0097513C"/>
    <w:rsid w:val="009751A0"/>
    <w:rsid w:val="009762CD"/>
    <w:rsid w:val="00976A0D"/>
    <w:rsid w:val="00980A20"/>
    <w:rsid w:val="00994913"/>
    <w:rsid w:val="009968F0"/>
    <w:rsid w:val="00997CE8"/>
    <w:rsid w:val="009A052D"/>
    <w:rsid w:val="009A318A"/>
    <w:rsid w:val="009A694A"/>
    <w:rsid w:val="009A7EF7"/>
    <w:rsid w:val="009B189A"/>
    <w:rsid w:val="009B1E0F"/>
    <w:rsid w:val="009B2B26"/>
    <w:rsid w:val="009B35E1"/>
    <w:rsid w:val="009B5978"/>
    <w:rsid w:val="009C2F2F"/>
    <w:rsid w:val="009D062C"/>
    <w:rsid w:val="009D27A7"/>
    <w:rsid w:val="009D3D4F"/>
    <w:rsid w:val="009D44B4"/>
    <w:rsid w:val="009D5A80"/>
    <w:rsid w:val="009D7408"/>
    <w:rsid w:val="009E5E9A"/>
    <w:rsid w:val="009E77B4"/>
    <w:rsid w:val="009E7F7C"/>
    <w:rsid w:val="009F0115"/>
    <w:rsid w:val="009F0EEA"/>
    <w:rsid w:val="009F59F7"/>
    <w:rsid w:val="009F680D"/>
    <w:rsid w:val="009F6F56"/>
    <w:rsid w:val="00A02ECC"/>
    <w:rsid w:val="00A0304D"/>
    <w:rsid w:val="00A05731"/>
    <w:rsid w:val="00A060FF"/>
    <w:rsid w:val="00A07035"/>
    <w:rsid w:val="00A11625"/>
    <w:rsid w:val="00A1227B"/>
    <w:rsid w:val="00A12344"/>
    <w:rsid w:val="00A133AD"/>
    <w:rsid w:val="00A17BB0"/>
    <w:rsid w:val="00A17CB7"/>
    <w:rsid w:val="00A17D47"/>
    <w:rsid w:val="00A21E6C"/>
    <w:rsid w:val="00A2475C"/>
    <w:rsid w:val="00A2660B"/>
    <w:rsid w:val="00A27273"/>
    <w:rsid w:val="00A32A01"/>
    <w:rsid w:val="00A366D2"/>
    <w:rsid w:val="00A404A0"/>
    <w:rsid w:val="00A445D7"/>
    <w:rsid w:val="00A45FA5"/>
    <w:rsid w:val="00A46905"/>
    <w:rsid w:val="00A50DA5"/>
    <w:rsid w:val="00A525D3"/>
    <w:rsid w:val="00A559C7"/>
    <w:rsid w:val="00A65CF9"/>
    <w:rsid w:val="00A7007B"/>
    <w:rsid w:val="00A70BF0"/>
    <w:rsid w:val="00A72C6D"/>
    <w:rsid w:val="00A7434B"/>
    <w:rsid w:val="00A75FFE"/>
    <w:rsid w:val="00A85700"/>
    <w:rsid w:val="00A90680"/>
    <w:rsid w:val="00A90934"/>
    <w:rsid w:val="00AB1CF7"/>
    <w:rsid w:val="00AB1D46"/>
    <w:rsid w:val="00AB6B1D"/>
    <w:rsid w:val="00AB7F55"/>
    <w:rsid w:val="00AC1FA3"/>
    <w:rsid w:val="00AC6E75"/>
    <w:rsid w:val="00AD0429"/>
    <w:rsid w:val="00AD1F2B"/>
    <w:rsid w:val="00AD21EC"/>
    <w:rsid w:val="00AD2443"/>
    <w:rsid w:val="00AD2AA1"/>
    <w:rsid w:val="00AE080E"/>
    <w:rsid w:val="00AE66B1"/>
    <w:rsid w:val="00AF0358"/>
    <w:rsid w:val="00B11097"/>
    <w:rsid w:val="00B120BD"/>
    <w:rsid w:val="00B1292E"/>
    <w:rsid w:val="00B13A9D"/>
    <w:rsid w:val="00B14BF7"/>
    <w:rsid w:val="00B16EEE"/>
    <w:rsid w:val="00B21EA7"/>
    <w:rsid w:val="00B26EA2"/>
    <w:rsid w:val="00B27A25"/>
    <w:rsid w:val="00B27E83"/>
    <w:rsid w:val="00B364F4"/>
    <w:rsid w:val="00B40173"/>
    <w:rsid w:val="00B409AC"/>
    <w:rsid w:val="00B41A3F"/>
    <w:rsid w:val="00B43423"/>
    <w:rsid w:val="00B43AD3"/>
    <w:rsid w:val="00B448C2"/>
    <w:rsid w:val="00B47DBB"/>
    <w:rsid w:val="00B50B19"/>
    <w:rsid w:val="00B527C2"/>
    <w:rsid w:val="00B53503"/>
    <w:rsid w:val="00B54D2A"/>
    <w:rsid w:val="00B55492"/>
    <w:rsid w:val="00B556EF"/>
    <w:rsid w:val="00B5614B"/>
    <w:rsid w:val="00B5699A"/>
    <w:rsid w:val="00B57B25"/>
    <w:rsid w:val="00B645AB"/>
    <w:rsid w:val="00B67417"/>
    <w:rsid w:val="00B70D46"/>
    <w:rsid w:val="00B716CF"/>
    <w:rsid w:val="00B747B2"/>
    <w:rsid w:val="00B75E2F"/>
    <w:rsid w:val="00B76695"/>
    <w:rsid w:val="00B826CD"/>
    <w:rsid w:val="00B83744"/>
    <w:rsid w:val="00B83900"/>
    <w:rsid w:val="00B8763B"/>
    <w:rsid w:val="00B87BCD"/>
    <w:rsid w:val="00B90DCA"/>
    <w:rsid w:val="00B93184"/>
    <w:rsid w:val="00B96CCF"/>
    <w:rsid w:val="00BA1610"/>
    <w:rsid w:val="00BA49A6"/>
    <w:rsid w:val="00BA5A9A"/>
    <w:rsid w:val="00BA6A37"/>
    <w:rsid w:val="00BA7027"/>
    <w:rsid w:val="00BA7107"/>
    <w:rsid w:val="00BB086C"/>
    <w:rsid w:val="00BB1CDF"/>
    <w:rsid w:val="00BC2F6A"/>
    <w:rsid w:val="00BD45F3"/>
    <w:rsid w:val="00BD4F71"/>
    <w:rsid w:val="00BD6511"/>
    <w:rsid w:val="00BD6F87"/>
    <w:rsid w:val="00BD757A"/>
    <w:rsid w:val="00BE4AA6"/>
    <w:rsid w:val="00BE609B"/>
    <w:rsid w:val="00BF18BA"/>
    <w:rsid w:val="00BF53FC"/>
    <w:rsid w:val="00C00E53"/>
    <w:rsid w:val="00C01A5E"/>
    <w:rsid w:val="00C01FAC"/>
    <w:rsid w:val="00C0299D"/>
    <w:rsid w:val="00C04E47"/>
    <w:rsid w:val="00C157FE"/>
    <w:rsid w:val="00C174AB"/>
    <w:rsid w:val="00C21F9F"/>
    <w:rsid w:val="00C24C56"/>
    <w:rsid w:val="00C25474"/>
    <w:rsid w:val="00C256B0"/>
    <w:rsid w:val="00C260A6"/>
    <w:rsid w:val="00C3367C"/>
    <w:rsid w:val="00C3378D"/>
    <w:rsid w:val="00C50D46"/>
    <w:rsid w:val="00C518B4"/>
    <w:rsid w:val="00C51AB9"/>
    <w:rsid w:val="00C5669F"/>
    <w:rsid w:val="00C57508"/>
    <w:rsid w:val="00C63CDA"/>
    <w:rsid w:val="00C652D8"/>
    <w:rsid w:val="00C74305"/>
    <w:rsid w:val="00C75011"/>
    <w:rsid w:val="00C84B3A"/>
    <w:rsid w:val="00C85A8C"/>
    <w:rsid w:val="00C901F3"/>
    <w:rsid w:val="00C906F6"/>
    <w:rsid w:val="00C94414"/>
    <w:rsid w:val="00C956F0"/>
    <w:rsid w:val="00C96578"/>
    <w:rsid w:val="00C97CB5"/>
    <w:rsid w:val="00CA3E15"/>
    <w:rsid w:val="00CA44AE"/>
    <w:rsid w:val="00CB396C"/>
    <w:rsid w:val="00CB3B10"/>
    <w:rsid w:val="00CB5CF3"/>
    <w:rsid w:val="00CB5EDD"/>
    <w:rsid w:val="00CB6512"/>
    <w:rsid w:val="00CC0AA9"/>
    <w:rsid w:val="00CC3087"/>
    <w:rsid w:val="00CC41FE"/>
    <w:rsid w:val="00CC5590"/>
    <w:rsid w:val="00CC5997"/>
    <w:rsid w:val="00CD1D36"/>
    <w:rsid w:val="00CD1D39"/>
    <w:rsid w:val="00CD3E5D"/>
    <w:rsid w:val="00CD5232"/>
    <w:rsid w:val="00CE097E"/>
    <w:rsid w:val="00CE1275"/>
    <w:rsid w:val="00CE56DE"/>
    <w:rsid w:val="00CF031D"/>
    <w:rsid w:val="00CF05FD"/>
    <w:rsid w:val="00CF1D4A"/>
    <w:rsid w:val="00CF4901"/>
    <w:rsid w:val="00D023C9"/>
    <w:rsid w:val="00D03CB8"/>
    <w:rsid w:val="00D06C89"/>
    <w:rsid w:val="00D110B8"/>
    <w:rsid w:val="00D1369C"/>
    <w:rsid w:val="00D142AA"/>
    <w:rsid w:val="00D14BBD"/>
    <w:rsid w:val="00D169A5"/>
    <w:rsid w:val="00D17095"/>
    <w:rsid w:val="00D23C22"/>
    <w:rsid w:val="00D279B2"/>
    <w:rsid w:val="00D3276D"/>
    <w:rsid w:val="00D34A19"/>
    <w:rsid w:val="00D434E1"/>
    <w:rsid w:val="00D47D35"/>
    <w:rsid w:val="00D5017B"/>
    <w:rsid w:val="00D53338"/>
    <w:rsid w:val="00D54840"/>
    <w:rsid w:val="00D571D1"/>
    <w:rsid w:val="00D60F54"/>
    <w:rsid w:val="00D61DF9"/>
    <w:rsid w:val="00D670F9"/>
    <w:rsid w:val="00D67E8F"/>
    <w:rsid w:val="00D718EA"/>
    <w:rsid w:val="00D77197"/>
    <w:rsid w:val="00D77482"/>
    <w:rsid w:val="00D81DA1"/>
    <w:rsid w:val="00D92FF4"/>
    <w:rsid w:val="00D96E99"/>
    <w:rsid w:val="00DA5D3D"/>
    <w:rsid w:val="00DA722B"/>
    <w:rsid w:val="00DB0ADC"/>
    <w:rsid w:val="00DB0B44"/>
    <w:rsid w:val="00DB1DEF"/>
    <w:rsid w:val="00DB3C5B"/>
    <w:rsid w:val="00DB490A"/>
    <w:rsid w:val="00DB6230"/>
    <w:rsid w:val="00DB640E"/>
    <w:rsid w:val="00DB79AA"/>
    <w:rsid w:val="00DC0312"/>
    <w:rsid w:val="00DC0C86"/>
    <w:rsid w:val="00DC1F57"/>
    <w:rsid w:val="00DC6110"/>
    <w:rsid w:val="00DC71C4"/>
    <w:rsid w:val="00DC79AB"/>
    <w:rsid w:val="00DD35EF"/>
    <w:rsid w:val="00DE1FB4"/>
    <w:rsid w:val="00DE32D0"/>
    <w:rsid w:val="00DE3849"/>
    <w:rsid w:val="00DE3DF5"/>
    <w:rsid w:val="00DE51FC"/>
    <w:rsid w:val="00DF0CD4"/>
    <w:rsid w:val="00DF1601"/>
    <w:rsid w:val="00DF64D3"/>
    <w:rsid w:val="00E032E6"/>
    <w:rsid w:val="00E13706"/>
    <w:rsid w:val="00E15486"/>
    <w:rsid w:val="00E274E9"/>
    <w:rsid w:val="00E3156B"/>
    <w:rsid w:val="00E32559"/>
    <w:rsid w:val="00E33408"/>
    <w:rsid w:val="00E40C70"/>
    <w:rsid w:val="00E43385"/>
    <w:rsid w:val="00E44253"/>
    <w:rsid w:val="00E44B2C"/>
    <w:rsid w:val="00E46452"/>
    <w:rsid w:val="00E47C42"/>
    <w:rsid w:val="00E525DE"/>
    <w:rsid w:val="00E52613"/>
    <w:rsid w:val="00E54FA4"/>
    <w:rsid w:val="00E55476"/>
    <w:rsid w:val="00E62BEA"/>
    <w:rsid w:val="00E62F34"/>
    <w:rsid w:val="00E660B5"/>
    <w:rsid w:val="00E6674E"/>
    <w:rsid w:val="00E66A47"/>
    <w:rsid w:val="00E736B4"/>
    <w:rsid w:val="00E73965"/>
    <w:rsid w:val="00E82B1F"/>
    <w:rsid w:val="00E869D2"/>
    <w:rsid w:val="00E912A4"/>
    <w:rsid w:val="00E9177C"/>
    <w:rsid w:val="00E9319A"/>
    <w:rsid w:val="00E958BD"/>
    <w:rsid w:val="00E972D4"/>
    <w:rsid w:val="00EB0943"/>
    <w:rsid w:val="00EB17F0"/>
    <w:rsid w:val="00EB1CFF"/>
    <w:rsid w:val="00EB3CCB"/>
    <w:rsid w:val="00EB54FA"/>
    <w:rsid w:val="00EB6363"/>
    <w:rsid w:val="00EC0C0E"/>
    <w:rsid w:val="00EC31D8"/>
    <w:rsid w:val="00EC3A6F"/>
    <w:rsid w:val="00EC477E"/>
    <w:rsid w:val="00ED4C14"/>
    <w:rsid w:val="00ED794A"/>
    <w:rsid w:val="00EE01A9"/>
    <w:rsid w:val="00EE094F"/>
    <w:rsid w:val="00EE700D"/>
    <w:rsid w:val="00EE72BA"/>
    <w:rsid w:val="00EF1301"/>
    <w:rsid w:val="00EF228F"/>
    <w:rsid w:val="00EF6CF7"/>
    <w:rsid w:val="00EF7E5A"/>
    <w:rsid w:val="00F0079D"/>
    <w:rsid w:val="00F07311"/>
    <w:rsid w:val="00F07D6C"/>
    <w:rsid w:val="00F10A94"/>
    <w:rsid w:val="00F127DE"/>
    <w:rsid w:val="00F13107"/>
    <w:rsid w:val="00F1566A"/>
    <w:rsid w:val="00F15910"/>
    <w:rsid w:val="00F15D62"/>
    <w:rsid w:val="00F20F85"/>
    <w:rsid w:val="00F21B78"/>
    <w:rsid w:val="00F22D6E"/>
    <w:rsid w:val="00F22DC1"/>
    <w:rsid w:val="00F24AB2"/>
    <w:rsid w:val="00F32BB0"/>
    <w:rsid w:val="00F378DC"/>
    <w:rsid w:val="00F43E90"/>
    <w:rsid w:val="00F51A41"/>
    <w:rsid w:val="00F55298"/>
    <w:rsid w:val="00F55AA5"/>
    <w:rsid w:val="00F55CCC"/>
    <w:rsid w:val="00F5751A"/>
    <w:rsid w:val="00F57D23"/>
    <w:rsid w:val="00F700FC"/>
    <w:rsid w:val="00F701E3"/>
    <w:rsid w:val="00F71B96"/>
    <w:rsid w:val="00F726E9"/>
    <w:rsid w:val="00F72A01"/>
    <w:rsid w:val="00F73464"/>
    <w:rsid w:val="00F74F77"/>
    <w:rsid w:val="00F7574A"/>
    <w:rsid w:val="00F77029"/>
    <w:rsid w:val="00F80537"/>
    <w:rsid w:val="00F806BC"/>
    <w:rsid w:val="00F80743"/>
    <w:rsid w:val="00F816D4"/>
    <w:rsid w:val="00F823FD"/>
    <w:rsid w:val="00F828F4"/>
    <w:rsid w:val="00F82BE8"/>
    <w:rsid w:val="00F84FCE"/>
    <w:rsid w:val="00F8604D"/>
    <w:rsid w:val="00F86604"/>
    <w:rsid w:val="00F86CF1"/>
    <w:rsid w:val="00F92A8C"/>
    <w:rsid w:val="00F949F0"/>
    <w:rsid w:val="00FA2B83"/>
    <w:rsid w:val="00FA4A81"/>
    <w:rsid w:val="00FA6362"/>
    <w:rsid w:val="00FA73D5"/>
    <w:rsid w:val="00FB2BED"/>
    <w:rsid w:val="00FB3639"/>
    <w:rsid w:val="00FC2074"/>
    <w:rsid w:val="00FC2C61"/>
    <w:rsid w:val="00FC3F44"/>
    <w:rsid w:val="00FC6B21"/>
    <w:rsid w:val="00FC6EBA"/>
    <w:rsid w:val="00FD2506"/>
    <w:rsid w:val="00FD2B90"/>
    <w:rsid w:val="00FD4E8A"/>
    <w:rsid w:val="00FD5775"/>
    <w:rsid w:val="00FD7E77"/>
    <w:rsid w:val="00FE00EC"/>
    <w:rsid w:val="00FE0604"/>
    <w:rsid w:val="00FE17E9"/>
    <w:rsid w:val="00FE2275"/>
    <w:rsid w:val="00FE3A27"/>
    <w:rsid w:val="00FE71A7"/>
    <w:rsid w:val="00FF0708"/>
    <w:rsid w:val="00FF1B62"/>
    <w:rsid w:val="00FF2547"/>
    <w:rsid w:val="00FF3593"/>
    <w:rsid w:val="00FF4F1F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ECB992"/>
  <w15:chartTrackingRefBased/>
  <w15:docId w15:val="{9F81F535-5E88-F143-ADEE-1A34D2FE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6D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1D4A"/>
    <w:pPr>
      <w:spacing w:after="160" w:line="278" w:lineRule="auto"/>
      <w:outlineLvl w:val="0"/>
    </w:pPr>
    <w:rPr>
      <w:rFonts w:asciiTheme="majorBidi" w:eastAsiaTheme="minorHAnsi" w:hAnsiTheme="majorBidi" w:cstheme="majorBidi"/>
      <w:b/>
      <w:bCs/>
      <w:kern w:val="2"/>
      <w:sz w:val="28"/>
      <w:szCs w:val="2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4A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AB2"/>
    <w:pPr>
      <w:keepNext/>
      <w:keepLines/>
      <w:spacing w:before="160" w:after="80" w:line="278" w:lineRule="auto"/>
      <w:outlineLvl w:val="2"/>
    </w:pPr>
    <w:rPr>
      <w:rFonts w:asciiTheme="majorBidi" w:eastAsiaTheme="majorEastAsia" w:hAnsiTheme="majorBid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AB2"/>
    <w:pPr>
      <w:keepNext/>
      <w:keepLines/>
      <w:spacing w:before="80" w:after="40" w:line="278" w:lineRule="auto"/>
      <w:outlineLvl w:val="3"/>
    </w:pPr>
    <w:rPr>
      <w:rFonts w:asciiTheme="majorBidi" w:eastAsiaTheme="majorEastAsia" w:hAnsiTheme="majorBid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AB2"/>
    <w:pPr>
      <w:keepNext/>
      <w:keepLines/>
      <w:spacing w:before="80" w:after="40" w:line="278" w:lineRule="auto"/>
      <w:outlineLvl w:val="4"/>
    </w:pPr>
    <w:rPr>
      <w:rFonts w:asciiTheme="majorBidi" w:eastAsiaTheme="majorEastAsia" w:hAnsiTheme="majorBid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AB2"/>
    <w:pPr>
      <w:keepNext/>
      <w:keepLines/>
      <w:spacing w:before="40" w:line="278" w:lineRule="auto"/>
      <w:outlineLvl w:val="5"/>
    </w:pPr>
    <w:rPr>
      <w:rFonts w:asciiTheme="majorBidi" w:eastAsiaTheme="majorEastAsia" w:hAnsiTheme="majorBid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AB2"/>
    <w:pPr>
      <w:keepNext/>
      <w:keepLines/>
      <w:spacing w:before="40" w:line="278" w:lineRule="auto"/>
      <w:outlineLvl w:val="6"/>
    </w:pPr>
    <w:rPr>
      <w:rFonts w:asciiTheme="majorBidi" w:eastAsiaTheme="majorEastAsia" w:hAnsiTheme="majorBid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AB2"/>
    <w:pPr>
      <w:keepNext/>
      <w:keepLines/>
      <w:spacing w:line="278" w:lineRule="auto"/>
      <w:outlineLvl w:val="7"/>
    </w:pPr>
    <w:rPr>
      <w:rFonts w:asciiTheme="majorBidi" w:eastAsiaTheme="majorEastAsia" w:hAnsiTheme="majorBid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AB2"/>
    <w:pPr>
      <w:keepNext/>
      <w:keepLines/>
      <w:spacing w:line="278" w:lineRule="auto"/>
      <w:outlineLvl w:val="8"/>
    </w:pPr>
    <w:rPr>
      <w:rFonts w:asciiTheme="majorBidi" w:eastAsiaTheme="majorEastAsia" w:hAnsiTheme="majorBid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D4A"/>
    <w:rPr>
      <w:rFonts w:asciiTheme="majorBidi" w:hAnsiTheme="majorBid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24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A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A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A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A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A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A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A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4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AB2"/>
    <w:pPr>
      <w:numPr>
        <w:ilvl w:val="1"/>
      </w:numPr>
      <w:spacing w:after="160" w:line="278" w:lineRule="auto"/>
    </w:pPr>
    <w:rPr>
      <w:rFonts w:asciiTheme="majorBidi" w:eastAsiaTheme="majorEastAsia" w:hAnsiTheme="majorBid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4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AB2"/>
    <w:pPr>
      <w:spacing w:before="160" w:after="160" w:line="278" w:lineRule="auto"/>
      <w:jc w:val="center"/>
    </w:pPr>
    <w:rPr>
      <w:rFonts w:asciiTheme="majorBidi" w:eastAsiaTheme="minorHAnsi" w:hAnsiTheme="majorBidi" w:cstheme="maj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4A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AB2"/>
    <w:pPr>
      <w:spacing w:after="160" w:line="278" w:lineRule="auto"/>
      <w:ind w:left="720"/>
      <w:contextualSpacing/>
    </w:pPr>
    <w:rPr>
      <w:rFonts w:asciiTheme="majorBidi" w:eastAsiaTheme="minorHAnsi" w:hAnsiTheme="majorBidi" w:cstheme="maj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4A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ajorBidi" w:eastAsiaTheme="minorHAnsi" w:hAnsiTheme="majorBidi" w:cstheme="maj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A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AB2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7D38A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D38AE"/>
    <w:rPr>
      <w:b/>
      <w:bCs/>
    </w:rPr>
  </w:style>
  <w:style w:type="paragraph" w:customStyle="1" w:styleId="task-list-item">
    <w:name w:val="task-list-item"/>
    <w:basedOn w:val="Normal"/>
    <w:rsid w:val="007D38AE"/>
    <w:pPr>
      <w:spacing w:before="100" w:beforeAutospacing="1" w:after="100" w:afterAutospacing="1"/>
    </w:pPr>
  </w:style>
  <w:style w:type="paragraph" w:customStyle="1" w:styleId="whitespace-normal">
    <w:name w:val="whitespace-normal"/>
    <w:basedOn w:val="Normal"/>
    <w:rsid w:val="007D38A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D38AE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69254B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F73464"/>
    <w:pPr>
      <w:spacing w:line="278" w:lineRule="auto"/>
      <w:jc w:val="center"/>
    </w:pPr>
    <w:rPr>
      <w:rFonts w:eastAsiaTheme="minorHAnsi"/>
      <w:kern w:val="2"/>
      <w:sz w:val="28"/>
      <w:lang w:val="en-US"/>
      <w14:ligatures w14:val="standardContextual"/>
    </w:rPr>
  </w:style>
  <w:style w:type="character" w:customStyle="1" w:styleId="NormalWebChar">
    <w:name w:val="Normal (Web) Char"/>
    <w:basedOn w:val="DefaultParagraphFont"/>
    <w:link w:val="NormalWeb"/>
    <w:uiPriority w:val="99"/>
    <w:rsid w:val="00F7346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F73464"/>
    <w:rPr>
      <w:rFonts w:ascii="Times New Roman" w:eastAsia="Times New Roman" w:hAnsi="Times New Roman" w:cs="Times New Roman"/>
      <w:kern w:val="0"/>
      <w:sz w:val="28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73464"/>
    <w:pPr>
      <w:spacing w:after="160"/>
    </w:pPr>
    <w:rPr>
      <w:rFonts w:eastAsiaTheme="minorHAnsi"/>
      <w:kern w:val="2"/>
      <w:sz w:val="28"/>
      <w:lang w:val="en-US"/>
      <w14:ligatures w14:val="standardContextual"/>
    </w:rPr>
  </w:style>
  <w:style w:type="character" w:customStyle="1" w:styleId="EndNoteBibliographyChar">
    <w:name w:val="EndNote Bibliography Char"/>
    <w:basedOn w:val="NormalWebChar"/>
    <w:link w:val="EndNoteBibliography"/>
    <w:rsid w:val="00F73464"/>
    <w:rPr>
      <w:rFonts w:ascii="Times New Roman" w:eastAsia="Times New Roman" w:hAnsi="Times New Roman" w:cs="Times New Roman"/>
      <w:kern w:val="0"/>
      <w:sz w:val="28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73464"/>
    <w:rPr>
      <w:color w:val="666666"/>
    </w:rPr>
  </w:style>
  <w:style w:type="table" w:styleId="PlainTable1">
    <w:name w:val="Plain Table 1"/>
    <w:basedOn w:val="TableNormal"/>
    <w:uiPriority w:val="41"/>
    <w:rsid w:val="007677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279B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F0CD4"/>
  </w:style>
  <w:style w:type="table" w:styleId="TableGridLight">
    <w:name w:val="Grid Table Light"/>
    <w:basedOn w:val="TableNormal"/>
    <w:uiPriority w:val="40"/>
    <w:rsid w:val="001469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571D1"/>
    <w:rPr>
      <w:color w:val="96607D"/>
      <w:u w:val="single"/>
    </w:rPr>
  </w:style>
  <w:style w:type="paragraph" w:customStyle="1" w:styleId="msonormal0">
    <w:name w:val="msonormal"/>
    <w:basedOn w:val="Normal"/>
    <w:rsid w:val="00D571D1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A50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0D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DA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DA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tiff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24</Pages>
  <Words>2515</Words>
  <Characters>17610</Characters>
  <Application>Microsoft Office Word</Application>
  <DocSecurity>0</DocSecurity>
  <Lines>1035</Lines>
  <Paragraphs>559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mustafa.shref@fvtm.bu.edu.eg</dc:creator>
  <cp:keywords/>
  <dc:description/>
  <cp:lastModifiedBy>mustafa.shref@fvtm.bu.edu.eg</cp:lastModifiedBy>
  <cp:revision>240</cp:revision>
  <dcterms:created xsi:type="dcterms:W3CDTF">2026-03-03T11:02:00Z</dcterms:created>
  <dcterms:modified xsi:type="dcterms:W3CDTF">2026-04-14T14:58:00Z</dcterms:modified>
</cp:coreProperties>
</file>