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2779" w14:textId="77777777" w:rsidR="00A709A8" w:rsidRDefault="00000000">
      <w:pPr>
        <w:pStyle w:val="1"/>
      </w:pPr>
      <w:r>
        <w:t>Summary of Findings (SoF): Bayesian NMA – ORR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33"/>
        <w:gridCol w:w="806"/>
        <w:gridCol w:w="782"/>
        <w:gridCol w:w="772"/>
        <w:gridCol w:w="1153"/>
        <w:gridCol w:w="1033"/>
        <w:gridCol w:w="872"/>
        <w:gridCol w:w="2405"/>
      </w:tblGrid>
      <w:tr w:rsidR="00A709A8" w14:paraId="5AFD02F4" w14:textId="77777777">
        <w:tc>
          <w:tcPr>
            <w:tcW w:w="1080" w:type="dxa"/>
          </w:tcPr>
          <w:p w14:paraId="13165794" w14:textId="77777777" w:rsidR="00A709A8" w:rsidRDefault="00000000">
            <w:r>
              <w:t>Comparison</w:t>
            </w:r>
          </w:p>
        </w:tc>
        <w:tc>
          <w:tcPr>
            <w:tcW w:w="1080" w:type="dxa"/>
          </w:tcPr>
          <w:p w14:paraId="5B2A7DBD" w14:textId="77777777" w:rsidR="00A709A8" w:rsidRDefault="00000000">
            <w:r>
              <w:t>Outcome</w:t>
            </w:r>
          </w:p>
        </w:tc>
        <w:tc>
          <w:tcPr>
            <w:tcW w:w="1080" w:type="dxa"/>
          </w:tcPr>
          <w:p w14:paraId="0826A59D" w14:textId="77777777" w:rsidR="00A709A8" w:rsidRDefault="00000000">
            <w:r>
              <w:t>Relative effect (OR, 95%CrI)</w:t>
            </w:r>
          </w:p>
        </w:tc>
        <w:tc>
          <w:tcPr>
            <w:tcW w:w="1080" w:type="dxa"/>
          </w:tcPr>
          <w:p w14:paraId="4DAC255E" w14:textId="77777777" w:rsidR="00A709A8" w:rsidRDefault="00000000">
            <w:r>
              <w:t>Baseline risk (chemo)</w:t>
            </w:r>
          </w:p>
        </w:tc>
        <w:tc>
          <w:tcPr>
            <w:tcW w:w="1080" w:type="dxa"/>
          </w:tcPr>
          <w:p w14:paraId="60225CDD" w14:textId="77777777" w:rsidR="00A709A8" w:rsidRDefault="00000000">
            <w:r>
              <w:t>Absolute effect (OR increment, %)</w:t>
            </w:r>
          </w:p>
        </w:tc>
        <w:tc>
          <w:tcPr>
            <w:tcW w:w="1080" w:type="dxa"/>
          </w:tcPr>
          <w:p w14:paraId="215182B2" w14:textId="77777777" w:rsidR="00A709A8" w:rsidRDefault="00000000">
            <w:r>
              <w:t>Direction of effect</w:t>
            </w:r>
          </w:p>
        </w:tc>
        <w:tc>
          <w:tcPr>
            <w:tcW w:w="1080" w:type="dxa"/>
          </w:tcPr>
          <w:p w14:paraId="4F0FBC88" w14:textId="77777777" w:rsidR="00A709A8" w:rsidRDefault="00000000">
            <w:r>
              <w:t>Certainty (GRADE)</w:t>
            </w:r>
          </w:p>
        </w:tc>
        <w:tc>
          <w:tcPr>
            <w:tcW w:w="1080" w:type="dxa"/>
          </w:tcPr>
          <w:p w14:paraId="29C08D64" w14:textId="77777777" w:rsidR="00A709A8" w:rsidRDefault="00000000">
            <w:r>
              <w:t>Reasons / Footnotes</w:t>
            </w:r>
          </w:p>
        </w:tc>
      </w:tr>
      <w:tr w:rsidR="00A709A8" w14:paraId="21D8F30E" w14:textId="77777777">
        <w:tc>
          <w:tcPr>
            <w:tcW w:w="1080" w:type="dxa"/>
          </w:tcPr>
          <w:p w14:paraId="37672B60" w14:textId="77777777" w:rsidR="00A709A8" w:rsidRDefault="00000000">
            <w:r>
              <w:t>PD1_EGFRi vs CBP+Pac</w:t>
            </w:r>
          </w:p>
        </w:tc>
        <w:tc>
          <w:tcPr>
            <w:tcW w:w="1080" w:type="dxa"/>
          </w:tcPr>
          <w:p w14:paraId="0BF7C876" w14:textId="77777777" w:rsidR="00A709A8" w:rsidRDefault="00000000">
            <w:r>
              <w:t>ORR</w:t>
            </w:r>
          </w:p>
        </w:tc>
        <w:tc>
          <w:tcPr>
            <w:tcW w:w="1080" w:type="dxa"/>
          </w:tcPr>
          <w:p w14:paraId="3BD20E64" w14:textId="77777777" w:rsidR="00A709A8" w:rsidRDefault="00000000">
            <w:r>
              <w:t>0.56 (0.20–1.52)</w:t>
            </w:r>
          </w:p>
        </w:tc>
        <w:tc>
          <w:tcPr>
            <w:tcW w:w="1080" w:type="dxa"/>
          </w:tcPr>
          <w:p w14:paraId="047EDCA9" w14:textId="77777777" w:rsidR="00A709A8" w:rsidRDefault="00000000">
            <w:r>
              <w:t>34.9%</w:t>
            </w:r>
          </w:p>
        </w:tc>
        <w:tc>
          <w:tcPr>
            <w:tcW w:w="1080" w:type="dxa"/>
          </w:tcPr>
          <w:p w14:paraId="11E3FA11" w14:textId="77777777" w:rsidR="00A709A8" w:rsidRDefault="00000000">
            <w:r>
              <w:t>−16.8% (95%CI −35.1 to +12.0)</w:t>
            </w:r>
          </w:p>
        </w:tc>
        <w:tc>
          <w:tcPr>
            <w:tcW w:w="1080" w:type="dxa"/>
          </w:tcPr>
          <w:p w14:paraId="71FD1A44" w14:textId="77777777" w:rsidR="00A709A8" w:rsidRDefault="00000000">
            <w:r>
              <w:t>Possibly worse</w:t>
            </w:r>
          </w:p>
        </w:tc>
        <w:tc>
          <w:tcPr>
            <w:tcW w:w="1080" w:type="dxa"/>
          </w:tcPr>
          <w:p w14:paraId="15E59678" w14:textId="77777777" w:rsidR="00A709A8" w:rsidRDefault="00000000">
            <w:r>
              <w:t>Very low ⊕◯◯◯</w:t>
            </w:r>
          </w:p>
        </w:tc>
        <w:tc>
          <w:tcPr>
            <w:tcW w:w="1080" w:type="dxa"/>
          </w:tcPr>
          <w:p w14:paraId="23CA4580" w14:textId="77777777" w:rsidR="00A709A8" w:rsidRDefault="00000000">
            <w:r>
              <w:t>a. Risk of bias (single-arm, no blinding); b. Indirectness (population/lines/chemotherapy backbone); c. Imprecision (wide CrI); d. Small sample size/heterogeneity.</w:t>
            </w:r>
          </w:p>
        </w:tc>
      </w:tr>
      <w:tr w:rsidR="00A709A8" w14:paraId="5BF80900" w14:textId="77777777">
        <w:tc>
          <w:tcPr>
            <w:tcW w:w="1080" w:type="dxa"/>
          </w:tcPr>
          <w:p w14:paraId="1AF1125E" w14:textId="77777777" w:rsidR="00A709A8" w:rsidRDefault="00000000">
            <w:r>
              <w:t>PDL1_EGFRi vs CBP+Pac</w:t>
            </w:r>
          </w:p>
        </w:tc>
        <w:tc>
          <w:tcPr>
            <w:tcW w:w="1080" w:type="dxa"/>
          </w:tcPr>
          <w:p w14:paraId="2D5A4F0E" w14:textId="77777777" w:rsidR="00A709A8" w:rsidRDefault="00000000">
            <w:r>
              <w:t>ORR</w:t>
            </w:r>
          </w:p>
        </w:tc>
        <w:tc>
          <w:tcPr>
            <w:tcW w:w="1080" w:type="dxa"/>
          </w:tcPr>
          <w:p w14:paraId="7C979AAF" w14:textId="77777777" w:rsidR="00A709A8" w:rsidRDefault="00000000">
            <w:r>
              <w:t>2.91 (1.09–7.59)</w:t>
            </w:r>
          </w:p>
        </w:tc>
        <w:tc>
          <w:tcPr>
            <w:tcW w:w="1080" w:type="dxa"/>
          </w:tcPr>
          <w:p w14:paraId="5F161A2B" w14:textId="77777777" w:rsidR="00A709A8" w:rsidRDefault="00000000">
            <w:r>
              <w:t>34.9%</w:t>
            </w:r>
          </w:p>
        </w:tc>
        <w:tc>
          <w:tcPr>
            <w:tcW w:w="1080" w:type="dxa"/>
          </w:tcPr>
          <w:p w14:paraId="6DF6C15B" w14:textId="77777777" w:rsidR="00A709A8" w:rsidRDefault="00000000">
            <w:r>
              <w:t>+36.0% (95%CI +12.0 to +60.0)</w:t>
            </w:r>
          </w:p>
        </w:tc>
        <w:tc>
          <w:tcPr>
            <w:tcW w:w="1080" w:type="dxa"/>
          </w:tcPr>
          <w:p w14:paraId="2E64A2D1" w14:textId="77777777" w:rsidR="00A709A8" w:rsidRDefault="00000000">
            <w:r>
              <w:t>Favors PDL1_EGFRi</w:t>
            </w:r>
          </w:p>
        </w:tc>
        <w:tc>
          <w:tcPr>
            <w:tcW w:w="1080" w:type="dxa"/>
          </w:tcPr>
          <w:p w14:paraId="65C6EEFC" w14:textId="77777777" w:rsidR="00A709A8" w:rsidRDefault="00000000">
            <w:r>
              <w:t>Low ⊕⊕◯◯</w:t>
            </w:r>
          </w:p>
        </w:tc>
        <w:tc>
          <w:tcPr>
            <w:tcW w:w="1080" w:type="dxa"/>
          </w:tcPr>
          <w:p w14:paraId="1BCB2931" w14:textId="77777777" w:rsidR="00A709A8" w:rsidRDefault="00000000">
            <w:r>
              <w:t>a. Indirectness; b. Single-arm; c. Reduced imprecision (OR consistently &gt;1); d. ROBINS‑I rated serious risk of bias.</w:t>
            </w:r>
          </w:p>
        </w:tc>
      </w:tr>
      <w:tr w:rsidR="00A709A8" w14:paraId="641C3B99" w14:textId="77777777">
        <w:tc>
          <w:tcPr>
            <w:tcW w:w="1080" w:type="dxa"/>
          </w:tcPr>
          <w:p w14:paraId="557E3AC9" w14:textId="77777777" w:rsidR="00A709A8" w:rsidRDefault="00000000">
            <w:r>
              <w:t>PD1_MTKI vs CBP+Pac</w:t>
            </w:r>
          </w:p>
        </w:tc>
        <w:tc>
          <w:tcPr>
            <w:tcW w:w="1080" w:type="dxa"/>
          </w:tcPr>
          <w:p w14:paraId="66A21F89" w14:textId="77777777" w:rsidR="00A709A8" w:rsidRDefault="00000000">
            <w:r>
              <w:t>ORR</w:t>
            </w:r>
          </w:p>
        </w:tc>
        <w:tc>
          <w:tcPr>
            <w:tcW w:w="1080" w:type="dxa"/>
          </w:tcPr>
          <w:p w14:paraId="74A0C7E6" w14:textId="77777777" w:rsidR="00A709A8" w:rsidRDefault="00000000">
            <w:r>
              <w:t>0.88 (0.35–2.22)</w:t>
            </w:r>
          </w:p>
        </w:tc>
        <w:tc>
          <w:tcPr>
            <w:tcW w:w="1080" w:type="dxa"/>
          </w:tcPr>
          <w:p w14:paraId="5721A96E" w14:textId="77777777" w:rsidR="00A709A8" w:rsidRDefault="00000000">
            <w:r>
              <w:t>34.9%</w:t>
            </w:r>
          </w:p>
        </w:tc>
        <w:tc>
          <w:tcPr>
            <w:tcW w:w="1080" w:type="dxa"/>
          </w:tcPr>
          <w:p w14:paraId="416DC9F0" w14:textId="77777777" w:rsidR="00A709A8" w:rsidRDefault="00000000">
            <w:r>
              <w:t>−6.7% (95%CI −20.2 to +10.8)</w:t>
            </w:r>
          </w:p>
        </w:tc>
        <w:tc>
          <w:tcPr>
            <w:tcW w:w="1080" w:type="dxa"/>
          </w:tcPr>
          <w:p w14:paraId="2BE8C206" w14:textId="77777777" w:rsidR="00A709A8" w:rsidRDefault="00000000">
            <w:r>
              <w:t>Similar</w:t>
            </w:r>
          </w:p>
        </w:tc>
        <w:tc>
          <w:tcPr>
            <w:tcW w:w="1080" w:type="dxa"/>
          </w:tcPr>
          <w:p w14:paraId="1B681EBF" w14:textId="77777777" w:rsidR="00A709A8" w:rsidRDefault="00000000">
            <w:r>
              <w:t>Very low ⊕◯◯◯</w:t>
            </w:r>
          </w:p>
        </w:tc>
        <w:tc>
          <w:tcPr>
            <w:tcW w:w="1080" w:type="dxa"/>
          </w:tcPr>
          <w:p w14:paraId="04705291" w14:textId="77777777" w:rsidR="00A709A8" w:rsidRDefault="00000000">
            <w:r>
              <w:t>a. Indirectness; b. Heterogeneity (CrI crosses 1); c. Risk of bias (single-arm).</w:t>
            </w:r>
          </w:p>
        </w:tc>
      </w:tr>
    </w:tbl>
    <w:p w14:paraId="2A273BE4" w14:textId="77777777" w:rsidR="00F71EAB" w:rsidRDefault="00F71EAB"/>
    <w:sectPr w:rsidR="00F71EAB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8F3A6" w14:textId="77777777" w:rsidR="00F71EAB" w:rsidRDefault="00F71EAB" w:rsidP="00722115">
      <w:pPr>
        <w:spacing w:after="0" w:line="240" w:lineRule="auto"/>
      </w:pPr>
      <w:r>
        <w:separator/>
      </w:r>
    </w:p>
  </w:endnote>
  <w:endnote w:type="continuationSeparator" w:id="0">
    <w:p w14:paraId="611D4D4F" w14:textId="77777777" w:rsidR="00F71EAB" w:rsidRDefault="00F71EAB" w:rsidP="0072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4FC4" w14:textId="77777777" w:rsidR="00722115" w:rsidRDefault="0072211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7A23" w14:textId="77777777" w:rsidR="00722115" w:rsidRDefault="0072211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7DDF" w14:textId="77777777" w:rsidR="00722115" w:rsidRDefault="0072211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4C8C" w14:textId="77777777" w:rsidR="00F71EAB" w:rsidRDefault="00F71EAB" w:rsidP="00722115">
      <w:pPr>
        <w:spacing w:after="0" w:line="240" w:lineRule="auto"/>
      </w:pPr>
      <w:r>
        <w:separator/>
      </w:r>
    </w:p>
  </w:footnote>
  <w:footnote w:type="continuationSeparator" w:id="0">
    <w:p w14:paraId="369576E6" w14:textId="77777777" w:rsidR="00F71EAB" w:rsidRDefault="00F71EAB" w:rsidP="00722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5F52A" w14:textId="77777777" w:rsidR="00722115" w:rsidRDefault="0072211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25342" w14:textId="0DA8AFA5" w:rsidR="00722115" w:rsidRPr="00722115" w:rsidRDefault="00722115" w:rsidP="00722115">
    <w:pPr>
      <w:pStyle w:val="a5"/>
      <w:jc w:val="center"/>
      <w:rPr>
        <w:rFonts w:eastAsia="宋体" w:hint="eastAsia"/>
        <w:b/>
        <w:bCs/>
        <w:sz w:val="28"/>
        <w:szCs w:val="28"/>
        <w:lang w:eastAsia="zh-CN"/>
      </w:rPr>
    </w:pPr>
    <w:r w:rsidRPr="00F11C01">
      <w:rPr>
        <w:rFonts w:hint="eastAsia"/>
        <w:b/>
        <w:bCs/>
        <w:sz w:val="28"/>
        <w:szCs w:val="28"/>
      </w:rPr>
      <w:t xml:space="preserve">Table </w:t>
    </w:r>
    <w:r>
      <w:rPr>
        <w:rFonts w:eastAsia="宋体" w:hint="eastAsia"/>
        <w:b/>
        <w:bCs/>
        <w:sz w:val="28"/>
        <w:szCs w:val="28"/>
        <w:lang w:eastAsia="zh-CN"/>
      </w:rPr>
      <w:t>S</w:t>
    </w:r>
    <w:r w:rsidRPr="00F11C01">
      <w:rPr>
        <w:rFonts w:hint="eastAsia"/>
        <w:b/>
        <w:bCs/>
        <w:sz w:val="28"/>
        <w:szCs w:val="2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FC5AE" w14:textId="77777777" w:rsidR="00722115" w:rsidRDefault="0072211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9633091">
    <w:abstractNumId w:val="8"/>
  </w:num>
  <w:num w:numId="2" w16cid:durableId="1742562429">
    <w:abstractNumId w:val="6"/>
  </w:num>
  <w:num w:numId="3" w16cid:durableId="1456556169">
    <w:abstractNumId w:val="5"/>
  </w:num>
  <w:num w:numId="4" w16cid:durableId="1147211382">
    <w:abstractNumId w:val="4"/>
  </w:num>
  <w:num w:numId="5" w16cid:durableId="238832278">
    <w:abstractNumId w:val="7"/>
  </w:num>
  <w:num w:numId="6" w16cid:durableId="275865575">
    <w:abstractNumId w:val="3"/>
  </w:num>
  <w:num w:numId="7" w16cid:durableId="1617057738">
    <w:abstractNumId w:val="2"/>
  </w:num>
  <w:num w:numId="8" w16cid:durableId="551767387">
    <w:abstractNumId w:val="1"/>
  </w:num>
  <w:num w:numId="9" w16cid:durableId="995375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2115"/>
    <w:rsid w:val="00A709A8"/>
    <w:rsid w:val="00AA1D8D"/>
    <w:rsid w:val="00B47730"/>
    <w:rsid w:val="00CB0664"/>
    <w:rsid w:val="00E34946"/>
    <w:rsid w:val="00F71E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6B47A7"/>
  <w14:defaultImageDpi w14:val="300"/>
  <w15:docId w15:val="{6DDEF2AE-ACC7-4A8F-9115-4C6E61F4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757</Characters>
  <Application>Microsoft Office Word</Application>
  <DocSecurity>0</DocSecurity>
  <Lines>126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by Z</cp:lastModifiedBy>
  <cp:revision>2</cp:revision>
  <dcterms:created xsi:type="dcterms:W3CDTF">2013-12-23T23:15:00Z</dcterms:created>
  <dcterms:modified xsi:type="dcterms:W3CDTF">2025-12-01T11:42:00Z</dcterms:modified>
  <cp:category/>
</cp:coreProperties>
</file>