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C2995" w14:textId="13300AFF" w:rsidR="00F72452" w:rsidRPr="00F72452" w:rsidRDefault="00F72452" w:rsidP="00F72452">
      <w:pPr>
        <w:widowControl/>
        <w:spacing w:after="120" w:line="360" w:lineRule="auto"/>
        <w:ind w:firstLine="425"/>
        <w:jc w:val="center"/>
        <w:rPr>
          <w:rFonts w:ascii="Times New Roman" w:eastAsiaTheme="minorEastAsia" w:hAnsi="Times New Roman"/>
          <w:b/>
          <w:kern w:val="0"/>
          <w:sz w:val="28"/>
          <w:szCs w:val="28"/>
        </w:rPr>
      </w:pPr>
      <w:r w:rsidRPr="00F72452">
        <w:rPr>
          <w:rFonts w:ascii="Times New Roman" w:eastAsiaTheme="minorEastAsia" w:hAnsi="Times New Roman"/>
          <w:b/>
          <w:kern w:val="0"/>
          <w:sz w:val="28"/>
          <w:szCs w:val="28"/>
        </w:rPr>
        <w:t>Supplementary Figure</w:t>
      </w:r>
      <w:r>
        <w:rPr>
          <w:rFonts w:ascii="Times New Roman" w:eastAsiaTheme="minorEastAsia" w:hAnsi="Times New Roman"/>
          <w:b/>
          <w:noProof/>
          <w:kern w:val="0"/>
          <w:sz w:val="24"/>
          <w:szCs w:val="24"/>
          <w14:ligatures w14:val="standardContextual"/>
        </w:rPr>
        <w:drawing>
          <wp:inline distT="0" distB="0" distL="0" distR="0" wp14:anchorId="4B509E26" wp14:editId="28C6C308">
            <wp:extent cx="5274310" cy="3771900"/>
            <wp:effectExtent l="0" t="0" r="2540" b="0"/>
            <wp:docPr id="8943976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97609" name="图片 8943976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B1F8C" w14:textId="287724D1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S1.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Preprocessing and DEG-threshold sensitivity checks. (</w:t>
      </w:r>
      <w:proofErr w:type="gramStart"/>
      <w:r>
        <w:rPr>
          <w:rFonts w:ascii="Times New Roman" w:eastAsia="MS Mincho" w:hAnsi="Times New Roman"/>
          <w:kern w:val="0"/>
          <w:sz w:val="24"/>
          <w:szCs w:val="24"/>
        </w:rPr>
        <w:t>A,B</w:t>
      </w:r>
      <w:proofErr w:type="gramEnd"/>
      <w:r>
        <w:rPr>
          <w:rFonts w:ascii="Times New Roman" w:eastAsia="MS Mincho" w:hAnsi="Times New Roman"/>
          <w:kern w:val="0"/>
          <w:sz w:val="24"/>
          <w:szCs w:val="24"/>
        </w:rPr>
        <w:t xml:space="preserve">) PCA before and after 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ComBat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 correction, showing reduction of batch-associated separation. (C) DEG counts across alternative threshold stringencies. (D) STAT6 MRA rank stability across DEG definitions.</w:t>
      </w:r>
    </w:p>
    <w:p w14:paraId="083833CA" w14:textId="5AEABAE0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lastRenderedPageBreak/>
        <w:drawing>
          <wp:inline distT="0" distB="0" distL="0" distR="0" wp14:anchorId="7A1007B3" wp14:editId="07D8F1F4">
            <wp:extent cx="5274310" cy="3313430"/>
            <wp:effectExtent l="0" t="0" r="2540" b="1270"/>
            <wp:docPr id="17283008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300872" name="图片 1728300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FE01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S2.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NF-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κB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 pathway expression across reference and subtype contexts, combining broad pathway-member context plots with focused NFKB1/RELA subtype comparisons.</w:t>
      </w:r>
    </w:p>
    <w:p w14:paraId="534D36FA" w14:textId="29D59805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0235CCF0" wp14:editId="3ACDE50D">
            <wp:extent cx="5274310" cy="3608070"/>
            <wp:effectExtent l="0" t="0" r="2540" b="0"/>
            <wp:docPr id="8148017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801799" name="图片 8148017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E0C0F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lastRenderedPageBreak/>
        <w:t>Supplementary Figure S3.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Supportive IL6-locus methylation diagnostics, including probe-level delta beta, adjusted significance, region-stratified summaries, and leave-one-out robustness.</w:t>
      </w:r>
    </w:p>
    <w:p w14:paraId="141DE62C" w14:textId="49F70E18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25E4912D" wp14:editId="155A0DBE">
            <wp:extent cx="5274310" cy="2159635"/>
            <wp:effectExtent l="0" t="0" r="2540" b="0"/>
            <wp:docPr id="6188518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51823" name="图片 6188518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5DFF9" w14:textId="08175DA5" w:rsidR="00F72452" w:rsidRP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 w:hint="eastAsia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S4.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Traceable IL6-positive cluster-0 exploratory transcriptomic summary. (A) Definition of the cluster-0 comparison, showing IL6-positive and IL6-negative cluster-0 cells used for the exploratory contrast. (B) Enriched programs among IL6-positive cluster-0 cells based on the reported pathway enrichment table; bars show normalized enrichment scores and labels provide adjusted P-values and leading-edge genes. Because the contrast is defined by IL6 detection, this panel is intended as exploratory transcriptional context rather than </w:t>
      </w:r>
      <w:r>
        <w:rPr>
          <w:rFonts w:ascii="Times New Roman" w:eastAsia="MS Mincho" w:hAnsi="Times New Roman"/>
          <w:kern w:val="0"/>
          <w:sz w:val="24"/>
          <w:szCs w:val="24"/>
        </w:rPr>
        <w:lastRenderedPageBreak/>
        <w:t>independent pathway validation.</w:t>
      </w: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1BEBC52D" wp14:editId="06B62946">
            <wp:extent cx="5274310" cy="3569335"/>
            <wp:effectExtent l="0" t="0" r="2540" b="0"/>
            <wp:docPr id="10860396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39627" name="图片 10860396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9148C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S5.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Network-inference sensitivity analyses, combining ARACNE mutual-information threshold checks with MRA permutation-test robustness.</w:t>
      </w:r>
    </w:p>
    <w:p w14:paraId="00E1EFB2" w14:textId="21B6CF66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7D3F3D9D" wp14:editId="2C48FA46">
            <wp:extent cx="5274310" cy="2489835"/>
            <wp:effectExtent l="0" t="0" r="2540" b="5715"/>
            <wp:docPr id="6581154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15453" name="图片 6581154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1D46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S6.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Expression meta-analysis evidence by cohort for IL6, IL6ST, NFKB1, NFKBIA, RELA, and STAT6. (A) Cohort-level effect matrix; cell labels show effect estimates and asterisks denote FDR &lt; 0.05, with unavailable </w:t>
      </w:r>
      <w:r>
        <w:rPr>
          <w:rFonts w:ascii="Times New Roman" w:eastAsia="MS Mincho" w:hAnsi="Times New Roman"/>
          <w:kern w:val="0"/>
          <w:sz w:val="24"/>
          <w:szCs w:val="24"/>
        </w:rPr>
        <w:lastRenderedPageBreak/>
        <w:t>cohort comparisons shown as NA. (B) Random-effects or single-cohort summary estimates with 95% confidence intervals; diamonds indicate pooled estimates, squares indicate single-cohort estimates, and right-side labels report K and I² where applicable.</w:t>
      </w:r>
    </w:p>
    <w:p w14:paraId="3156B28C" w14:textId="07209951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08A670C7" wp14:editId="5DF572FB">
            <wp:extent cx="5274310" cy="3876040"/>
            <wp:effectExtent l="0" t="0" r="2540" b="0"/>
            <wp:docPr id="1652685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68505" name="图片 16526850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DB4D1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S7.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Expanded sample-level diagnostics for signature, marker, and stratification analyses across GSE25638, GSE25550, and GSE18736, including group contrasts and within-MALT score coupling.</w:t>
      </w:r>
    </w:p>
    <w:p w14:paraId="2912248C" w14:textId="7AF5959F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lastRenderedPageBreak/>
        <w:drawing>
          <wp:inline distT="0" distB="0" distL="0" distR="0" wp14:anchorId="3A79DDF6" wp14:editId="5C8463CC">
            <wp:extent cx="5274310" cy="4197350"/>
            <wp:effectExtent l="0" t="0" r="2540" b="0"/>
            <wp:docPr id="67129788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297880" name="图片 67129788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E53C0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S8.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Bayesian hierarchical evidence synthesis for key signature-score and gene-expression endpoints, including pooled effects, directional probabilities, and leave-one-dataset-out sensitivity.</w:t>
      </w:r>
    </w:p>
    <w:p w14:paraId="7DCDD55A" w14:textId="07B22DB9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lastRenderedPageBreak/>
        <w:drawing>
          <wp:inline distT="0" distB="0" distL="0" distR="0" wp14:anchorId="5990C382" wp14:editId="66BF85FF">
            <wp:extent cx="5274310" cy="3937635"/>
            <wp:effectExtent l="0" t="0" r="2540" b="5715"/>
            <wp:docPr id="20780452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045201" name="图片 207804520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FAB78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S9.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SEM-based path-consistency constraints for the STAT6-associated pathway model, including cell-adjusted total contrasts, path decomposition, bootstrap indirect effects, and within-MALT adjusted associations.</w:t>
      </w:r>
    </w:p>
    <w:p w14:paraId="306F0B9E" w14:textId="1B20DEEC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5714B39D" wp14:editId="32B50CF9">
            <wp:extent cx="5274310" cy="3701415"/>
            <wp:effectExtent l="0" t="0" r="2540" b="0"/>
            <wp:docPr id="57674902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49027" name="图片 57674902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DAD8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lastRenderedPageBreak/>
        <w:t>Supplementary Figure S10.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PROGENy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>/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DoRothEA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 footprint and signed-prior network constraints around the IL6ST/IL6 layer.</w:t>
      </w:r>
    </w:p>
    <w:p w14:paraId="24DEC51B" w14:textId="57027717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149F833A" wp14:editId="3B331B8F">
            <wp:extent cx="5274310" cy="3315335"/>
            <wp:effectExtent l="0" t="0" r="2540" b="0"/>
            <wp:docPr id="731115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1563" name="图片 7311156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57429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S11.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Exploratory single-cell feasibility screen based on GSE239458-derived exported summaries. (A) Sender-by-receiver IL6-JAK product-score map, calculated as ligand expression in sender cells multiplied by receptor expression in receiver cells; circle and square markers denote IL6ST and IL6R, respectively, and bubble size reflects the exploratory product score. (B) Module/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AUCell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 regulon activity screen across major cell types for STAT6, RELA, NFKB1, BCL6, IRF4, and MYC. (C) Readiness classification for formal single-cell inference, separating available, exploratory/limited, unavailable, 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AUCell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-layer, and supplementary-only analysis components. This figure is hypothesis-generating and does not represent a formal 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CellChat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NicheNet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>, or full SCENIC inference.</w:t>
      </w:r>
    </w:p>
    <w:p w14:paraId="66F3D3C2" w14:textId="787671E1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lastRenderedPageBreak/>
        <w:drawing>
          <wp:inline distT="0" distB="0" distL="0" distR="0" wp14:anchorId="72FBB1D5" wp14:editId="3076088F">
            <wp:extent cx="5274310" cy="4117975"/>
            <wp:effectExtent l="0" t="0" r="2540" b="0"/>
            <wp:docPr id="146330940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09408" name="图片 146330940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2966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S12.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Detailed joint Bayesian latent-axis model diagnostics, including sample-level posterior medians, feature-latent correlation diagnostics, and full loading/structural summaries.</w:t>
      </w:r>
    </w:p>
    <w:p w14:paraId="409783C3" w14:textId="09E1D1B4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lastRenderedPageBreak/>
        <w:drawing>
          <wp:inline distT="0" distB="0" distL="0" distR="0" wp14:anchorId="3736960C" wp14:editId="655607CC">
            <wp:extent cx="5274310" cy="3807460"/>
            <wp:effectExtent l="0" t="0" r="2540" b="2540"/>
            <wp:docPr id="42796577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965776" name="图片 42796577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F2C75" w14:textId="77777777" w:rsidR="00F72452" w:rsidRDefault="00F72452" w:rsidP="00F72452">
      <w:pPr>
        <w:widowControl/>
        <w:spacing w:after="120" w:line="360" w:lineRule="auto"/>
        <w:ind w:firstLine="425"/>
        <w:jc w:val="left"/>
        <w:rPr>
          <w:rFonts w:ascii="Times New Roman" w:eastAsiaTheme="minorEastAsia" w:hAnsi="Times New Roman"/>
          <w:kern w:val="0"/>
          <w:sz w:val="24"/>
          <w:szCs w:val="24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S13.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Detailed shared-specific multi-cohort network diagnostics, including </w:t>
      </w:r>
      <w:proofErr w:type="spellStart"/>
      <w:r>
        <w:rPr>
          <w:rFonts w:ascii="Times New Roman" w:eastAsia="MS Mincho" w:hAnsi="Times New Roman"/>
          <w:kern w:val="0"/>
          <w:sz w:val="24"/>
          <w:szCs w:val="24"/>
        </w:rPr>
        <w:t>residualized</w:t>
      </w:r>
      <w:proofErr w:type="spellEnd"/>
      <w:r>
        <w:rPr>
          <w:rFonts w:ascii="Times New Roman" w:eastAsia="MS Mincho" w:hAnsi="Times New Roman"/>
          <w:kern w:val="0"/>
          <w:sz w:val="24"/>
          <w:szCs w:val="24"/>
        </w:rPr>
        <w:t xml:space="preserve"> MALT correlation matrices, non-weak shared/specific edges, and the largest cohort-specific deviations.</w:t>
      </w:r>
    </w:p>
    <w:p w14:paraId="4060270C" w14:textId="3EE1115A" w:rsidR="00F72452" w:rsidRPr="00F72452" w:rsidRDefault="00F72452" w:rsidP="00F72452">
      <w:pPr>
        <w:widowControl/>
        <w:spacing w:after="120" w:line="360" w:lineRule="auto"/>
        <w:jc w:val="left"/>
        <w:rPr>
          <w:rFonts w:eastAsiaTheme="minorEastAsia" w:hint="eastAsia"/>
        </w:rPr>
      </w:pPr>
      <w:r>
        <w:rPr>
          <w:rFonts w:eastAsiaTheme="minorEastAsia" w:hint="eastAsia"/>
          <w:noProof/>
          <w14:ligatures w14:val="standardContextual"/>
        </w:rPr>
        <w:drawing>
          <wp:inline distT="0" distB="0" distL="0" distR="0" wp14:anchorId="5B6389D4" wp14:editId="58663D99">
            <wp:extent cx="5274310" cy="2588260"/>
            <wp:effectExtent l="0" t="0" r="2540" b="2540"/>
            <wp:docPr id="7312223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22324" name="图片 7312223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FB95C" w14:textId="7EC14AF9" w:rsidR="008523DE" w:rsidRPr="00F72452" w:rsidRDefault="00F72452" w:rsidP="00F72452">
      <w:pPr>
        <w:widowControl/>
        <w:spacing w:after="120" w:line="360" w:lineRule="auto"/>
        <w:ind w:firstLine="425"/>
        <w:jc w:val="left"/>
        <w:rPr>
          <w:rFonts w:hint="eastAsia"/>
        </w:rPr>
      </w:pPr>
      <w:r>
        <w:rPr>
          <w:rFonts w:ascii="Times New Roman" w:eastAsia="MS Mincho" w:hAnsi="Times New Roman"/>
          <w:b/>
          <w:kern w:val="0"/>
          <w:sz w:val="24"/>
          <w:szCs w:val="24"/>
        </w:rPr>
        <w:t>Supplementary Figure S14.</w:t>
      </w:r>
      <w:r>
        <w:rPr>
          <w:rFonts w:ascii="Times New Roman" w:eastAsia="MS Mincho" w:hAnsi="Times New Roman"/>
          <w:kern w:val="0"/>
          <w:sz w:val="24"/>
          <w:szCs w:val="24"/>
        </w:rPr>
        <w:t xml:space="preserve"> Combined exploratory epigenetic and chromatin-context analyses around IL6, with IL6 methylation observations in panel A and GM12878 motif-enrichment context at IL6 Hi-C interacting regions in panel B.</w:t>
      </w:r>
    </w:p>
    <w:sectPr w:rsidR="008523DE" w:rsidRPr="00F724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452"/>
    <w:rsid w:val="000E16B4"/>
    <w:rsid w:val="00725207"/>
    <w:rsid w:val="008523DE"/>
    <w:rsid w:val="00A46D5D"/>
    <w:rsid w:val="00F7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5DD9"/>
  <w15:chartTrackingRefBased/>
  <w15:docId w15:val="{BE3D18BF-1068-45BF-8B62-D48C8B6D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452"/>
    <w:pPr>
      <w:widowControl w:val="0"/>
      <w:jc w:val="both"/>
    </w:pPr>
    <w:rPr>
      <w:rFonts w:ascii="Calibri" w:eastAsia="宋体" w:hAnsi="Calibri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724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4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45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45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45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45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45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45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4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24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2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245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245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7245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24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24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24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24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72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4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724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245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724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2452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F724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4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7245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724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540</Words>
  <Characters>3586</Characters>
  <Application>Microsoft Office Word</Application>
  <DocSecurity>0</DocSecurity>
  <Lines>64</Lines>
  <Paragraphs>25</Paragraphs>
  <ScaleCrop>false</ScaleCrop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云霞</dc:creator>
  <cp:keywords/>
  <dc:description/>
  <cp:lastModifiedBy>张 云霞</cp:lastModifiedBy>
  <cp:revision>1</cp:revision>
  <dcterms:created xsi:type="dcterms:W3CDTF">2026-05-10T06:08:00Z</dcterms:created>
  <dcterms:modified xsi:type="dcterms:W3CDTF">2026-05-10T06:18:00Z</dcterms:modified>
</cp:coreProperties>
</file>