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5D863D" w14:textId="4ED48F03" w:rsidR="00C84B1A" w:rsidRDefault="00585E97">
      <w:r w:rsidRPr="001E4536">
        <w:rPr>
          <w:b/>
          <w:bCs/>
        </w:rPr>
        <w:t xml:space="preserve">Table </w:t>
      </w:r>
      <w:r w:rsidR="00AF0FBE" w:rsidRPr="001E4536">
        <w:rPr>
          <w:b/>
          <w:bCs/>
        </w:rPr>
        <w:t>S</w:t>
      </w:r>
      <w:r w:rsidRPr="001E4536">
        <w:rPr>
          <w:b/>
          <w:bCs/>
        </w:rPr>
        <w:t>1</w:t>
      </w:r>
      <w:r w:rsidRPr="001E4536">
        <w:t xml:space="preserve">: </w:t>
      </w:r>
      <w:r w:rsidR="00DD1F90">
        <w:t>A</w:t>
      </w:r>
      <w:r w:rsidR="00FA55F9" w:rsidRPr="001E4536">
        <w:t xml:space="preserve">shing </w:t>
      </w:r>
      <w:r w:rsidR="00246C24" w:rsidRPr="001E4536">
        <w:t>s</w:t>
      </w:r>
      <w:r w:rsidR="00FA55F9" w:rsidRPr="001E4536">
        <w:t>tudies</w:t>
      </w:r>
      <w:r w:rsidR="00246C24" w:rsidRPr="001E4536">
        <w:t xml:space="preserve">. </w:t>
      </w:r>
      <w:proofErr w:type="spellStart"/>
      <w:r w:rsidR="00246C24" w:rsidRPr="001E4536">
        <w:t>n.</w:t>
      </w:r>
      <w:r w:rsidR="00512F79">
        <w:t>r</w:t>
      </w:r>
      <w:r w:rsidR="00DD1F90">
        <w:t>.</w:t>
      </w:r>
      <w:proofErr w:type="spellEnd"/>
      <w:r w:rsidR="00246C24" w:rsidRPr="001E4536">
        <w:t xml:space="preserve"> </w:t>
      </w:r>
      <w:r w:rsidR="009C4483" w:rsidRPr="001E4536">
        <w:t>indicates</w:t>
      </w:r>
      <w:r w:rsidR="00246C24" w:rsidRPr="001E4536">
        <w:t xml:space="preserve"> </w:t>
      </w:r>
      <w:r w:rsidR="00512F79">
        <w:t>data</w:t>
      </w:r>
      <w:r w:rsidR="001E4536" w:rsidRPr="001E4536">
        <w:t xml:space="preserve"> not reported</w:t>
      </w:r>
      <w:r w:rsidR="00AE141F" w:rsidRPr="001E4536">
        <w:t>.</w:t>
      </w:r>
    </w:p>
    <w:tbl>
      <w:tblPr>
        <w:tblW w:w="12397" w:type="dxa"/>
        <w:tblLayout w:type="fixed"/>
        <w:tblLook w:val="04A0" w:firstRow="1" w:lastRow="0" w:firstColumn="1" w:lastColumn="0" w:noHBand="0" w:noVBand="1"/>
      </w:tblPr>
      <w:tblGrid>
        <w:gridCol w:w="2694"/>
        <w:gridCol w:w="1842"/>
        <w:gridCol w:w="2127"/>
        <w:gridCol w:w="1275"/>
        <w:gridCol w:w="1134"/>
        <w:gridCol w:w="2127"/>
        <w:gridCol w:w="1198"/>
      </w:tblGrid>
      <w:tr w:rsidR="00C84B1A" w:rsidRPr="00344B47" w14:paraId="3AF035B2" w14:textId="77777777" w:rsidTr="00C75336">
        <w:trPr>
          <w:trHeight w:val="480"/>
        </w:trPr>
        <w:tc>
          <w:tcPr>
            <w:tcW w:w="2694" w:type="dxa"/>
            <w:tcBorders>
              <w:top w:val="nil"/>
              <w:left w:val="nil"/>
              <w:bottom w:val="nil"/>
              <w:right w:val="nil"/>
            </w:tcBorders>
            <w:shd w:val="clear" w:color="auto" w:fill="auto"/>
            <w:vAlign w:val="center"/>
            <w:hideMark/>
          </w:tcPr>
          <w:p w14:paraId="1BF3A15D"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 xml:space="preserve">Author </w:t>
            </w:r>
          </w:p>
        </w:tc>
        <w:tc>
          <w:tcPr>
            <w:tcW w:w="1842" w:type="dxa"/>
            <w:tcBorders>
              <w:top w:val="nil"/>
              <w:left w:val="nil"/>
              <w:bottom w:val="nil"/>
              <w:right w:val="nil"/>
            </w:tcBorders>
            <w:shd w:val="clear" w:color="auto" w:fill="auto"/>
            <w:vAlign w:val="center"/>
            <w:hideMark/>
          </w:tcPr>
          <w:p w14:paraId="6C822009"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Material</w:t>
            </w:r>
          </w:p>
        </w:tc>
        <w:tc>
          <w:tcPr>
            <w:tcW w:w="2127" w:type="dxa"/>
            <w:tcBorders>
              <w:top w:val="nil"/>
              <w:left w:val="nil"/>
              <w:bottom w:val="nil"/>
              <w:right w:val="nil"/>
            </w:tcBorders>
            <w:shd w:val="clear" w:color="auto" w:fill="auto"/>
            <w:vAlign w:val="center"/>
            <w:hideMark/>
          </w:tcPr>
          <w:p w14:paraId="5713DC66"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Mass (g)</w:t>
            </w:r>
          </w:p>
        </w:tc>
        <w:tc>
          <w:tcPr>
            <w:tcW w:w="1275" w:type="dxa"/>
            <w:tcBorders>
              <w:top w:val="nil"/>
              <w:left w:val="nil"/>
              <w:bottom w:val="nil"/>
              <w:right w:val="nil"/>
            </w:tcBorders>
            <w:shd w:val="clear" w:color="auto" w:fill="auto"/>
            <w:vAlign w:val="center"/>
            <w:hideMark/>
          </w:tcPr>
          <w:p w14:paraId="2FFB1AE2"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Temperature °C</w:t>
            </w:r>
          </w:p>
        </w:tc>
        <w:tc>
          <w:tcPr>
            <w:tcW w:w="1134" w:type="dxa"/>
            <w:tcBorders>
              <w:top w:val="nil"/>
              <w:left w:val="nil"/>
              <w:bottom w:val="nil"/>
              <w:right w:val="nil"/>
            </w:tcBorders>
            <w:shd w:val="clear" w:color="auto" w:fill="auto"/>
            <w:vAlign w:val="center"/>
            <w:hideMark/>
          </w:tcPr>
          <w:p w14:paraId="4F43242C"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Time</w:t>
            </w:r>
          </w:p>
        </w:tc>
        <w:tc>
          <w:tcPr>
            <w:tcW w:w="2127" w:type="dxa"/>
            <w:tcBorders>
              <w:top w:val="nil"/>
              <w:left w:val="nil"/>
              <w:bottom w:val="nil"/>
              <w:right w:val="nil"/>
            </w:tcBorders>
            <w:shd w:val="clear" w:color="auto" w:fill="auto"/>
            <w:vAlign w:val="center"/>
            <w:hideMark/>
          </w:tcPr>
          <w:p w14:paraId="5DCF7E2E"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Pretreatment</w:t>
            </w:r>
          </w:p>
        </w:tc>
        <w:tc>
          <w:tcPr>
            <w:tcW w:w="1198" w:type="dxa"/>
            <w:tcBorders>
              <w:top w:val="nil"/>
              <w:left w:val="nil"/>
              <w:bottom w:val="nil"/>
              <w:right w:val="nil"/>
            </w:tcBorders>
            <w:shd w:val="clear" w:color="auto" w:fill="auto"/>
            <w:vAlign w:val="center"/>
            <w:hideMark/>
          </w:tcPr>
          <w:p w14:paraId="7C288E83"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 xml:space="preserve">Ash </w:t>
            </w:r>
            <w:proofErr w:type="spellStart"/>
            <w:r w:rsidRPr="00344B47">
              <w:rPr>
                <w:rFonts w:eastAsia="Times New Roman"/>
                <w:b/>
                <w:bCs/>
                <w:color w:val="000000"/>
                <w:sz w:val="18"/>
                <w:szCs w:val="18"/>
                <w:lang w:eastAsia="en-CA"/>
              </w:rPr>
              <w:t>wt</w:t>
            </w:r>
            <w:proofErr w:type="spellEnd"/>
            <w:r w:rsidRPr="00344B47">
              <w:rPr>
                <w:rFonts w:eastAsia="Times New Roman"/>
                <w:b/>
                <w:bCs/>
                <w:color w:val="000000"/>
                <w:sz w:val="18"/>
                <w:szCs w:val="18"/>
                <w:lang w:eastAsia="en-CA"/>
              </w:rPr>
              <w:t>%</w:t>
            </w:r>
          </w:p>
        </w:tc>
      </w:tr>
      <w:tr w:rsidR="00C84B1A" w:rsidRPr="00344B47" w14:paraId="504B850B" w14:textId="77777777" w:rsidTr="00C75336">
        <w:trPr>
          <w:trHeight w:val="203"/>
        </w:trPr>
        <w:tc>
          <w:tcPr>
            <w:tcW w:w="2694" w:type="dxa"/>
            <w:tcBorders>
              <w:top w:val="nil"/>
              <w:left w:val="nil"/>
              <w:bottom w:val="nil"/>
              <w:right w:val="nil"/>
            </w:tcBorders>
            <w:shd w:val="clear" w:color="auto" w:fill="auto"/>
            <w:vAlign w:val="bottom"/>
            <w:hideMark/>
          </w:tcPr>
          <w:p w14:paraId="2C48BC1E" w14:textId="77777777"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Human Bone</w:t>
            </w:r>
          </w:p>
        </w:tc>
        <w:tc>
          <w:tcPr>
            <w:tcW w:w="1842" w:type="dxa"/>
            <w:tcBorders>
              <w:top w:val="nil"/>
              <w:left w:val="nil"/>
              <w:bottom w:val="nil"/>
              <w:right w:val="nil"/>
            </w:tcBorders>
            <w:shd w:val="clear" w:color="auto" w:fill="auto"/>
            <w:vAlign w:val="bottom"/>
            <w:hideMark/>
          </w:tcPr>
          <w:p w14:paraId="7D658530" w14:textId="77777777" w:rsidR="00C84B1A" w:rsidRPr="00344B47" w:rsidRDefault="00C84B1A" w:rsidP="00C84B1A">
            <w:pPr>
              <w:spacing w:after="0"/>
              <w:rPr>
                <w:rFonts w:eastAsia="Times New Roman"/>
                <w:b/>
                <w:bCs/>
                <w:color w:val="000000"/>
                <w:sz w:val="18"/>
                <w:szCs w:val="18"/>
                <w:lang w:eastAsia="en-CA"/>
              </w:rPr>
            </w:pPr>
          </w:p>
        </w:tc>
        <w:tc>
          <w:tcPr>
            <w:tcW w:w="2127" w:type="dxa"/>
            <w:tcBorders>
              <w:top w:val="nil"/>
              <w:left w:val="nil"/>
              <w:bottom w:val="nil"/>
              <w:right w:val="nil"/>
            </w:tcBorders>
            <w:shd w:val="clear" w:color="auto" w:fill="auto"/>
            <w:vAlign w:val="bottom"/>
            <w:hideMark/>
          </w:tcPr>
          <w:p w14:paraId="3AB38EC7" w14:textId="77777777" w:rsidR="00C84B1A" w:rsidRPr="00344B47" w:rsidRDefault="00C84B1A" w:rsidP="00C84B1A">
            <w:pPr>
              <w:spacing w:after="0"/>
              <w:rPr>
                <w:rFonts w:eastAsia="Times New Roman"/>
                <w:sz w:val="20"/>
                <w:szCs w:val="20"/>
                <w:lang w:eastAsia="en-CA"/>
              </w:rPr>
            </w:pPr>
          </w:p>
        </w:tc>
        <w:tc>
          <w:tcPr>
            <w:tcW w:w="1275" w:type="dxa"/>
            <w:tcBorders>
              <w:top w:val="nil"/>
              <w:left w:val="nil"/>
              <w:bottom w:val="nil"/>
              <w:right w:val="nil"/>
            </w:tcBorders>
            <w:shd w:val="clear" w:color="auto" w:fill="auto"/>
            <w:vAlign w:val="bottom"/>
            <w:hideMark/>
          </w:tcPr>
          <w:p w14:paraId="15794A61" w14:textId="77777777" w:rsidR="00C84B1A" w:rsidRPr="00344B47" w:rsidRDefault="00C84B1A" w:rsidP="00C84B1A">
            <w:pPr>
              <w:spacing w:after="0"/>
              <w:rPr>
                <w:rFonts w:eastAsia="Times New Roman"/>
                <w:sz w:val="20"/>
                <w:szCs w:val="20"/>
                <w:lang w:eastAsia="en-CA"/>
              </w:rPr>
            </w:pPr>
          </w:p>
        </w:tc>
        <w:tc>
          <w:tcPr>
            <w:tcW w:w="1134" w:type="dxa"/>
            <w:tcBorders>
              <w:top w:val="nil"/>
              <w:left w:val="nil"/>
              <w:bottom w:val="nil"/>
              <w:right w:val="nil"/>
            </w:tcBorders>
            <w:shd w:val="clear" w:color="auto" w:fill="auto"/>
            <w:vAlign w:val="bottom"/>
            <w:hideMark/>
          </w:tcPr>
          <w:p w14:paraId="692715CC" w14:textId="77777777" w:rsidR="00C84B1A" w:rsidRPr="00344B47" w:rsidRDefault="00C84B1A" w:rsidP="00C84B1A">
            <w:pPr>
              <w:spacing w:after="0"/>
              <w:rPr>
                <w:rFonts w:eastAsia="Times New Roman"/>
                <w:sz w:val="20"/>
                <w:szCs w:val="20"/>
                <w:lang w:eastAsia="en-CA"/>
              </w:rPr>
            </w:pPr>
          </w:p>
        </w:tc>
        <w:tc>
          <w:tcPr>
            <w:tcW w:w="2127" w:type="dxa"/>
            <w:tcBorders>
              <w:top w:val="nil"/>
              <w:left w:val="nil"/>
              <w:bottom w:val="nil"/>
              <w:right w:val="nil"/>
            </w:tcBorders>
            <w:shd w:val="clear" w:color="auto" w:fill="auto"/>
            <w:vAlign w:val="bottom"/>
            <w:hideMark/>
          </w:tcPr>
          <w:p w14:paraId="1B7C138B" w14:textId="77777777" w:rsidR="00C84B1A" w:rsidRPr="00344B47" w:rsidRDefault="00C84B1A" w:rsidP="00C84B1A">
            <w:pPr>
              <w:spacing w:after="0"/>
              <w:rPr>
                <w:rFonts w:eastAsia="Times New Roman"/>
                <w:sz w:val="20"/>
                <w:szCs w:val="20"/>
                <w:lang w:eastAsia="en-CA"/>
              </w:rPr>
            </w:pPr>
          </w:p>
        </w:tc>
        <w:tc>
          <w:tcPr>
            <w:tcW w:w="1198" w:type="dxa"/>
            <w:tcBorders>
              <w:top w:val="nil"/>
              <w:left w:val="nil"/>
              <w:bottom w:val="nil"/>
              <w:right w:val="nil"/>
            </w:tcBorders>
            <w:shd w:val="clear" w:color="auto" w:fill="auto"/>
            <w:vAlign w:val="bottom"/>
            <w:hideMark/>
          </w:tcPr>
          <w:p w14:paraId="02068C93" w14:textId="77777777" w:rsidR="00C84B1A" w:rsidRPr="00344B47" w:rsidRDefault="00C84B1A" w:rsidP="00C84B1A">
            <w:pPr>
              <w:spacing w:after="0"/>
              <w:rPr>
                <w:rFonts w:eastAsia="Times New Roman"/>
                <w:sz w:val="20"/>
                <w:szCs w:val="20"/>
                <w:lang w:eastAsia="en-CA"/>
              </w:rPr>
            </w:pPr>
          </w:p>
        </w:tc>
      </w:tr>
      <w:tr w:rsidR="00C84B1A" w:rsidRPr="00344B47" w14:paraId="6C6CD146" w14:textId="77777777" w:rsidTr="00C75336">
        <w:trPr>
          <w:trHeight w:val="408"/>
        </w:trPr>
        <w:tc>
          <w:tcPr>
            <w:tcW w:w="2694" w:type="dxa"/>
            <w:tcBorders>
              <w:top w:val="nil"/>
              <w:left w:val="nil"/>
              <w:bottom w:val="nil"/>
              <w:right w:val="nil"/>
            </w:tcBorders>
            <w:shd w:val="clear" w:color="auto" w:fill="auto"/>
            <w:vAlign w:val="bottom"/>
            <w:hideMark/>
          </w:tcPr>
          <w:p w14:paraId="7C3BE630" w14:textId="0A3F2A18"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Trotter </w:t>
            </w:r>
            <w:r w:rsidR="00EC694E">
              <w:rPr>
                <w:rFonts w:eastAsia="Times New Roman"/>
                <w:color w:val="000000"/>
                <w:sz w:val="18"/>
                <w:szCs w:val="18"/>
                <w:lang w:eastAsia="en-CA"/>
              </w:rPr>
              <w:t>and</w:t>
            </w:r>
            <w:r w:rsidRPr="00344B47">
              <w:rPr>
                <w:rFonts w:eastAsia="Times New Roman"/>
                <w:color w:val="000000"/>
                <w:sz w:val="18"/>
                <w:szCs w:val="18"/>
                <w:lang w:eastAsia="en-CA"/>
              </w:rPr>
              <w:t xml:space="preserve"> Peterson 1955</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10.1002/ar.1091230308","ISSN":"0003-276X","author":[{"dropping-particle":"","family":"Trotter","given":"Mildred","non-dropping-particle":"","parse-names":false,"suffix":""},{"dropping-particle":"","family":"Peterson","given":"Roy R.","non-dropping-particle":"","parse-names":false,"suffix":""}],"container-title":"The Anatomical Record","id":"ITEM-1","issue":"3","issued":{"date-parts":[["1955","11","1"]]},"page":"341-358","publisher":"John Wiley &amp; Sons, Ltd","title":"Ash weight of human skeletons in per cent of their dry, fat-free weight","type":"article-journal","volume":"123"},"uris":["http://www.mendeley.com/documents/?uuid=12b41a0c-2ec2-3865-9ed5-6fa27cf3d505"]}],"mendeley":{"formattedCitation":"[1]","plainTextFormattedCitation":"[1]","previouslyFormattedCitation":"[1]"},"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[1]</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20FAC59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Various bones </w:t>
            </w:r>
          </w:p>
        </w:tc>
        <w:tc>
          <w:tcPr>
            <w:tcW w:w="2127" w:type="dxa"/>
            <w:tcBorders>
              <w:top w:val="nil"/>
              <w:left w:val="nil"/>
              <w:bottom w:val="nil"/>
              <w:right w:val="nil"/>
            </w:tcBorders>
            <w:shd w:val="clear" w:color="auto" w:fill="auto"/>
            <w:vAlign w:val="bottom"/>
            <w:hideMark/>
          </w:tcPr>
          <w:p w14:paraId="4F79DE2F"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Whole bone</w:t>
            </w:r>
          </w:p>
        </w:tc>
        <w:tc>
          <w:tcPr>
            <w:tcW w:w="1275" w:type="dxa"/>
            <w:tcBorders>
              <w:top w:val="nil"/>
              <w:left w:val="nil"/>
              <w:bottom w:val="nil"/>
              <w:right w:val="nil"/>
            </w:tcBorders>
            <w:shd w:val="clear" w:color="auto" w:fill="auto"/>
            <w:vAlign w:val="bottom"/>
            <w:hideMark/>
          </w:tcPr>
          <w:p w14:paraId="114D85BF"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6610AD9A"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2127" w:type="dxa"/>
            <w:tcBorders>
              <w:top w:val="nil"/>
              <w:left w:val="nil"/>
              <w:bottom w:val="nil"/>
              <w:right w:val="nil"/>
            </w:tcBorders>
            <w:shd w:val="clear" w:color="auto" w:fill="auto"/>
            <w:vAlign w:val="bottom"/>
            <w:hideMark/>
          </w:tcPr>
          <w:p w14:paraId="28E0D62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Dried at 70°C for 7 or more days</w:t>
            </w:r>
          </w:p>
        </w:tc>
        <w:tc>
          <w:tcPr>
            <w:tcW w:w="1198" w:type="dxa"/>
            <w:tcBorders>
              <w:top w:val="nil"/>
              <w:left w:val="nil"/>
              <w:bottom w:val="nil"/>
              <w:right w:val="nil"/>
            </w:tcBorders>
            <w:shd w:val="clear" w:color="auto" w:fill="auto"/>
            <w:vAlign w:val="bottom"/>
            <w:hideMark/>
          </w:tcPr>
          <w:p w14:paraId="5484242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63-67 </w:t>
            </w:r>
          </w:p>
        </w:tc>
      </w:tr>
      <w:tr w:rsidR="00C84B1A" w:rsidRPr="00344B47" w14:paraId="1310A4B2" w14:textId="77777777" w:rsidTr="00C75336">
        <w:trPr>
          <w:trHeight w:val="541"/>
        </w:trPr>
        <w:tc>
          <w:tcPr>
            <w:tcW w:w="2694" w:type="dxa"/>
            <w:tcBorders>
              <w:top w:val="nil"/>
              <w:left w:val="nil"/>
              <w:bottom w:val="nil"/>
              <w:right w:val="nil"/>
            </w:tcBorders>
            <w:shd w:val="clear" w:color="auto" w:fill="auto"/>
            <w:vAlign w:val="bottom"/>
            <w:hideMark/>
          </w:tcPr>
          <w:p w14:paraId="25A55F18" w14:textId="74AAE5FC"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Trotter </w:t>
            </w:r>
            <w:r w:rsidR="00EC694E">
              <w:rPr>
                <w:rFonts w:eastAsia="Times New Roman"/>
                <w:color w:val="000000"/>
                <w:sz w:val="18"/>
                <w:szCs w:val="18"/>
                <w:lang w:eastAsia="en-CA"/>
              </w:rPr>
              <w:t>and</w:t>
            </w:r>
            <w:r w:rsidRPr="00344B47">
              <w:rPr>
                <w:rFonts w:eastAsia="Times New Roman"/>
                <w:color w:val="000000"/>
                <w:sz w:val="18"/>
                <w:szCs w:val="18"/>
                <w:lang w:eastAsia="en-CA"/>
              </w:rPr>
              <w:t xml:space="preserve"> Hixon 1974</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10.1002/ar.1091790102","ISSN":"0003-276X","author":[{"dropping-particle":"","family":"Trotter","given":"Mildred","non-dropping-particle":"","parse-names":false,"suffix":""},{"dropping-particle":"","family":"Hixon","given":"Barbara B.","non-dropping-particle":"","parse-names":false,"suffix":""}],"container-title":"The Anatomical Record","id":"ITEM-1","issue":"1","issued":{"date-parts":[["1974","5","1"]]},"page":"1-18","publisher":"John Wiley &amp; Sons, Ltd","title":"Sequential changes in weight, density, and percentage ash weight of human skeletons from an early fetal period through old age","type":"article-journal","volume":"179"},"uris":["http://www.mendeley.com/documents/?uuid=2baf7ecf-96ec-363b-857f-f1b330d276b5"]}],"mendeley":{"formattedCitation":"[2]","plainTextFormattedCitation":"[2]","previouslyFormattedCitation":"[2]"},"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[2]</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543DEE83"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Various bones</w:t>
            </w:r>
          </w:p>
        </w:tc>
        <w:tc>
          <w:tcPr>
            <w:tcW w:w="2127" w:type="dxa"/>
            <w:tcBorders>
              <w:top w:val="nil"/>
              <w:left w:val="nil"/>
              <w:bottom w:val="nil"/>
              <w:right w:val="nil"/>
            </w:tcBorders>
            <w:shd w:val="clear" w:color="auto" w:fill="auto"/>
            <w:vAlign w:val="bottom"/>
            <w:hideMark/>
          </w:tcPr>
          <w:p w14:paraId="66F40CC7" w14:textId="758B98BE"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Whole bone; 3.4 g-5629 g</w:t>
            </w:r>
          </w:p>
        </w:tc>
        <w:tc>
          <w:tcPr>
            <w:tcW w:w="1275" w:type="dxa"/>
            <w:tcBorders>
              <w:top w:val="nil"/>
              <w:left w:val="nil"/>
              <w:bottom w:val="nil"/>
              <w:right w:val="nil"/>
            </w:tcBorders>
            <w:shd w:val="clear" w:color="auto" w:fill="auto"/>
            <w:vAlign w:val="bottom"/>
            <w:hideMark/>
          </w:tcPr>
          <w:p w14:paraId="3B9B0B6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46124C55"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2127" w:type="dxa"/>
            <w:tcBorders>
              <w:top w:val="nil"/>
              <w:left w:val="nil"/>
              <w:bottom w:val="nil"/>
              <w:right w:val="nil"/>
            </w:tcBorders>
            <w:shd w:val="clear" w:color="auto" w:fill="auto"/>
            <w:vAlign w:val="bottom"/>
            <w:hideMark/>
          </w:tcPr>
          <w:p w14:paraId="47073CC2"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98" w:type="dxa"/>
            <w:tcBorders>
              <w:top w:val="nil"/>
              <w:left w:val="nil"/>
              <w:bottom w:val="nil"/>
              <w:right w:val="nil"/>
            </w:tcBorders>
            <w:shd w:val="clear" w:color="auto" w:fill="auto"/>
            <w:vAlign w:val="bottom"/>
            <w:hideMark/>
          </w:tcPr>
          <w:p w14:paraId="7BB2BD2F"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4F9ABA73" w14:textId="77777777" w:rsidTr="00C75336">
        <w:trPr>
          <w:trHeight w:val="266"/>
        </w:trPr>
        <w:tc>
          <w:tcPr>
            <w:tcW w:w="2694" w:type="dxa"/>
            <w:tcBorders>
              <w:top w:val="nil"/>
              <w:left w:val="nil"/>
              <w:bottom w:val="nil"/>
              <w:right w:val="nil"/>
            </w:tcBorders>
            <w:shd w:val="clear" w:color="auto" w:fill="auto"/>
            <w:vAlign w:val="bottom"/>
            <w:hideMark/>
          </w:tcPr>
          <w:p w14:paraId="008AF472" w14:textId="37DC2424"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Economos</w:t>
            </w:r>
            <w:proofErr w:type="spellEnd"/>
            <w:r w:rsidRPr="00344B47">
              <w:rPr>
                <w:rFonts w:eastAsia="Times New Roman"/>
                <w:color w:val="000000"/>
                <w:sz w:val="18"/>
                <w:szCs w:val="18"/>
                <w:lang w:eastAsia="en-CA"/>
              </w:rPr>
              <w:t xml:space="preserve"> et al. 1999</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{"citationItems":[{"id":"ITEM-1","itemData":{"DOI":"10.1007/s001980050216","ISSN":"0937-941X","abstract":"A system in vitro consisting of a femur from a cadaver and soft-tissue equivalent material was used to test the agreement between several techniques for measuring bone mineral. Calcium values measured by delayed gamma neutron activation (DGNA) and bone mineral content (BMC) by Lunar, Hologic and Norland dual-energy X-ray absorptiometers (DXA) were compared with calcium and ash content determined by direct chemical analysis. To assess the effect of soft-tissue thickness on measurements of bone mineral, we had three phantom configurations ranging from 15.0 to 26.0 cm in thickness, achieved by using soft-tissue equivalent overlays. Chemical analysis of the femur gave calcium and ash content values of 61.83 g ± 0.51g and 154.120 ± 0.004 g, respectively. Calcium measured by DGNA did not differ from the ashed amount of calcium at any of the phantom configurations. The BMC measured by DXA was significantly higher, by 3–5%, than the amount determined by chemical analysis for the Lunar densitometer and significantly lower, by 3–6%, for the Norland densitometer (p&lt;0.001–0.024), but only 1% lower (not significant) for the Hologic densitometer. DXA instruments showed a decreasing trend in BMC as the thickness increased from 20.5 to 26.0 cm (p&lt;0.05). However, within the entire thickness range (15.0–26.0 cm), the overall influence of thickness on BMC by DXA was very small. These findings offer insight into the differences in these currently available methods for bone mineral measurement and challenge the comparability of different methods.","author":[{"dropping-particle":"","family":"Economos","given":"C. D.","non-dropping-particle":"","parse-names":false,"suffix":""},{"dropping-particle":"","family":"Nelson","given":"M. E.","non-dropping-particle":"","parse-names":false,"suffix":""},{"dropping-particle":"","family":"Fiatarone Singh","given":"M. A.","non-dropping-particle":"","parse-names":false,"suffix":""},{"dropping-particle":"","family":"Kehayias","given":"J. J.","non-dropping-particle":"","parse-names":false,"suffix":""},{"dropping-particle":"","family":"Dallal","given":"G. E.","non-dropping-particle":"","parse-names":false,"suffix":""},{"dropping-particle":"","family":"Heymsfield","given":"S. B.","non-dropping-particle":"","parse-names":false,"suffix":""},{"dropping-particle":"","family":"Wang","given":"J.","non-dropping-particle":"","parse-names":false,"suffix":""},{"dropping-particle":"","family":"Yasumura","given":"S.","non-dropping-particle":"","parse-names":false,"suffix":""},{"dropping-particle":"","family":"Ma","given":"R.","non-dropping-particle":"","parse-names":false,"suffix":""},{"dropping-particle":"","family":"Pierson Jr","given":"R. N.","non-dropping-particle":"","parse-names":false,"suffix":""}],"container-title":"Osteoporosis International","id":"ITEM-1","issue":"3","issued":{"date-parts":[["1999","9","1"]]},"page":"200-206","publisher":"Springer","title":"Bone Mineral Measurements: A Comparison of Delayed Gamma Neutron Activation, Dual-Energy X-ray Absorptiometry and Direct Chemical Analysis","type":"article-journal","volume":"10"},"uris":["http://www.mendeley.com/documents/?uuid=f0dfd9e1-8545-339f-83ce-4dbf51858aa1"]}],"mendeley":{"formattedCitation":"[3]","plainTextFormattedCitation":"[3]","previouslyFormattedCitation":"[3]"},"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[3]</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6DD05A3B"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Femur</w:t>
            </w:r>
          </w:p>
        </w:tc>
        <w:tc>
          <w:tcPr>
            <w:tcW w:w="2127" w:type="dxa"/>
            <w:tcBorders>
              <w:top w:val="nil"/>
              <w:left w:val="nil"/>
              <w:bottom w:val="nil"/>
              <w:right w:val="nil"/>
            </w:tcBorders>
            <w:shd w:val="clear" w:color="auto" w:fill="auto"/>
            <w:vAlign w:val="bottom"/>
            <w:hideMark/>
          </w:tcPr>
          <w:p w14:paraId="6D2278B3"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296.6</w:t>
            </w:r>
          </w:p>
        </w:tc>
        <w:tc>
          <w:tcPr>
            <w:tcW w:w="1275" w:type="dxa"/>
            <w:tcBorders>
              <w:top w:val="nil"/>
              <w:left w:val="nil"/>
              <w:bottom w:val="nil"/>
              <w:right w:val="nil"/>
            </w:tcBorders>
            <w:shd w:val="clear" w:color="auto" w:fill="auto"/>
            <w:vAlign w:val="bottom"/>
            <w:hideMark/>
          </w:tcPr>
          <w:p w14:paraId="5E7D6CBA"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0CC10599"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21 days</w:t>
            </w:r>
          </w:p>
        </w:tc>
        <w:tc>
          <w:tcPr>
            <w:tcW w:w="2127" w:type="dxa"/>
            <w:tcBorders>
              <w:top w:val="nil"/>
              <w:left w:val="nil"/>
              <w:bottom w:val="nil"/>
              <w:right w:val="nil"/>
            </w:tcBorders>
            <w:shd w:val="clear" w:color="auto" w:fill="auto"/>
            <w:vAlign w:val="bottom"/>
            <w:hideMark/>
          </w:tcPr>
          <w:p w14:paraId="640072E1"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60⁰, 1 week</w:t>
            </w:r>
          </w:p>
        </w:tc>
        <w:tc>
          <w:tcPr>
            <w:tcW w:w="1198" w:type="dxa"/>
            <w:tcBorders>
              <w:top w:val="nil"/>
              <w:left w:val="nil"/>
              <w:bottom w:val="nil"/>
              <w:right w:val="nil"/>
            </w:tcBorders>
            <w:shd w:val="clear" w:color="auto" w:fill="auto"/>
            <w:vAlign w:val="bottom"/>
            <w:hideMark/>
          </w:tcPr>
          <w:p w14:paraId="004419B4"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37.3-58.1</w:t>
            </w:r>
          </w:p>
        </w:tc>
      </w:tr>
      <w:tr w:rsidR="00C84B1A" w:rsidRPr="00344B47" w14:paraId="56E9DA0B" w14:textId="77777777" w:rsidTr="00C75336">
        <w:trPr>
          <w:trHeight w:val="203"/>
        </w:trPr>
        <w:tc>
          <w:tcPr>
            <w:tcW w:w="2694" w:type="dxa"/>
            <w:tcBorders>
              <w:top w:val="nil"/>
              <w:left w:val="nil"/>
              <w:bottom w:val="nil"/>
              <w:right w:val="nil"/>
            </w:tcBorders>
            <w:shd w:val="clear" w:color="auto" w:fill="auto"/>
            <w:vAlign w:val="bottom"/>
            <w:hideMark/>
          </w:tcPr>
          <w:p w14:paraId="04DA4BF9" w14:textId="77777777" w:rsidR="00BE2877" w:rsidRDefault="00BE2877" w:rsidP="00C84B1A">
            <w:pPr>
              <w:spacing w:after="0"/>
              <w:rPr>
                <w:rFonts w:eastAsia="Times New Roman"/>
                <w:b/>
                <w:bCs/>
                <w:color w:val="000000"/>
                <w:sz w:val="18"/>
                <w:szCs w:val="18"/>
                <w:lang w:eastAsia="en-CA"/>
              </w:rPr>
            </w:pPr>
          </w:p>
          <w:p w14:paraId="57FEAC12" w14:textId="77777777" w:rsidR="00BE2877" w:rsidRDefault="00BE2877" w:rsidP="00C84B1A">
            <w:pPr>
              <w:spacing w:after="0"/>
              <w:rPr>
                <w:rFonts w:eastAsia="Times New Roman"/>
                <w:b/>
                <w:bCs/>
                <w:color w:val="000000"/>
                <w:sz w:val="18"/>
                <w:szCs w:val="18"/>
                <w:lang w:eastAsia="en-CA"/>
              </w:rPr>
            </w:pPr>
          </w:p>
          <w:p w14:paraId="7DEFA01F" w14:textId="45A14C73"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Human Dentin</w:t>
            </w:r>
          </w:p>
        </w:tc>
        <w:tc>
          <w:tcPr>
            <w:tcW w:w="1842" w:type="dxa"/>
            <w:tcBorders>
              <w:top w:val="nil"/>
              <w:left w:val="nil"/>
              <w:bottom w:val="nil"/>
              <w:right w:val="nil"/>
            </w:tcBorders>
            <w:shd w:val="clear" w:color="auto" w:fill="auto"/>
            <w:vAlign w:val="bottom"/>
            <w:hideMark/>
          </w:tcPr>
          <w:p w14:paraId="6CDEC563" w14:textId="77777777" w:rsidR="00C84B1A" w:rsidRPr="00344B47" w:rsidRDefault="00C84B1A" w:rsidP="00C84B1A">
            <w:pPr>
              <w:spacing w:after="0"/>
              <w:rPr>
                <w:rFonts w:eastAsia="Times New Roman"/>
                <w:b/>
                <w:bCs/>
                <w:color w:val="000000"/>
                <w:sz w:val="18"/>
                <w:szCs w:val="18"/>
                <w:lang w:eastAsia="en-CA"/>
              </w:rPr>
            </w:pPr>
          </w:p>
        </w:tc>
        <w:tc>
          <w:tcPr>
            <w:tcW w:w="2127" w:type="dxa"/>
            <w:tcBorders>
              <w:top w:val="nil"/>
              <w:left w:val="nil"/>
              <w:bottom w:val="nil"/>
              <w:right w:val="nil"/>
            </w:tcBorders>
            <w:shd w:val="clear" w:color="auto" w:fill="auto"/>
            <w:vAlign w:val="bottom"/>
            <w:hideMark/>
          </w:tcPr>
          <w:p w14:paraId="3947582F" w14:textId="77777777" w:rsidR="00C84B1A" w:rsidRPr="00344B47" w:rsidRDefault="00C84B1A" w:rsidP="00C84B1A">
            <w:pPr>
              <w:spacing w:after="0"/>
              <w:rPr>
                <w:rFonts w:eastAsia="Times New Roman"/>
                <w:sz w:val="20"/>
                <w:szCs w:val="20"/>
                <w:lang w:eastAsia="en-CA"/>
              </w:rPr>
            </w:pPr>
          </w:p>
        </w:tc>
        <w:tc>
          <w:tcPr>
            <w:tcW w:w="1275" w:type="dxa"/>
            <w:tcBorders>
              <w:top w:val="nil"/>
              <w:left w:val="nil"/>
              <w:bottom w:val="nil"/>
              <w:right w:val="nil"/>
            </w:tcBorders>
            <w:shd w:val="clear" w:color="auto" w:fill="auto"/>
            <w:vAlign w:val="bottom"/>
            <w:hideMark/>
          </w:tcPr>
          <w:p w14:paraId="010EC83D" w14:textId="77777777" w:rsidR="00C84B1A" w:rsidRPr="00344B47" w:rsidRDefault="00C84B1A" w:rsidP="00C84B1A">
            <w:pPr>
              <w:spacing w:after="0"/>
              <w:rPr>
                <w:rFonts w:eastAsia="Times New Roman"/>
                <w:sz w:val="20"/>
                <w:szCs w:val="20"/>
                <w:lang w:eastAsia="en-CA"/>
              </w:rPr>
            </w:pPr>
          </w:p>
        </w:tc>
        <w:tc>
          <w:tcPr>
            <w:tcW w:w="1134" w:type="dxa"/>
            <w:tcBorders>
              <w:top w:val="nil"/>
              <w:left w:val="nil"/>
              <w:bottom w:val="nil"/>
              <w:right w:val="nil"/>
            </w:tcBorders>
            <w:shd w:val="clear" w:color="auto" w:fill="auto"/>
            <w:vAlign w:val="bottom"/>
            <w:hideMark/>
          </w:tcPr>
          <w:p w14:paraId="2F247260" w14:textId="77777777" w:rsidR="00C84B1A" w:rsidRPr="00344B47" w:rsidRDefault="00C84B1A" w:rsidP="00C84B1A">
            <w:pPr>
              <w:spacing w:after="0"/>
              <w:rPr>
                <w:rFonts w:eastAsia="Times New Roman"/>
                <w:sz w:val="20"/>
                <w:szCs w:val="20"/>
                <w:lang w:eastAsia="en-CA"/>
              </w:rPr>
            </w:pPr>
          </w:p>
        </w:tc>
        <w:tc>
          <w:tcPr>
            <w:tcW w:w="2127" w:type="dxa"/>
            <w:tcBorders>
              <w:top w:val="nil"/>
              <w:left w:val="nil"/>
              <w:bottom w:val="nil"/>
              <w:right w:val="nil"/>
            </w:tcBorders>
            <w:shd w:val="clear" w:color="auto" w:fill="auto"/>
            <w:vAlign w:val="bottom"/>
            <w:hideMark/>
          </w:tcPr>
          <w:p w14:paraId="244498C8" w14:textId="77777777" w:rsidR="00C84B1A" w:rsidRPr="00344B47" w:rsidRDefault="00C84B1A" w:rsidP="00C84B1A">
            <w:pPr>
              <w:spacing w:after="0"/>
              <w:rPr>
                <w:rFonts w:eastAsia="Times New Roman"/>
                <w:sz w:val="20"/>
                <w:szCs w:val="20"/>
                <w:lang w:eastAsia="en-CA"/>
              </w:rPr>
            </w:pPr>
          </w:p>
        </w:tc>
        <w:tc>
          <w:tcPr>
            <w:tcW w:w="1198" w:type="dxa"/>
            <w:tcBorders>
              <w:top w:val="nil"/>
              <w:left w:val="nil"/>
              <w:bottom w:val="nil"/>
              <w:right w:val="nil"/>
            </w:tcBorders>
            <w:shd w:val="clear" w:color="auto" w:fill="auto"/>
            <w:vAlign w:val="bottom"/>
            <w:hideMark/>
          </w:tcPr>
          <w:p w14:paraId="76A5EFB5" w14:textId="77777777" w:rsidR="00C84B1A" w:rsidRPr="00344B47" w:rsidRDefault="00C84B1A" w:rsidP="00C84B1A">
            <w:pPr>
              <w:spacing w:after="0"/>
              <w:rPr>
                <w:rFonts w:eastAsia="Times New Roman"/>
                <w:sz w:val="20"/>
                <w:szCs w:val="20"/>
                <w:lang w:eastAsia="en-CA"/>
              </w:rPr>
            </w:pPr>
          </w:p>
        </w:tc>
      </w:tr>
      <w:tr w:rsidR="00C84B1A" w:rsidRPr="00344B47" w14:paraId="2A47541D" w14:textId="77777777" w:rsidTr="00C75336">
        <w:trPr>
          <w:trHeight w:val="203"/>
        </w:trPr>
        <w:tc>
          <w:tcPr>
            <w:tcW w:w="2694" w:type="dxa"/>
            <w:tcBorders>
              <w:top w:val="nil"/>
              <w:left w:val="nil"/>
              <w:bottom w:val="nil"/>
              <w:right w:val="nil"/>
            </w:tcBorders>
            <w:shd w:val="clear" w:color="auto" w:fill="auto"/>
            <w:vAlign w:val="bottom"/>
            <w:hideMark/>
          </w:tcPr>
          <w:p w14:paraId="645EADC9" w14:textId="53641760"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Little et al. 1965</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{"citationItems":[{"id":"ITEM-1","itemData":{"DOI":"10.1177/00220345650440020901","ISSN":"0022-0345","author":[{"dropping-particle":"","family":"Little","given":"Marguerite F.","non-dropping-particle":"","parse-names":false,"suffix":""},{"dropping-particle":"","family":"Dirksen","given":"Thomas R.","non-dropping-particle":"","parse-names":false,"suffix":""},{"dropping-particle":"","family":"Schlueter","given":"Germaine","non-dropping-particle":"","parse-names":false,"suffix":""}],"container-title":"Journal of Dental Research","id":"ITEM-1","issue":"2","issued":{"date-parts":[["1965","3","9"]]},"page":"362-365","publisher":"SAGE PublicationsSage CA: Los Angeles, CA","title":"The Ca, P, Na, and Ash Content at Different Depths in Caries","type":"article-journal","volume":"44"},"uris":["http://www.mendeley.com/documents/?uuid=94a18e3b-8502-3246-ba86-01e9b32eed7a"]}],"mendeley":{"formattedCitation":"[4]","plainTextFormattedCitation":"[4]","previouslyFormattedCitation":"[4]"},"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[4]</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1F3DF766"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Dentin </w:t>
            </w:r>
          </w:p>
        </w:tc>
        <w:tc>
          <w:tcPr>
            <w:tcW w:w="2127" w:type="dxa"/>
            <w:tcBorders>
              <w:top w:val="nil"/>
              <w:left w:val="nil"/>
              <w:bottom w:val="nil"/>
              <w:right w:val="nil"/>
            </w:tcBorders>
            <w:shd w:val="clear" w:color="auto" w:fill="auto"/>
            <w:vAlign w:val="bottom"/>
            <w:hideMark/>
          </w:tcPr>
          <w:p w14:paraId="2748D5C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0.64-37.44 mg</w:t>
            </w:r>
          </w:p>
        </w:tc>
        <w:tc>
          <w:tcPr>
            <w:tcW w:w="1275" w:type="dxa"/>
            <w:tcBorders>
              <w:top w:val="nil"/>
              <w:left w:val="nil"/>
              <w:bottom w:val="nil"/>
              <w:right w:val="nil"/>
            </w:tcBorders>
            <w:shd w:val="clear" w:color="auto" w:fill="auto"/>
            <w:vAlign w:val="bottom"/>
            <w:hideMark/>
          </w:tcPr>
          <w:p w14:paraId="303EF9D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900</w:t>
            </w:r>
          </w:p>
        </w:tc>
        <w:tc>
          <w:tcPr>
            <w:tcW w:w="1134" w:type="dxa"/>
            <w:tcBorders>
              <w:top w:val="nil"/>
              <w:left w:val="nil"/>
              <w:bottom w:val="nil"/>
              <w:right w:val="nil"/>
            </w:tcBorders>
            <w:shd w:val="clear" w:color="auto" w:fill="auto"/>
            <w:vAlign w:val="bottom"/>
            <w:hideMark/>
          </w:tcPr>
          <w:p w14:paraId="7B032A7B"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2127" w:type="dxa"/>
            <w:tcBorders>
              <w:top w:val="nil"/>
              <w:left w:val="nil"/>
              <w:bottom w:val="nil"/>
              <w:right w:val="nil"/>
            </w:tcBorders>
            <w:shd w:val="clear" w:color="auto" w:fill="auto"/>
            <w:vAlign w:val="bottom"/>
            <w:hideMark/>
          </w:tcPr>
          <w:p w14:paraId="4381A32D" w14:textId="4B7F50B6"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dried 110⁰</w:t>
            </w:r>
            <w:r w:rsidR="00DD1F90">
              <w:rPr>
                <w:rFonts w:eastAsia="Times New Roman"/>
                <w:color w:val="000000"/>
                <w:sz w:val="18"/>
                <w:szCs w:val="18"/>
                <w:lang w:eastAsia="en-CA"/>
              </w:rPr>
              <w:t>C</w:t>
            </w:r>
          </w:p>
        </w:tc>
        <w:tc>
          <w:tcPr>
            <w:tcW w:w="1198" w:type="dxa"/>
            <w:tcBorders>
              <w:top w:val="nil"/>
              <w:left w:val="nil"/>
              <w:bottom w:val="nil"/>
              <w:right w:val="nil"/>
            </w:tcBorders>
            <w:shd w:val="clear" w:color="auto" w:fill="auto"/>
            <w:vAlign w:val="bottom"/>
            <w:hideMark/>
          </w:tcPr>
          <w:p w14:paraId="5F5DBDCD"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26-78</w:t>
            </w:r>
          </w:p>
        </w:tc>
      </w:tr>
      <w:tr w:rsidR="00C84B1A" w:rsidRPr="00344B47" w14:paraId="5C161AB5" w14:textId="77777777" w:rsidTr="00C75336">
        <w:trPr>
          <w:trHeight w:val="203"/>
        </w:trPr>
        <w:tc>
          <w:tcPr>
            <w:tcW w:w="2694" w:type="dxa"/>
            <w:tcBorders>
              <w:top w:val="nil"/>
              <w:left w:val="nil"/>
              <w:bottom w:val="nil"/>
              <w:right w:val="nil"/>
            </w:tcBorders>
            <w:shd w:val="clear" w:color="auto" w:fill="auto"/>
            <w:vAlign w:val="bottom"/>
            <w:hideMark/>
          </w:tcPr>
          <w:p w14:paraId="40B7292F" w14:textId="77777777" w:rsidR="00C84B1A" w:rsidRDefault="00C84B1A" w:rsidP="00C84B1A">
            <w:pPr>
              <w:spacing w:after="0"/>
              <w:rPr>
                <w:rFonts w:eastAsia="Times New Roman"/>
                <w:b/>
                <w:bCs/>
                <w:color w:val="000000"/>
                <w:sz w:val="18"/>
                <w:szCs w:val="18"/>
                <w:lang w:eastAsia="en-CA"/>
              </w:rPr>
            </w:pPr>
          </w:p>
          <w:p w14:paraId="0D72B2EE" w14:textId="37D3502A"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Animal Dentin</w:t>
            </w:r>
          </w:p>
        </w:tc>
        <w:tc>
          <w:tcPr>
            <w:tcW w:w="1842" w:type="dxa"/>
            <w:tcBorders>
              <w:top w:val="nil"/>
              <w:left w:val="nil"/>
              <w:bottom w:val="nil"/>
              <w:right w:val="nil"/>
            </w:tcBorders>
            <w:shd w:val="clear" w:color="auto" w:fill="auto"/>
            <w:vAlign w:val="bottom"/>
            <w:hideMark/>
          </w:tcPr>
          <w:p w14:paraId="04471880" w14:textId="77777777" w:rsidR="00C84B1A" w:rsidRPr="00344B47" w:rsidRDefault="00C84B1A" w:rsidP="00C84B1A">
            <w:pPr>
              <w:spacing w:after="0"/>
              <w:rPr>
                <w:rFonts w:eastAsia="Times New Roman"/>
                <w:b/>
                <w:bCs/>
                <w:color w:val="000000"/>
                <w:sz w:val="18"/>
                <w:szCs w:val="18"/>
                <w:lang w:eastAsia="en-CA"/>
              </w:rPr>
            </w:pPr>
          </w:p>
        </w:tc>
        <w:tc>
          <w:tcPr>
            <w:tcW w:w="2127" w:type="dxa"/>
            <w:tcBorders>
              <w:top w:val="nil"/>
              <w:left w:val="nil"/>
              <w:bottom w:val="nil"/>
              <w:right w:val="nil"/>
            </w:tcBorders>
            <w:shd w:val="clear" w:color="auto" w:fill="auto"/>
            <w:vAlign w:val="bottom"/>
            <w:hideMark/>
          </w:tcPr>
          <w:p w14:paraId="36839747" w14:textId="77777777" w:rsidR="00C84B1A" w:rsidRPr="00344B47" w:rsidRDefault="00C84B1A" w:rsidP="00C84B1A">
            <w:pPr>
              <w:spacing w:after="0"/>
              <w:rPr>
                <w:rFonts w:eastAsia="Times New Roman"/>
                <w:sz w:val="20"/>
                <w:szCs w:val="20"/>
                <w:lang w:eastAsia="en-CA"/>
              </w:rPr>
            </w:pPr>
          </w:p>
        </w:tc>
        <w:tc>
          <w:tcPr>
            <w:tcW w:w="1275" w:type="dxa"/>
            <w:tcBorders>
              <w:top w:val="nil"/>
              <w:left w:val="nil"/>
              <w:bottom w:val="nil"/>
              <w:right w:val="nil"/>
            </w:tcBorders>
            <w:shd w:val="clear" w:color="auto" w:fill="auto"/>
            <w:vAlign w:val="bottom"/>
            <w:hideMark/>
          </w:tcPr>
          <w:p w14:paraId="714F6225" w14:textId="77777777" w:rsidR="00C84B1A" w:rsidRPr="00344B47" w:rsidRDefault="00C84B1A" w:rsidP="00C84B1A">
            <w:pPr>
              <w:spacing w:after="0"/>
              <w:rPr>
                <w:rFonts w:eastAsia="Times New Roman"/>
                <w:sz w:val="20"/>
                <w:szCs w:val="20"/>
                <w:lang w:eastAsia="en-CA"/>
              </w:rPr>
            </w:pPr>
          </w:p>
        </w:tc>
        <w:tc>
          <w:tcPr>
            <w:tcW w:w="1134" w:type="dxa"/>
            <w:tcBorders>
              <w:top w:val="nil"/>
              <w:left w:val="nil"/>
              <w:bottom w:val="nil"/>
              <w:right w:val="nil"/>
            </w:tcBorders>
            <w:shd w:val="clear" w:color="auto" w:fill="auto"/>
            <w:vAlign w:val="bottom"/>
            <w:hideMark/>
          </w:tcPr>
          <w:p w14:paraId="0D75201A" w14:textId="77777777" w:rsidR="00C84B1A" w:rsidRPr="00344B47" w:rsidRDefault="00C84B1A" w:rsidP="00C84B1A">
            <w:pPr>
              <w:spacing w:after="0"/>
              <w:rPr>
                <w:rFonts w:eastAsia="Times New Roman"/>
                <w:sz w:val="20"/>
                <w:szCs w:val="20"/>
                <w:lang w:eastAsia="en-CA"/>
              </w:rPr>
            </w:pPr>
          </w:p>
        </w:tc>
        <w:tc>
          <w:tcPr>
            <w:tcW w:w="2127" w:type="dxa"/>
            <w:tcBorders>
              <w:top w:val="nil"/>
              <w:left w:val="nil"/>
              <w:bottom w:val="nil"/>
              <w:right w:val="nil"/>
            </w:tcBorders>
            <w:shd w:val="clear" w:color="auto" w:fill="auto"/>
            <w:vAlign w:val="bottom"/>
            <w:hideMark/>
          </w:tcPr>
          <w:p w14:paraId="615D4642" w14:textId="77777777" w:rsidR="00C84B1A" w:rsidRPr="00344B47" w:rsidRDefault="00C84B1A" w:rsidP="00C84B1A">
            <w:pPr>
              <w:spacing w:after="0"/>
              <w:rPr>
                <w:rFonts w:eastAsia="Times New Roman"/>
                <w:sz w:val="20"/>
                <w:szCs w:val="20"/>
                <w:lang w:eastAsia="en-CA"/>
              </w:rPr>
            </w:pPr>
          </w:p>
        </w:tc>
        <w:tc>
          <w:tcPr>
            <w:tcW w:w="1198" w:type="dxa"/>
            <w:tcBorders>
              <w:top w:val="nil"/>
              <w:left w:val="nil"/>
              <w:bottom w:val="nil"/>
              <w:right w:val="nil"/>
            </w:tcBorders>
            <w:shd w:val="clear" w:color="auto" w:fill="auto"/>
            <w:vAlign w:val="bottom"/>
            <w:hideMark/>
          </w:tcPr>
          <w:p w14:paraId="525D3063" w14:textId="77777777" w:rsidR="00C84B1A" w:rsidRPr="00344B47" w:rsidRDefault="00C84B1A" w:rsidP="00C84B1A">
            <w:pPr>
              <w:spacing w:after="0"/>
              <w:rPr>
                <w:rFonts w:eastAsia="Times New Roman"/>
                <w:sz w:val="20"/>
                <w:szCs w:val="20"/>
                <w:lang w:eastAsia="en-CA"/>
              </w:rPr>
            </w:pPr>
          </w:p>
        </w:tc>
      </w:tr>
      <w:tr w:rsidR="00C84B1A" w:rsidRPr="00344B47" w14:paraId="0ABB8ABB" w14:textId="77777777" w:rsidTr="00C75336">
        <w:trPr>
          <w:trHeight w:val="203"/>
        </w:trPr>
        <w:tc>
          <w:tcPr>
            <w:tcW w:w="2694" w:type="dxa"/>
            <w:tcBorders>
              <w:top w:val="nil"/>
              <w:left w:val="nil"/>
              <w:bottom w:val="nil"/>
              <w:right w:val="nil"/>
            </w:tcBorders>
            <w:shd w:val="clear" w:color="auto" w:fill="auto"/>
            <w:vAlign w:val="bottom"/>
            <w:hideMark/>
          </w:tcPr>
          <w:p w14:paraId="570B7C4D" w14:textId="05EF82CD"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Alam</w:t>
            </w:r>
            <w:proofErr w:type="spellEnd"/>
            <w:r w:rsidRPr="00344B47">
              <w:rPr>
                <w:rFonts w:eastAsia="Times New Roman"/>
                <w:color w:val="000000"/>
                <w:sz w:val="18"/>
                <w:szCs w:val="18"/>
                <w:lang w:eastAsia="en-CA"/>
              </w:rPr>
              <w:t xml:space="preserve"> </w:t>
            </w:r>
            <w:r w:rsidR="00EC694E">
              <w:rPr>
                <w:rFonts w:eastAsia="Times New Roman"/>
                <w:color w:val="000000"/>
                <w:sz w:val="18"/>
                <w:szCs w:val="18"/>
                <w:lang w:eastAsia="en-CA"/>
              </w:rPr>
              <w:t xml:space="preserve">and </w:t>
            </w:r>
            <w:proofErr w:type="spellStart"/>
            <w:r w:rsidRPr="00344B47">
              <w:rPr>
                <w:rFonts w:eastAsia="Times New Roman"/>
                <w:color w:val="000000"/>
                <w:sz w:val="18"/>
                <w:szCs w:val="18"/>
                <w:lang w:eastAsia="en-CA"/>
              </w:rPr>
              <w:t>Alam</w:t>
            </w:r>
            <w:proofErr w:type="spellEnd"/>
            <w:r w:rsidRPr="00344B47">
              <w:rPr>
                <w:rFonts w:eastAsia="Times New Roman"/>
                <w:color w:val="000000"/>
                <w:sz w:val="18"/>
                <w:szCs w:val="18"/>
                <w:lang w:eastAsia="en-CA"/>
              </w:rPr>
              <w:t xml:space="preserve"> 1981</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{"citationItems":[{"id":"ITEM-1","itemData":{"DOI":"10.1007/BF02409499","ISSN":"0171-967X","abstract":"The purpose of this investigation was to determine if the feeding of excess vitamin E during tooth formation changes the mineral content of teeth. Purified diets containing 0, 250, and 2500 IU vitamin E per kg were fed to 15-day pregnant rats and continued during lactation and to the pups after weaning. Rats were killed at 2 and 4 weeks after weaning. Incisors and molars were weighed, ashed, and the percent of calcium, magnesium, and phosphorus was determined. Feeding of excess vitamin E (2500 IU/kg diet) had no deleterious effect on percent ash or mineral composition of rat teeth. In fact, molars from rats fed excess vitamin E had slightly higher calcium and phosphorus levels. Such differences were also apparent but to a lesser extent in the dentin and enamel composition.","author":[{"dropping-particle":"","family":"Alam","given":"Syed Q.","non-dropping-particle":"","parse-names":false,"suffix":""},{"dropping-particle":"","family":"Alam","given":"Bassima S.","non-dropping-particle":"","parse-names":false,"suffix":""}],"container-title":"Calcified Tissue International","id":"ITEM-1","issue":"1","issued":{"date-parts":[["1981","12"]]},"page":"619-622","publisher":"Springer","title":"Effects of excess vitamin E on rat teeth","type":"article-journal","volume":"33"},"uris":["http://www.mendeley.com/documents/?uuid=555505c5-e95a-3590-9072-e8080d46e127"]}],"mendeley":{"formattedCitation":"[5]","plainTextFormattedCitation":"[5]","previouslyFormattedCitation":"[5]"},"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[5]</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6EAC7B0C"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dentin</w:t>
            </w:r>
          </w:p>
        </w:tc>
        <w:tc>
          <w:tcPr>
            <w:tcW w:w="2127" w:type="dxa"/>
            <w:tcBorders>
              <w:top w:val="nil"/>
              <w:left w:val="nil"/>
              <w:bottom w:val="nil"/>
              <w:right w:val="nil"/>
            </w:tcBorders>
            <w:shd w:val="clear" w:color="auto" w:fill="auto"/>
            <w:vAlign w:val="bottom"/>
            <w:hideMark/>
          </w:tcPr>
          <w:p w14:paraId="69F97CD5"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2336F2CA"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0E0CE91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9h</w:t>
            </w:r>
          </w:p>
        </w:tc>
        <w:tc>
          <w:tcPr>
            <w:tcW w:w="2127" w:type="dxa"/>
            <w:tcBorders>
              <w:top w:val="nil"/>
              <w:left w:val="nil"/>
              <w:bottom w:val="nil"/>
              <w:right w:val="nil"/>
            </w:tcBorders>
            <w:shd w:val="clear" w:color="auto" w:fill="auto"/>
            <w:vAlign w:val="bottom"/>
            <w:hideMark/>
          </w:tcPr>
          <w:p w14:paraId="205678DD" w14:textId="6E484229"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dried 25°</w:t>
            </w:r>
            <w:r w:rsidR="00DD1F90">
              <w:rPr>
                <w:rFonts w:eastAsia="Times New Roman"/>
                <w:color w:val="000000"/>
                <w:sz w:val="18"/>
                <w:szCs w:val="18"/>
                <w:lang w:eastAsia="en-CA"/>
              </w:rPr>
              <w:t>C</w:t>
            </w:r>
          </w:p>
        </w:tc>
        <w:tc>
          <w:tcPr>
            <w:tcW w:w="1198" w:type="dxa"/>
            <w:tcBorders>
              <w:top w:val="nil"/>
              <w:left w:val="nil"/>
              <w:bottom w:val="nil"/>
              <w:right w:val="nil"/>
            </w:tcBorders>
            <w:shd w:val="clear" w:color="auto" w:fill="auto"/>
            <w:vAlign w:val="bottom"/>
            <w:hideMark/>
          </w:tcPr>
          <w:p w14:paraId="30676C89"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75 - 77</w:t>
            </w:r>
          </w:p>
        </w:tc>
      </w:tr>
      <w:tr w:rsidR="00C84B1A" w:rsidRPr="00344B47" w14:paraId="0B5B2244" w14:textId="77777777" w:rsidTr="00C75336">
        <w:trPr>
          <w:trHeight w:val="203"/>
        </w:trPr>
        <w:tc>
          <w:tcPr>
            <w:tcW w:w="2694" w:type="dxa"/>
            <w:tcBorders>
              <w:top w:val="nil"/>
              <w:left w:val="nil"/>
              <w:bottom w:val="nil"/>
              <w:right w:val="nil"/>
            </w:tcBorders>
            <w:shd w:val="clear" w:color="auto" w:fill="auto"/>
            <w:vAlign w:val="bottom"/>
            <w:hideMark/>
          </w:tcPr>
          <w:p w14:paraId="04CBEDE4" w14:textId="77777777" w:rsidR="00C84B1A" w:rsidRDefault="00C84B1A" w:rsidP="00C84B1A">
            <w:pPr>
              <w:spacing w:after="0"/>
              <w:rPr>
                <w:rFonts w:eastAsia="Times New Roman"/>
                <w:b/>
                <w:bCs/>
                <w:color w:val="000000"/>
                <w:sz w:val="18"/>
                <w:szCs w:val="18"/>
                <w:lang w:eastAsia="en-CA"/>
              </w:rPr>
            </w:pPr>
          </w:p>
          <w:p w14:paraId="57C5DBEF" w14:textId="4DB3C651" w:rsidR="00C84B1A" w:rsidRPr="00344B47" w:rsidRDefault="00C84B1A" w:rsidP="00C84B1A">
            <w:pPr>
              <w:spacing w:after="0"/>
              <w:rPr>
                <w:rFonts w:eastAsia="Times New Roman"/>
                <w:b/>
                <w:bCs/>
                <w:color w:val="000000"/>
                <w:sz w:val="18"/>
                <w:szCs w:val="18"/>
                <w:lang w:eastAsia="en-CA"/>
              </w:rPr>
            </w:pPr>
            <w:r w:rsidRPr="00344B47">
              <w:rPr>
                <w:rFonts w:eastAsia="Times New Roman"/>
                <w:b/>
                <w:bCs/>
                <w:color w:val="000000"/>
                <w:sz w:val="18"/>
                <w:szCs w:val="18"/>
                <w:lang w:eastAsia="en-CA"/>
              </w:rPr>
              <w:t>Animal Bone</w:t>
            </w:r>
          </w:p>
        </w:tc>
        <w:tc>
          <w:tcPr>
            <w:tcW w:w="1842" w:type="dxa"/>
            <w:tcBorders>
              <w:top w:val="nil"/>
              <w:left w:val="nil"/>
              <w:bottom w:val="nil"/>
              <w:right w:val="nil"/>
            </w:tcBorders>
            <w:shd w:val="clear" w:color="auto" w:fill="auto"/>
            <w:vAlign w:val="bottom"/>
            <w:hideMark/>
          </w:tcPr>
          <w:p w14:paraId="5C933BE9" w14:textId="77777777" w:rsidR="00C84B1A" w:rsidRPr="00344B47" w:rsidRDefault="00C84B1A" w:rsidP="00C84B1A">
            <w:pPr>
              <w:spacing w:after="0"/>
              <w:rPr>
                <w:rFonts w:eastAsia="Times New Roman"/>
                <w:b/>
                <w:bCs/>
                <w:color w:val="000000"/>
                <w:sz w:val="18"/>
                <w:szCs w:val="18"/>
                <w:lang w:eastAsia="en-CA"/>
              </w:rPr>
            </w:pPr>
          </w:p>
        </w:tc>
        <w:tc>
          <w:tcPr>
            <w:tcW w:w="2127" w:type="dxa"/>
            <w:tcBorders>
              <w:top w:val="nil"/>
              <w:left w:val="nil"/>
              <w:bottom w:val="nil"/>
              <w:right w:val="nil"/>
            </w:tcBorders>
            <w:shd w:val="clear" w:color="auto" w:fill="auto"/>
            <w:vAlign w:val="bottom"/>
            <w:hideMark/>
          </w:tcPr>
          <w:p w14:paraId="176E3C8D" w14:textId="77777777" w:rsidR="00C84B1A" w:rsidRPr="00344B47" w:rsidRDefault="00C84B1A" w:rsidP="00C84B1A">
            <w:pPr>
              <w:spacing w:after="0"/>
              <w:rPr>
                <w:rFonts w:eastAsia="Times New Roman"/>
                <w:sz w:val="20"/>
                <w:szCs w:val="20"/>
                <w:lang w:eastAsia="en-CA"/>
              </w:rPr>
            </w:pPr>
          </w:p>
        </w:tc>
        <w:tc>
          <w:tcPr>
            <w:tcW w:w="1275" w:type="dxa"/>
            <w:tcBorders>
              <w:top w:val="nil"/>
              <w:left w:val="nil"/>
              <w:bottom w:val="nil"/>
              <w:right w:val="nil"/>
            </w:tcBorders>
            <w:shd w:val="clear" w:color="auto" w:fill="auto"/>
            <w:vAlign w:val="bottom"/>
            <w:hideMark/>
          </w:tcPr>
          <w:p w14:paraId="7B15BE11" w14:textId="77777777" w:rsidR="00C84B1A" w:rsidRPr="00344B47" w:rsidRDefault="00C84B1A" w:rsidP="00C84B1A">
            <w:pPr>
              <w:spacing w:after="0"/>
              <w:rPr>
                <w:rFonts w:eastAsia="Times New Roman"/>
                <w:sz w:val="20"/>
                <w:szCs w:val="20"/>
                <w:lang w:eastAsia="en-CA"/>
              </w:rPr>
            </w:pPr>
          </w:p>
        </w:tc>
        <w:tc>
          <w:tcPr>
            <w:tcW w:w="1134" w:type="dxa"/>
            <w:tcBorders>
              <w:top w:val="nil"/>
              <w:left w:val="nil"/>
              <w:bottom w:val="nil"/>
              <w:right w:val="nil"/>
            </w:tcBorders>
            <w:shd w:val="clear" w:color="auto" w:fill="auto"/>
            <w:vAlign w:val="bottom"/>
            <w:hideMark/>
          </w:tcPr>
          <w:p w14:paraId="0C299202" w14:textId="77777777" w:rsidR="00C84B1A" w:rsidRPr="00344B47" w:rsidRDefault="00C84B1A" w:rsidP="00C84B1A">
            <w:pPr>
              <w:spacing w:after="0"/>
              <w:rPr>
                <w:rFonts w:eastAsia="Times New Roman"/>
                <w:sz w:val="20"/>
                <w:szCs w:val="20"/>
                <w:lang w:eastAsia="en-CA"/>
              </w:rPr>
            </w:pPr>
          </w:p>
        </w:tc>
        <w:tc>
          <w:tcPr>
            <w:tcW w:w="2127" w:type="dxa"/>
            <w:tcBorders>
              <w:top w:val="nil"/>
              <w:left w:val="nil"/>
              <w:bottom w:val="nil"/>
              <w:right w:val="nil"/>
            </w:tcBorders>
            <w:shd w:val="clear" w:color="auto" w:fill="auto"/>
            <w:vAlign w:val="bottom"/>
            <w:hideMark/>
          </w:tcPr>
          <w:p w14:paraId="31D305B5" w14:textId="77777777" w:rsidR="00C84B1A" w:rsidRPr="00344B47" w:rsidRDefault="00C84B1A" w:rsidP="00C84B1A">
            <w:pPr>
              <w:spacing w:after="0"/>
              <w:rPr>
                <w:rFonts w:eastAsia="Times New Roman"/>
                <w:sz w:val="20"/>
                <w:szCs w:val="20"/>
                <w:lang w:eastAsia="en-CA"/>
              </w:rPr>
            </w:pPr>
          </w:p>
        </w:tc>
        <w:tc>
          <w:tcPr>
            <w:tcW w:w="1198" w:type="dxa"/>
            <w:tcBorders>
              <w:top w:val="nil"/>
              <w:left w:val="nil"/>
              <w:bottom w:val="nil"/>
              <w:right w:val="nil"/>
            </w:tcBorders>
            <w:shd w:val="clear" w:color="auto" w:fill="auto"/>
            <w:vAlign w:val="bottom"/>
            <w:hideMark/>
          </w:tcPr>
          <w:p w14:paraId="078EC653" w14:textId="77777777" w:rsidR="00C84B1A" w:rsidRPr="00344B47" w:rsidRDefault="00C84B1A" w:rsidP="00C84B1A">
            <w:pPr>
              <w:spacing w:after="0"/>
              <w:rPr>
                <w:rFonts w:eastAsia="Times New Roman"/>
                <w:sz w:val="20"/>
                <w:szCs w:val="20"/>
                <w:lang w:eastAsia="en-CA"/>
              </w:rPr>
            </w:pPr>
          </w:p>
        </w:tc>
      </w:tr>
      <w:tr w:rsidR="00C84B1A" w:rsidRPr="00344B47" w14:paraId="29B8F9F3" w14:textId="77777777" w:rsidTr="00C75336">
        <w:trPr>
          <w:trHeight w:val="505"/>
        </w:trPr>
        <w:tc>
          <w:tcPr>
            <w:tcW w:w="2694" w:type="dxa"/>
            <w:tcBorders>
              <w:top w:val="nil"/>
              <w:left w:val="nil"/>
              <w:bottom w:val="nil"/>
              <w:right w:val="nil"/>
            </w:tcBorders>
            <w:shd w:val="clear" w:color="auto" w:fill="auto"/>
            <w:vAlign w:val="bottom"/>
            <w:hideMark/>
          </w:tcPr>
          <w:p w14:paraId="423E4273" w14:textId="2AB2AE19"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Brunton et al. 1993</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{"citationItems":[{"id":"ITEM-1","itemData":{"DOI":"10.1093/ajcn/58.6.839","ISSN":"0002-9165","author":[{"dropping-particle":"","family":"Brunton","given":"J A","non-dropping-particle":"","parse-names":false,"suffix":""},{"dropping-particle":"","family":"Bayley","given":"H S","non-dropping-particle":"","parse-names":false,"suffix":""},{"dropping-particle":"","family":"Atkinson","given":"S A","non-dropping-particle":"","parse-names":false,"suffix":""}],"container-title":"The American Journal of Clinical Nutrition","id":"ITEM-1","issue":"6","issued":{"date-parts":[["1993","12","1"]]},"page":"839-845","publisher":"Oxford Academic","title":"Validation and application of dual-energy x-ray absorptiometry to measure bone mass and body composition in small infants","type":"article-journal","volume":"58"},"uris":["http://www.mendeley.com/documents/?uuid=a73dfb8b-2d47-3381-aaa1-b4997f9e8dd5"]}],"mendeley":{"formattedCitation":"[6]","plainTextFormattedCitation":"[6]","previouslyFormattedCitation":"[6]"},"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[6]</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6988150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Piglet</w:t>
            </w:r>
          </w:p>
        </w:tc>
        <w:tc>
          <w:tcPr>
            <w:tcW w:w="2127" w:type="dxa"/>
            <w:tcBorders>
              <w:top w:val="nil"/>
              <w:left w:val="nil"/>
              <w:bottom w:val="nil"/>
              <w:right w:val="nil"/>
            </w:tcBorders>
            <w:shd w:val="clear" w:color="auto" w:fill="auto"/>
            <w:hideMark/>
          </w:tcPr>
          <w:p w14:paraId="164670F6" w14:textId="77777777" w:rsidR="00C84B1A"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 0.5g of carcass </w:t>
            </w:r>
          </w:p>
          <w:p w14:paraId="249AE8C3" w14:textId="2F3819E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tissue</w:t>
            </w:r>
          </w:p>
        </w:tc>
        <w:tc>
          <w:tcPr>
            <w:tcW w:w="1275" w:type="dxa"/>
            <w:tcBorders>
              <w:top w:val="nil"/>
              <w:left w:val="nil"/>
              <w:bottom w:val="nil"/>
              <w:right w:val="nil"/>
            </w:tcBorders>
            <w:shd w:val="clear" w:color="auto" w:fill="auto"/>
            <w:vAlign w:val="bottom"/>
            <w:hideMark/>
          </w:tcPr>
          <w:p w14:paraId="65E03E0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500</w:t>
            </w:r>
          </w:p>
        </w:tc>
        <w:tc>
          <w:tcPr>
            <w:tcW w:w="1134" w:type="dxa"/>
            <w:tcBorders>
              <w:top w:val="nil"/>
              <w:left w:val="nil"/>
              <w:bottom w:val="nil"/>
              <w:right w:val="nil"/>
            </w:tcBorders>
            <w:shd w:val="clear" w:color="auto" w:fill="auto"/>
            <w:vAlign w:val="bottom"/>
            <w:hideMark/>
          </w:tcPr>
          <w:p w14:paraId="66B98849"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72h</w:t>
            </w:r>
          </w:p>
        </w:tc>
        <w:tc>
          <w:tcPr>
            <w:tcW w:w="2127" w:type="dxa"/>
            <w:tcBorders>
              <w:top w:val="nil"/>
              <w:left w:val="nil"/>
              <w:bottom w:val="nil"/>
              <w:right w:val="nil"/>
            </w:tcBorders>
            <w:shd w:val="clear" w:color="auto" w:fill="auto"/>
            <w:vAlign w:val="bottom"/>
            <w:hideMark/>
          </w:tcPr>
          <w:p w14:paraId="76AE3341"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"dried" </w:t>
            </w:r>
          </w:p>
        </w:tc>
        <w:tc>
          <w:tcPr>
            <w:tcW w:w="1198" w:type="dxa"/>
            <w:tcBorders>
              <w:top w:val="nil"/>
              <w:left w:val="nil"/>
              <w:bottom w:val="nil"/>
              <w:right w:val="nil"/>
            </w:tcBorders>
            <w:shd w:val="clear" w:color="auto" w:fill="auto"/>
            <w:vAlign w:val="bottom"/>
            <w:hideMark/>
          </w:tcPr>
          <w:p w14:paraId="13F1438B"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15A53E3E" w14:textId="77777777" w:rsidTr="00C75336">
        <w:trPr>
          <w:trHeight w:val="408"/>
        </w:trPr>
        <w:tc>
          <w:tcPr>
            <w:tcW w:w="2694" w:type="dxa"/>
            <w:tcBorders>
              <w:top w:val="nil"/>
              <w:left w:val="nil"/>
              <w:bottom w:val="nil"/>
              <w:right w:val="nil"/>
            </w:tcBorders>
            <w:shd w:val="clear" w:color="auto" w:fill="auto"/>
            <w:vAlign w:val="bottom"/>
            <w:hideMark/>
          </w:tcPr>
          <w:p w14:paraId="38599993" w14:textId="0BDD5C9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Hammami</w:t>
            </w:r>
            <w:proofErr w:type="spellEnd"/>
            <w:r w:rsidRPr="00344B47">
              <w:rPr>
                <w:rFonts w:eastAsia="Times New Roman"/>
                <w:color w:val="000000"/>
                <w:sz w:val="18"/>
                <w:szCs w:val="18"/>
                <w:lang w:eastAsia="en-CA"/>
              </w:rPr>
              <w:t xml:space="preserve"> et al. 2001</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{"citationItems":[{"id":"ITEM-1","itemData":{"DOI":"10.1385/JCD:4:2:131","ISSN":"1094-6950","abstract":"ABSTRACT\nThere are no data on the relative accuracy and precision of regional bone mass measurement from whole-body dual energy X-ray absorptiometry (DXA) scans in small young subjects. Twelve domestic swine piglets (2550–17,660 g) were scanned on a single-beam and on a fan beam densitometer using each humerus and femur as the region of interest to determine the validity of five different scan modes: two infant whole body (IWB), two spine, and one rat whole body (RWB) scan mode in the determination of regional bone mass measurements. DXA bone mineral content (BMC) measurements from RWB and IWB fan beam and IWB single-beam scans were highly predictive of ash weight (adjusted r2 = 0.98, 0.94, 0.94, respectively). Correlation between left and right limbs was highly significant (p &lt; 0.001 for all comparisons) for ash weight (r = 0.99) and for DXA measurements of BMC (r = 0.92–0.99), area (r = 0.92–0.99), and bone mineral density (r = 0.87–0.99) for all modes of DXA scan. Repeatability (as standard deviation of differences of repeated scans) varied with scan mode and DXA parameters and ranged from 1.5 to 7.6% and from 1.8 to 14.7% for intra- and interoperator, respectively. We conclude that regional DXA measurements from IWB and RWB scans can be assessed accurately and with adequate precision for clinical use in subjects with low bone mass comparable with infants and young children. The RWB scan is useful for research studies. However, appropriate training and documentation of precision errors is needed to minimize repeatability errors.","author":[{"dropping-particle":"","family":"Hammami","given":"Mouhanad","non-dropping-particle":"","parse-names":false,"suffix":""},{"dropping-particle":"","family":"Koo","given":"Michelle W.M.","non-dropping-particle":"","parse-names":false,"suffix":""},{"dropping-particle":"","family":"Koo","given":"Winston W.K.","non-dropping-particle":"","parse-names":false,"suffix":""},{"dropping-particle":"","family":"Thomas","given":"Ronald T.","non-dropping-particle":"","parse-names":false,"suffix":""},{"dropping-particle":"","family":"Rakhman","given":"Dilara","non-dropping-particle":"","parse-names":false,"suffix":""}],"container-title":"Journal of Clinical Densitometry","id":"ITEM-1","issue":"2","issued":{"date-parts":[["2001","6","1"]]},"page":"131-136","publisher":"Elsevier","title":"Regional Bone Mass Measurement from Whole-Body Dual Energy X-Ray Absorptiometry Scan","type":"article-journal","volume":"4"},"uris":["http://www.mendeley.com/documents/?uuid=e2f6b815-97b3-375a-921e-70255fc34366"]}],"mendeley":{"formattedCitation":"[7]","plainTextFormattedCitation":"[7]","previouslyFormattedCitation":"[7]"},"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[7]</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60655C04"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Piglet Femur &amp; humerus</w:t>
            </w:r>
          </w:p>
        </w:tc>
        <w:tc>
          <w:tcPr>
            <w:tcW w:w="2127" w:type="dxa"/>
            <w:tcBorders>
              <w:top w:val="nil"/>
              <w:left w:val="nil"/>
              <w:bottom w:val="nil"/>
              <w:right w:val="nil"/>
            </w:tcBorders>
            <w:shd w:val="clear" w:color="auto" w:fill="auto"/>
            <w:vAlign w:val="bottom"/>
            <w:hideMark/>
          </w:tcPr>
          <w:p w14:paraId="2B87E776"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Whole bone</w:t>
            </w:r>
          </w:p>
        </w:tc>
        <w:tc>
          <w:tcPr>
            <w:tcW w:w="1275" w:type="dxa"/>
            <w:tcBorders>
              <w:top w:val="nil"/>
              <w:left w:val="nil"/>
              <w:bottom w:val="nil"/>
              <w:right w:val="nil"/>
            </w:tcBorders>
            <w:shd w:val="clear" w:color="auto" w:fill="auto"/>
            <w:vAlign w:val="bottom"/>
            <w:hideMark/>
          </w:tcPr>
          <w:p w14:paraId="17C763D3"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500</w:t>
            </w:r>
          </w:p>
        </w:tc>
        <w:tc>
          <w:tcPr>
            <w:tcW w:w="1134" w:type="dxa"/>
            <w:tcBorders>
              <w:top w:val="nil"/>
              <w:left w:val="nil"/>
              <w:bottom w:val="nil"/>
              <w:right w:val="nil"/>
            </w:tcBorders>
            <w:shd w:val="clear" w:color="auto" w:fill="auto"/>
            <w:vAlign w:val="bottom"/>
            <w:hideMark/>
          </w:tcPr>
          <w:p w14:paraId="574D53D7"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72h</w:t>
            </w:r>
          </w:p>
        </w:tc>
        <w:tc>
          <w:tcPr>
            <w:tcW w:w="2127" w:type="dxa"/>
            <w:tcBorders>
              <w:top w:val="nil"/>
              <w:left w:val="nil"/>
              <w:bottom w:val="nil"/>
              <w:right w:val="nil"/>
            </w:tcBorders>
            <w:shd w:val="clear" w:color="auto" w:fill="auto"/>
            <w:vAlign w:val="bottom"/>
            <w:hideMark/>
          </w:tcPr>
          <w:p w14:paraId="4C96562B" w14:textId="24D58ABC" w:rsidR="00C84B1A" w:rsidRPr="00344B47" w:rsidRDefault="00C84B1A" w:rsidP="00C84B1A">
            <w:pPr>
              <w:spacing w:after="0"/>
              <w:rPr>
                <w:rFonts w:eastAsia="Times New Roman"/>
                <w:color w:val="000000"/>
                <w:sz w:val="18"/>
                <w:szCs w:val="18"/>
                <w:lang w:eastAsia="en-CA"/>
              </w:rPr>
            </w:pPr>
            <w:proofErr w:type="spellStart"/>
            <w:r>
              <w:rPr>
                <w:rFonts w:eastAsia="Times New Roman"/>
                <w:color w:val="000000"/>
                <w:sz w:val="18"/>
                <w:szCs w:val="18"/>
                <w:lang w:eastAsia="en-CA"/>
              </w:rPr>
              <w:t>n.r.</w:t>
            </w:r>
            <w:proofErr w:type="spellEnd"/>
          </w:p>
        </w:tc>
        <w:tc>
          <w:tcPr>
            <w:tcW w:w="1198" w:type="dxa"/>
            <w:tcBorders>
              <w:top w:val="nil"/>
              <w:left w:val="nil"/>
              <w:bottom w:val="nil"/>
              <w:right w:val="nil"/>
            </w:tcBorders>
            <w:shd w:val="clear" w:color="auto" w:fill="auto"/>
            <w:vAlign w:val="bottom"/>
            <w:hideMark/>
          </w:tcPr>
          <w:p w14:paraId="3E747B26"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5-7 grams</w:t>
            </w:r>
          </w:p>
        </w:tc>
      </w:tr>
      <w:tr w:rsidR="00C84B1A" w:rsidRPr="00344B47" w14:paraId="333F1A44" w14:textId="77777777" w:rsidTr="00C75336">
        <w:trPr>
          <w:trHeight w:val="203"/>
        </w:trPr>
        <w:tc>
          <w:tcPr>
            <w:tcW w:w="2694" w:type="dxa"/>
            <w:tcBorders>
              <w:top w:val="nil"/>
              <w:left w:val="nil"/>
              <w:bottom w:val="nil"/>
              <w:right w:val="nil"/>
            </w:tcBorders>
            <w:shd w:val="clear" w:color="auto" w:fill="auto"/>
            <w:vAlign w:val="bottom"/>
            <w:hideMark/>
          </w:tcPr>
          <w:p w14:paraId="7F519767" w14:textId="72D54DED"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Waite et al. 2000</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{"citationItems":[{"id":"ITEM-1","itemData":{"DOI":"10.1016/S0737-0806(00)80321-4","ISSN":"0737-0806","abstract":"With the advancement of technology, more tools and methods are being made available for the assessment of bone density in the live animal. Computed tomography (CT) is one such tool. In a CT scan, x-rays are passed through a subject and detectors record transmitted energy. The CT computer then constructs cross-sectional images from this data to represent the internal anatomy. The first objective of this study was to investigate CT as a means of estimating bone mineral content of the equine third metacarpal bone. Our hypothesis was that the cross-sectional area of the third metacarpal bone, as measured on CT images, would correlate significantly with ash weight of that section. Our second objective was to use CT to measure and compare bone density in the dorsal, palmar, lateral and medial cortices of the equine third metacarpus. We hypothesized that CT would detect differences in density by cortex. Twelve cadaver thoracic limb specimens, from horses of varying age, breed and prior use, were scanned on a CT 9800 (GE Medical Systems). Scanned sections of the limb were then skinned, dried, ether-extracted and ashed in a muffle furnace. Bone mineral content was expressed as grams of ash/cm section of bone. The image recorded by the CT was developed and assessed using an imaging photodensitometer and a corresponding software package to estimate the area of each bone section. Correlation was determined using SAS (6.12). Differences in bone density by cortex were calculated using a simple t-test. The maximum, minimum and mean estimates of third metacarpal bone cross-sectional area as determined by CT were 519, 351 and 423 mm2, respectively, while the maximum, minimum and mean ash weights were 8.9, 4.8 and 6.4 g/cm, respectively. Estimates of bone mineral content by ash and cross-sectional area as determined by CT were significantly correlated (r=.91, P=.0001). There was no difference in CT density numbers between lateral and medial cortices, however the dorsal cortex was lower in density than the lateral (P&lt;.05) and the palmar cortex was lower in density than all other cortices (P&lt;.05). This data suggests that in a research setting, CT is an effective method by which to calculate cross-sectional area and, hence, estimate bone mineral content. Computed tomography was also able to detect differences in bone density by cortex.","author":[{"dropping-particle":"","family":"Waite","given":"Karen L.","non-dropping-particle":"","parse-names":false,"suffix":""},{"dropping-particle":"","family":"Nielsen","given":"Brian D.","non-dropping-particle":"","parse-names":false,"suffix":""},{"dropping-particle":"","family":"Rosenstein","given":"Diana S.","non-dropping-particle":"","parse-names":false,"suffix":""}],"container-title":"Journal of Equine Veterinary Science","id":"ITEM-1","issue":"1","issued":{"date-parts":[["2000","1","1"]]},"page":"49-52","publisher":"W.B. Saunders","title":"Computed tomography as a method of estimating bone mineral content in horses","type":"article-journal","volume":"20"},"uris":["http://www.mendeley.com/documents/?uuid=1a91013c-f7fb-385e-bcfa-1bbf8b43b5fb"]}],"mendeley":{"formattedCitation":"[8]","plainTextFormattedCitation":"[8]","previouslyFormattedCitation":"[8]"},"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[8]</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782A442C"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Horse</w:t>
            </w:r>
          </w:p>
        </w:tc>
        <w:tc>
          <w:tcPr>
            <w:tcW w:w="2127" w:type="dxa"/>
            <w:tcBorders>
              <w:top w:val="nil"/>
              <w:left w:val="nil"/>
              <w:bottom w:val="nil"/>
              <w:right w:val="nil"/>
            </w:tcBorders>
            <w:shd w:val="clear" w:color="auto" w:fill="auto"/>
            <w:vAlign w:val="bottom"/>
            <w:hideMark/>
          </w:tcPr>
          <w:p w14:paraId="088652A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Metacarpal bones</w:t>
            </w:r>
          </w:p>
        </w:tc>
        <w:tc>
          <w:tcPr>
            <w:tcW w:w="1275" w:type="dxa"/>
            <w:tcBorders>
              <w:top w:val="nil"/>
              <w:left w:val="nil"/>
              <w:bottom w:val="nil"/>
              <w:right w:val="nil"/>
            </w:tcBorders>
            <w:shd w:val="clear" w:color="auto" w:fill="auto"/>
            <w:vAlign w:val="bottom"/>
            <w:hideMark/>
          </w:tcPr>
          <w:p w14:paraId="241CD41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500</w:t>
            </w:r>
          </w:p>
        </w:tc>
        <w:tc>
          <w:tcPr>
            <w:tcW w:w="1134" w:type="dxa"/>
            <w:tcBorders>
              <w:top w:val="nil"/>
              <w:left w:val="nil"/>
              <w:bottom w:val="nil"/>
              <w:right w:val="nil"/>
            </w:tcBorders>
            <w:shd w:val="clear" w:color="auto" w:fill="auto"/>
            <w:vAlign w:val="bottom"/>
            <w:hideMark/>
          </w:tcPr>
          <w:p w14:paraId="01004108"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6h</w:t>
            </w:r>
          </w:p>
        </w:tc>
        <w:tc>
          <w:tcPr>
            <w:tcW w:w="2127" w:type="dxa"/>
            <w:tcBorders>
              <w:top w:val="nil"/>
              <w:left w:val="nil"/>
              <w:bottom w:val="nil"/>
              <w:right w:val="nil"/>
            </w:tcBorders>
            <w:shd w:val="clear" w:color="auto" w:fill="auto"/>
            <w:vAlign w:val="bottom"/>
            <w:hideMark/>
          </w:tcPr>
          <w:p w14:paraId="01CB93DF" w14:textId="651F1C3F"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dried at 150°</w:t>
            </w:r>
            <w:r w:rsidR="00DD1F90">
              <w:rPr>
                <w:rFonts w:eastAsia="Times New Roman"/>
                <w:color w:val="000000"/>
                <w:sz w:val="18"/>
                <w:szCs w:val="18"/>
                <w:lang w:eastAsia="en-CA"/>
              </w:rPr>
              <w:t>C</w:t>
            </w:r>
            <w:r w:rsidRPr="00344B47">
              <w:rPr>
                <w:rFonts w:eastAsia="Times New Roman"/>
                <w:color w:val="000000"/>
                <w:sz w:val="18"/>
                <w:szCs w:val="18"/>
                <w:lang w:eastAsia="en-CA"/>
              </w:rPr>
              <w:t>, 12 h</w:t>
            </w:r>
          </w:p>
        </w:tc>
        <w:tc>
          <w:tcPr>
            <w:tcW w:w="1198" w:type="dxa"/>
            <w:tcBorders>
              <w:top w:val="nil"/>
              <w:left w:val="nil"/>
              <w:bottom w:val="nil"/>
              <w:right w:val="nil"/>
            </w:tcBorders>
            <w:shd w:val="clear" w:color="auto" w:fill="auto"/>
            <w:vAlign w:val="bottom"/>
            <w:hideMark/>
          </w:tcPr>
          <w:p w14:paraId="79F47BD2"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0491F26C" w14:textId="77777777" w:rsidTr="00C75336">
        <w:trPr>
          <w:trHeight w:val="203"/>
        </w:trPr>
        <w:tc>
          <w:tcPr>
            <w:tcW w:w="2694" w:type="dxa"/>
            <w:tcBorders>
              <w:top w:val="nil"/>
              <w:left w:val="nil"/>
              <w:bottom w:val="nil"/>
              <w:right w:val="nil"/>
            </w:tcBorders>
            <w:shd w:val="clear" w:color="auto" w:fill="auto"/>
            <w:vAlign w:val="bottom"/>
            <w:hideMark/>
          </w:tcPr>
          <w:p w14:paraId="16DF6E4F" w14:textId="7EC599FE"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Sathiyayimal</w:t>
            </w:r>
            <w:proofErr w:type="spellEnd"/>
            <w:r w:rsidRPr="00344B47">
              <w:rPr>
                <w:rFonts w:eastAsia="Times New Roman"/>
                <w:color w:val="000000"/>
                <w:sz w:val="18"/>
                <w:szCs w:val="18"/>
                <w:lang w:eastAsia="en-CA"/>
              </w:rPr>
              <w:t xml:space="preserve"> et al. 2019</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{"citationItems":[{"id":"ITEM-1","itemData":{"DOI":"10.1016/J.IJBIOMAC.2019.02.058","ISSN":"0141-8130","abstract":"Hydroxyapatite (HAp) is a bioactive and biocompatible material possessing osteoconductive properties used widely in the biomedical sector. In the present study, synthesis of hydroxyapatite (HAp) using a Klebsiella pneumoniae SM24 (phosphate solubilizing bacteria) isolated from the slaughterhouse. HAp synthesized using biological source showed efficient and positive enzymatic activity in the National Botanical Research Institute Phosphate Medium (NBRIP). Characterization of HAp using FTIR revealed the presence of phosphate group hydroxyapatite and XRD spectra showed polycrystalline nature. The morphological characterization of HAp using FESEM revealed the mesoporous structure and EDX spectrum indicated presence of Ca and P as the major components. In addition, a new bone composite was prepared using the synthesized HAp, Gelatine (G), Chitosan (C), Fibrin (F) and Bone ash (HApGCF) using Simulated Body Fluid (SBF) solution. The confirmation of chemical and structural characteristics of HApGCF bone composite was achieved using FTIR, XRD and SEM analyses. The HApGCF bone composite was tested over osteoblast MG-63 cells showing effective biocompatibility and osteoblast attachment on the composite surface. Therefore, the present report proposes the in vitro application of HApGCF bone composite as a replacement for major bone damage and injury in a biocompatible and non-toxic way.","author":[{"dropping-particle":"","family":"Sathiyavimal","given":"Selvam","non-dropping-particle":"","parse-names":false,"suffix":""},{"dropping-particle":"","family":"Vasantharaj","given":"Seerangaraj","non-dropping-particle":"","parse-names":false,"suffix":""},{"dropping-particle":"","family":"LewisOscar","given":"Felix","non-dropping-particle":"","parse-names":false,"suffix":""},{"dropping-particle":"","family":"Pugazhendhi","given":"Arivalagan","non-dropping-particle":"","parse-names":false,"suffix":""},{"dropping-particle":"","family":"Subashkumar","given":"Rathinasamy","non-dropping-particle":"","parse-names":false,"suffix":""}],"container-title":"International Journal of Biological Macromolecules","id":"ITEM-1","issued":{"date-parts":[["2019","5","15"]]},"page":"844-852","publisher":"Elsevier","title":"Biosynthesis and characterization of hydroxyapatite and its composite (hydroxyapatite-gelatin-chitosan-fibrin-bone ash) for bone tissue engineering applications","type":"article-journal","volume":"129"},"uris":["http://www.mendeley.com/documents/?uuid=ab6236c9-a421-39a0-88ec-decf6b966a3f"]}],"mendeley":{"formattedCitation":"[9]","plainTextFormattedCitation":"[9]","previouslyFormattedCitation":"[9]"},"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[9]</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14978AB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Cow tibia</w:t>
            </w:r>
          </w:p>
        </w:tc>
        <w:tc>
          <w:tcPr>
            <w:tcW w:w="2127" w:type="dxa"/>
            <w:tcBorders>
              <w:top w:val="nil"/>
              <w:left w:val="nil"/>
              <w:bottom w:val="nil"/>
              <w:right w:val="nil"/>
            </w:tcBorders>
            <w:shd w:val="clear" w:color="auto" w:fill="auto"/>
            <w:vAlign w:val="bottom"/>
            <w:hideMark/>
          </w:tcPr>
          <w:p w14:paraId="14B25DCA"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19C4BBCB"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750</w:t>
            </w:r>
          </w:p>
        </w:tc>
        <w:tc>
          <w:tcPr>
            <w:tcW w:w="1134" w:type="dxa"/>
            <w:tcBorders>
              <w:top w:val="nil"/>
              <w:left w:val="nil"/>
              <w:bottom w:val="nil"/>
              <w:right w:val="nil"/>
            </w:tcBorders>
            <w:shd w:val="clear" w:color="auto" w:fill="auto"/>
            <w:vAlign w:val="bottom"/>
            <w:hideMark/>
          </w:tcPr>
          <w:p w14:paraId="2B65111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6h</w:t>
            </w:r>
          </w:p>
        </w:tc>
        <w:tc>
          <w:tcPr>
            <w:tcW w:w="2127" w:type="dxa"/>
            <w:tcBorders>
              <w:top w:val="nil"/>
              <w:left w:val="nil"/>
              <w:bottom w:val="nil"/>
              <w:right w:val="nil"/>
            </w:tcBorders>
            <w:shd w:val="clear" w:color="auto" w:fill="auto"/>
            <w:vAlign w:val="bottom"/>
            <w:hideMark/>
          </w:tcPr>
          <w:p w14:paraId="5F4CAD77" w14:textId="3B94610E"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Incinerated at 300⁰</w:t>
            </w:r>
            <w:r w:rsidR="00C75336">
              <w:rPr>
                <w:rFonts w:eastAsia="Times New Roman"/>
                <w:color w:val="000000"/>
                <w:sz w:val="18"/>
                <w:szCs w:val="18"/>
                <w:lang w:eastAsia="en-CA"/>
              </w:rPr>
              <w:t>C</w:t>
            </w:r>
          </w:p>
        </w:tc>
        <w:tc>
          <w:tcPr>
            <w:tcW w:w="1198" w:type="dxa"/>
            <w:tcBorders>
              <w:top w:val="nil"/>
              <w:left w:val="nil"/>
              <w:bottom w:val="nil"/>
              <w:right w:val="nil"/>
            </w:tcBorders>
            <w:shd w:val="clear" w:color="auto" w:fill="auto"/>
            <w:vAlign w:val="bottom"/>
            <w:hideMark/>
          </w:tcPr>
          <w:p w14:paraId="1BA7847A"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450F6868" w14:textId="77777777" w:rsidTr="00C75336">
        <w:trPr>
          <w:trHeight w:val="203"/>
        </w:trPr>
        <w:tc>
          <w:tcPr>
            <w:tcW w:w="2694" w:type="dxa"/>
            <w:tcBorders>
              <w:top w:val="nil"/>
              <w:left w:val="nil"/>
              <w:bottom w:val="nil"/>
              <w:right w:val="nil"/>
            </w:tcBorders>
            <w:shd w:val="clear" w:color="auto" w:fill="auto"/>
            <w:vAlign w:val="bottom"/>
            <w:hideMark/>
          </w:tcPr>
          <w:p w14:paraId="6E0DD241" w14:textId="2E7F60A0"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Malekzadeh</w:t>
            </w:r>
            <w:proofErr w:type="spellEnd"/>
            <w:r w:rsidRPr="00344B47">
              <w:rPr>
                <w:rFonts w:eastAsia="Times New Roman"/>
                <w:color w:val="000000"/>
                <w:sz w:val="18"/>
                <w:szCs w:val="18"/>
                <w:lang w:eastAsia="en-CA"/>
              </w:rPr>
              <w:t xml:space="preserve"> et al. 2020</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10.1016/j.jocd.2019.02.005","ISSN":"10946950","author":[{"dropping-particle":"","family":"Malekzadeh","given":"Malakeh","non-dropping-particle":"","parse-names":false,"suffix":""},{"dropping-particle":"","family":"Abbasi-Rad","given":"Shahrokh","non-dropping-particle":"","parse-names":false,"suffix":""},{"dropping-particle":"","family":"Keyak","given":"Joyce H.","non-dropping-particle":"","parse-names":false,"suffix":""},{"dropping-particle":"","family":"Nabil","given":"Mahnaz","non-dropping-particle":"","parse-names":false,"suffix":""},{"dropping-particle":"","family":"Asadi","given":"Mojgan","non-dropping-particle":"","parse-names":false,"suffix":""},{"dropping-particle":"","family":"Mobini","given":"Nazanin","non-dropping-particle":"","parse-names":false,"suffix":""},{"dropping-particle":"","family":"Naghdi","given":"Parisa","non-dropping-particle":"","parse-names":false,"suffix":""},{"dropping-particle":"","family":"Emadi","given":"Hamid","non-dropping-particle":"","parse-names":false,"suffix":""},{"dropping-particle":"","family":"Saligheh Rad","given":"Hamidreza","non-dropping-particle":"","parse-names":false,"suffix":""},{"dropping-particle":"","family":"Shiran","given":"Mohammad Bagher","non-dropping-particle":"","parse-names":false,"suffix":""}],"container-title":"Journal of Clinical Densitometry","id":"ITEM-1","issue":"1","issued":{"date-parts":[["2020","1"]]},"page":"108-116","title":"Liquid Calibration Phantoms in Ultra-Low-Dose QCT for the Assessment of Bone Mineral Density","type":"article-journal","volume":"23"},"uris":["http://www.mendeley.com/documents/?uuid=ec8c03a9-c7df-3f7a-a54c-3f0e0abd9260"]}],"mendeley":{"formattedCitation":"[10]","plainTextFormattedCitation":"[10]","previouslyFormattedCitation":"[10]"},"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[10]</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2347EA39" w14:textId="465C36E5"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Cow tibia</w:t>
            </w:r>
          </w:p>
        </w:tc>
        <w:tc>
          <w:tcPr>
            <w:tcW w:w="2127" w:type="dxa"/>
            <w:tcBorders>
              <w:top w:val="nil"/>
              <w:left w:val="nil"/>
              <w:bottom w:val="nil"/>
              <w:right w:val="nil"/>
            </w:tcBorders>
            <w:shd w:val="clear" w:color="auto" w:fill="auto"/>
            <w:vAlign w:val="bottom"/>
            <w:hideMark/>
          </w:tcPr>
          <w:p w14:paraId="18F141AF"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7A719A28"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650</w:t>
            </w:r>
          </w:p>
        </w:tc>
        <w:tc>
          <w:tcPr>
            <w:tcW w:w="1134" w:type="dxa"/>
            <w:tcBorders>
              <w:top w:val="nil"/>
              <w:left w:val="nil"/>
              <w:bottom w:val="nil"/>
              <w:right w:val="nil"/>
            </w:tcBorders>
            <w:shd w:val="clear" w:color="auto" w:fill="auto"/>
            <w:vAlign w:val="bottom"/>
            <w:hideMark/>
          </w:tcPr>
          <w:p w14:paraId="7333EA96"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2127" w:type="dxa"/>
            <w:tcBorders>
              <w:top w:val="nil"/>
              <w:left w:val="nil"/>
              <w:bottom w:val="nil"/>
              <w:right w:val="nil"/>
            </w:tcBorders>
            <w:shd w:val="clear" w:color="auto" w:fill="auto"/>
            <w:vAlign w:val="bottom"/>
            <w:hideMark/>
          </w:tcPr>
          <w:p w14:paraId="29BB78A6"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98" w:type="dxa"/>
            <w:tcBorders>
              <w:top w:val="nil"/>
              <w:left w:val="nil"/>
              <w:bottom w:val="nil"/>
              <w:right w:val="nil"/>
            </w:tcBorders>
            <w:shd w:val="clear" w:color="auto" w:fill="auto"/>
            <w:vAlign w:val="bottom"/>
            <w:hideMark/>
          </w:tcPr>
          <w:p w14:paraId="18105166"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2969F1E1" w14:textId="77777777" w:rsidTr="00C75336">
        <w:trPr>
          <w:trHeight w:val="203"/>
        </w:trPr>
        <w:tc>
          <w:tcPr>
            <w:tcW w:w="2694" w:type="dxa"/>
            <w:tcBorders>
              <w:top w:val="nil"/>
              <w:left w:val="nil"/>
              <w:bottom w:val="nil"/>
              <w:right w:val="nil"/>
            </w:tcBorders>
            <w:shd w:val="clear" w:color="auto" w:fill="auto"/>
            <w:vAlign w:val="bottom"/>
            <w:hideMark/>
          </w:tcPr>
          <w:p w14:paraId="7B253A04" w14:textId="108AA853"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Siemon</w:t>
            </w:r>
            <w:proofErr w:type="spellEnd"/>
            <w:r w:rsidRPr="00344B47">
              <w:rPr>
                <w:rFonts w:eastAsia="Times New Roman"/>
                <w:color w:val="000000"/>
                <w:sz w:val="18"/>
                <w:szCs w:val="18"/>
                <w:lang w:eastAsia="en-CA"/>
              </w:rPr>
              <w:t xml:space="preserve"> and Moodie 1974</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Pr>
                <w:rFonts w:eastAsia="Times New Roman"/>
                <w:color w:val="000000"/>
                <w:sz w:val="18"/>
                <w:szCs w:val="18"/>
                <w:lang w:eastAsia="en-CA"/>
              </w:rPr>
              <w:instrText>ADDIN CSL_CITATION {"citationItems":[{"id":"ITEM-1","itemData":{"DOI":"10.1007/BF02059055","ISSN":"0008-0594","abstract":"The specific gravities (SG) of bone samples taken from various parts of the skeleton of cattle and sheep were determined gravimetrically in an effort to establish which sites give the most reproducible and uniform results, so that between animals, or sequential within animals, comparisons may be made with maximum sensitivity. Samples obtained from the mandible of sheep and the rib of cattle and sheep were found to be too variable to be useful for most purposes. Best results were obtained using whole bones which are easily prepared, such as the tibial tarsal bones of cattle and sheep and the fibular tarsal bone of cattle. These bones gave within animal deviations of 0.012–0.024 SG units, when comparing left bone with right bone. Slightly higher values were obtained for coccygeal vertebrae from cattle and distal metacarpal condyles from sheep. SG was related to ash, calcium and phosphorus contents of coccygeal vertebrae of cattle and it is considered that, for survey work on the mineral status of the bones of cattle and sheep, the correlations are sufficiently high to make their determination unnecessary. This will enable radiation determined SG techniques to be applied to this type of work.","author":[{"dropping-particle":"","family":"Siemon","given":"N. J.","non-dropping-particle":"","parse-names":false,"suffix":""},{"dropping-particle":"","family":"Moodie","given":"E. W.","non-dropping-particle":"","parse-names":false,"suffix":""}],"container-title":"Calcified Tissue Research","id":"ITEM-1","issue":"1","issued":{"date-parts":[["1974","12"]]},"page":"181-188","publisher":"Springer","title":"Reproducibility of specific gravity estimations on bone samples from different sites of cattle and sheep","type":"article-journal","volume":"15"},"uris":["http://www.mendeley.com/documents/?uuid=0370b138-e3a2-361d-84c2-0bce90645851"]}],"mendeley":{"formattedCitation":"[11]","plainTextFormattedCitation":"[11]","previouslyFormattedCitation":"[11]"},"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[11]</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5E2F9C4B"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Cow/Sheep</w:t>
            </w:r>
          </w:p>
        </w:tc>
        <w:tc>
          <w:tcPr>
            <w:tcW w:w="2127" w:type="dxa"/>
            <w:tcBorders>
              <w:top w:val="nil"/>
              <w:left w:val="nil"/>
              <w:bottom w:val="nil"/>
              <w:right w:val="nil"/>
            </w:tcBorders>
            <w:shd w:val="clear" w:color="auto" w:fill="auto"/>
            <w:vAlign w:val="bottom"/>
            <w:hideMark/>
          </w:tcPr>
          <w:p w14:paraId="638BD85D"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06F84FF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7F1F7018"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48 h</w:t>
            </w:r>
          </w:p>
        </w:tc>
        <w:tc>
          <w:tcPr>
            <w:tcW w:w="2127" w:type="dxa"/>
            <w:tcBorders>
              <w:top w:val="nil"/>
              <w:left w:val="nil"/>
              <w:bottom w:val="nil"/>
              <w:right w:val="nil"/>
            </w:tcBorders>
            <w:shd w:val="clear" w:color="auto" w:fill="auto"/>
            <w:vAlign w:val="bottom"/>
            <w:hideMark/>
          </w:tcPr>
          <w:p w14:paraId="741C349D"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98" w:type="dxa"/>
            <w:tcBorders>
              <w:top w:val="nil"/>
              <w:left w:val="nil"/>
              <w:bottom w:val="nil"/>
              <w:right w:val="nil"/>
            </w:tcBorders>
            <w:shd w:val="clear" w:color="auto" w:fill="auto"/>
            <w:vAlign w:val="bottom"/>
            <w:hideMark/>
          </w:tcPr>
          <w:p w14:paraId="791B5A73"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39A691B1" w14:textId="77777777" w:rsidTr="00C75336">
        <w:trPr>
          <w:trHeight w:val="203"/>
        </w:trPr>
        <w:tc>
          <w:tcPr>
            <w:tcW w:w="2694" w:type="dxa"/>
            <w:tcBorders>
              <w:top w:val="nil"/>
              <w:left w:val="nil"/>
              <w:bottom w:val="nil"/>
              <w:right w:val="nil"/>
            </w:tcBorders>
            <w:shd w:val="clear" w:color="auto" w:fill="auto"/>
            <w:vAlign w:val="bottom"/>
            <w:hideMark/>
          </w:tcPr>
          <w:p w14:paraId="60710134" w14:textId="331C9290"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Benzie et al 1955</w:t>
            </w:r>
            <w:r>
              <w:rPr>
                <w:rFonts w:eastAsia="Times New Roman"/>
                <w:color w:val="000000"/>
                <w:sz w:val="18"/>
                <w:szCs w:val="18"/>
                <w:lang w:eastAsia="en-CA"/>
              </w:rPr>
              <w:t xml:space="preserve"> </w:t>
            </w:r>
            <w:r>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{"citationItems":[{"id":"ITEM-1","itemData":{"DOI":"10.1017/S0021859600040491","ISSN":"1469-5146","abstract":"1. Three groups of mature ewes were fed during pregnancy and lactation on rations differing in their calcium content. The mean daily intakes of calcium were 1·4 g. (group A), 4·5 g. (group B), and 7·4 g. (group C). Blood samples were analysed monthly for calcium and inorganic phosphorus. The ewes were killed at approximately 100 days after parturition and the skeletons isolated. Individual bones, either whole or divided into definite fractions, were analysed.2. The level of calcium intake was without effect on the number of lambs born, birth weight, or growth while milk fed.3. Blood calcium was significantly lower in group A than in groups B and C, but blood inorganic phosphorus was unaltered.4. The resorption of bone substance was greater in group A than in groups B and C.5. The severity of resorption varied between bones, and in regions within certain bones. Resorption was most severe in the vertebrae and pelvis, and only slight in the metacarpal, the metatarsal and the shafts of other long bones. Resorption of intermediate magnitude was found for the remainder of the skeleton.6. Resorption was accompanied by reductions in the percentages of ash in bones, but this effect was proportionately less than the ash weight reduction.7. Radiological observations made on flesh-free bones at the end of the experiment gave a picture of resorption similar to that presented by the data for ash weights and percentages of ash, namely that resorption was much greater in group A than in groups B and C.","author":[{"dropping-particle":"","family":"Benzie","given":"D.","non-dropping-particle":"","parse-names":false,"suffix":""},{"dropping-particle":"","family":"Boyne","given":"A. W.","non-dropping-particle":"","parse-names":false,"suffix":""},{"dropping-particle":"","family":"Dalgarno","given":"A. C.","non-dropping-particle":"","parse-names":false,"suffix":""},{"dropping-particle":"","family":"Duckworth","given":"J.","non-dropping-particle":"","parse-names":false,"suffix":""},{"dropping-particle":"","family":"Hill","given":"R.","non-dropping-particle":"","parse-names":false,"suffix":""},{"dropping-particle":"","family":"Walker","given":"D. M.","non-dropping-particle":"","parse-names":false,"suffix":""}],"container-title":"The Journal of Agricultural Science","id":"ITEM-1","issue":"4","issued":{"date-parts":[["1955"]]},"page":"425-440","publisher":"Cambridge University Press","title":"Studies of the skeleton of the sheep I. The effect of different levels of dietary calcium during pregnancy and lactation on individual bones","type":"article-journal","volume":"46"},"uris":["http://www.mendeley.com/documents/?uuid=06f00b6e-87d8-32d9-a2c2-ff8d4ce2440a"]}],"mendeley":{"formattedCitation":"[12]","plainTextFormattedCitation":"[12]","previouslyFormattedCitation":"[12]"},"properties":{"noteIndex":0},"schema":"https://github.com/citation-style-language/schema/raw/master/csl-citation.json"}</w:instrText>
            </w:r>
            <w:r>
              <w:rPr>
                <w:rFonts w:eastAsia="Times New Roman"/>
                <w:color w:val="000000"/>
                <w:sz w:val="18"/>
                <w:szCs w:val="18"/>
                <w:lang w:eastAsia="en-CA"/>
              </w:rPr>
              <w:fldChar w:fldCharType="separate"/>
            </w:r>
            <w:r w:rsidRPr="00C84B1A">
              <w:rPr>
                <w:rFonts w:eastAsia="Times New Roman"/>
                <w:noProof/>
                <w:color w:val="000000"/>
                <w:sz w:val="18"/>
                <w:szCs w:val="18"/>
                <w:lang w:eastAsia="en-CA"/>
              </w:rPr>
              <w:t>[12]</w:t>
            </w:r>
            <w:r>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6A48182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Sheep</w:t>
            </w:r>
          </w:p>
        </w:tc>
        <w:tc>
          <w:tcPr>
            <w:tcW w:w="2127" w:type="dxa"/>
            <w:tcBorders>
              <w:top w:val="nil"/>
              <w:left w:val="nil"/>
              <w:bottom w:val="nil"/>
              <w:right w:val="nil"/>
            </w:tcBorders>
            <w:shd w:val="clear" w:color="auto" w:fill="auto"/>
            <w:vAlign w:val="bottom"/>
            <w:hideMark/>
          </w:tcPr>
          <w:p w14:paraId="6AD2ADEF"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2F67A50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700</w:t>
            </w:r>
          </w:p>
        </w:tc>
        <w:tc>
          <w:tcPr>
            <w:tcW w:w="1134" w:type="dxa"/>
            <w:tcBorders>
              <w:top w:val="nil"/>
              <w:left w:val="nil"/>
              <w:bottom w:val="nil"/>
              <w:right w:val="nil"/>
            </w:tcBorders>
            <w:shd w:val="clear" w:color="auto" w:fill="auto"/>
            <w:vAlign w:val="bottom"/>
            <w:hideMark/>
          </w:tcPr>
          <w:p w14:paraId="363208E1"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to constant w</w:t>
            </w:r>
          </w:p>
        </w:tc>
        <w:tc>
          <w:tcPr>
            <w:tcW w:w="2127" w:type="dxa"/>
            <w:tcBorders>
              <w:top w:val="nil"/>
              <w:left w:val="nil"/>
              <w:bottom w:val="nil"/>
              <w:right w:val="nil"/>
            </w:tcBorders>
            <w:shd w:val="clear" w:color="auto" w:fill="auto"/>
            <w:vAlign w:val="bottom"/>
            <w:hideMark/>
          </w:tcPr>
          <w:p w14:paraId="388B80B2"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98" w:type="dxa"/>
            <w:tcBorders>
              <w:top w:val="nil"/>
              <w:left w:val="nil"/>
              <w:bottom w:val="nil"/>
              <w:right w:val="nil"/>
            </w:tcBorders>
            <w:shd w:val="clear" w:color="auto" w:fill="auto"/>
            <w:vAlign w:val="bottom"/>
            <w:hideMark/>
          </w:tcPr>
          <w:p w14:paraId="5AD50826"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61.1</w:t>
            </w:r>
          </w:p>
        </w:tc>
      </w:tr>
      <w:tr w:rsidR="00C84B1A" w:rsidRPr="00344B47" w14:paraId="7A2DAC1F" w14:textId="77777777" w:rsidTr="00C75336">
        <w:trPr>
          <w:trHeight w:val="203"/>
        </w:trPr>
        <w:tc>
          <w:tcPr>
            <w:tcW w:w="2694" w:type="dxa"/>
            <w:tcBorders>
              <w:top w:val="nil"/>
              <w:left w:val="nil"/>
              <w:bottom w:val="nil"/>
              <w:right w:val="nil"/>
            </w:tcBorders>
            <w:shd w:val="clear" w:color="auto" w:fill="auto"/>
            <w:vAlign w:val="bottom"/>
            <w:hideMark/>
          </w:tcPr>
          <w:p w14:paraId="462FFEC1" w14:textId="0CD2C95D"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Libouban</w:t>
            </w:r>
            <w:proofErr w:type="spellEnd"/>
            <w:r w:rsidRPr="00344B47">
              <w:rPr>
                <w:rFonts w:eastAsia="Times New Roman"/>
                <w:color w:val="000000"/>
                <w:sz w:val="18"/>
                <w:szCs w:val="18"/>
                <w:lang w:eastAsia="en-CA"/>
              </w:rPr>
              <w:t xml:space="preserve"> et al. 2001</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{"citationItems":[{"id":"ITEM-1","itemData":{"DOI":"10.1007/BF02685000","ISSN":"0171-967X","abstract":"We have compared the measurements obtained by different methods: dual energy X-ray absorptiometry (DXA), histomorphometry, ash weight, and two morphometric indices (robusticity and bone weight/bone length index) in the orchidectomized (ORX) rat model of male osteoporosis. We examined 144 male wistar rats: 48 shamoperated, 48 ORX, and 48 ORX-treated with a bisphosphonate (risedronate) 2 or 10 µg/kg/day, 5 days per week. Rats were sacrificed at 2, 4, 8, or 16 weeks after the beginning of the study. DXA was performed on a Hologic QDR 2000 on the whole body, whole tibia, and tibial metaphysis. Bone volumes (C.BV/C.TV, and BV/TV) were measured by histomorphometry on the proximal tibial. A significant correlation was obtained between weight measured by DXA and scale (r=0.993,P&lt;0.000001). However, DXA underestimated weight by 0.3%. This discrepancy was dependent on the rat’s weight. The weight bone length (WL) index was linearly correlated with BMD (r=0.86), BMC (r=0.96), and ash weight (r=0.97). Correlation with robusticity was lower than with the WL index. A significant correlation was found between BMC of the metaphyseal region and the bone volumes but this explained only 27% of the variance; correlation with BMD was poorer (r=0.40). BMC and ash weight were highly correlated (r=0.992,P&lt;0.000001). However, DXA overestimated BMC by 11% and the overestimation was found to be clearly dependent on the net mineral content of the bone.","author":[{"dropping-particle":"","family":"Libouban","given":"Hélène","non-dropping-particle":"","parse-names":false,"suffix":""},{"dropping-particle":"","family":"Moreau","given":"Marie-Françoise","non-dropping-particle":"","parse-names":false,"suffix":""},{"dropping-particle":"","family":"Legrand","given":"Erick","non-dropping-particle":"","parse-names":false,"suffix":""},{"dropping-particle":"","family":"Baslé","given":"Michel F.","non-dropping-particle":"","parse-names":false,"suffix":""},{"dropping-particle":"","family":"Audran","given":"Maurice","non-dropping-particle":"","parse-names":false,"suffix":""},{"dropping-particle":"","family":"Chappard","given":"Daniel","non-dropping-particle":"","parse-names":false,"suffix":""}],"container-title":"Calcified Tissue International","id":"ITEM-1","issue":"1","issued":{"date-parts":[["2001","1","15"]]},"page":"31-37","publisher":"Springer","title":"Comparison insight dual X-ray absorptiometry (DXA), histomorphometry, ash weight, and morphometric indices for bone evaluation in an animal model (the orchidectomized rat) of male osteoporosis","type":"article-journal","volume":"68"},"uris":["http://www.mendeley.com/documents/?uuid=c9afb51d-3270-3f8e-a0f1-4b5f0b31051b"]}],"mendeley":{"formattedCitation":"[13]","plainTextFormattedCitation":"[13]","previouslyFormattedCitation":"[13]"},"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[13]</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3A4D089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tibia</w:t>
            </w:r>
          </w:p>
        </w:tc>
        <w:tc>
          <w:tcPr>
            <w:tcW w:w="2127" w:type="dxa"/>
            <w:tcBorders>
              <w:top w:val="nil"/>
              <w:left w:val="nil"/>
              <w:bottom w:val="nil"/>
              <w:right w:val="nil"/>
            </w:tcBorders>
            <w:shd w:val="clear" w:color="auto" w:fill="auto"/>
            <w:vAlign w:val="bottom"/>
            <w:hideMark/>
          </w:tcPr>
          <w:p w14:paraId="384F072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Whole bone</w:t>
            </w:r>
          </w:p>
        </w:tc>
        <w:tc>
          <w:tcPr>
            <w:tcW w:w="1275" w:type="dxa"/>
            <w:tcBorders>
              <w:top w:val="nil"/>
              <w:left w:val="nil"/>
              <w:bottom w:val="nil"/>
              <w:right w:val="nil"/>
            </w:tcBorders>
            <w:shd w:val="clear" w:color="auto" w:fill="auto"/>
            <w:vAlign w:val="bottom"/>
            <w:hideMark/>
          </w:tcPr>
          <w:p w14:paraId="4AD1765F"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800</w:t>
            </w:r>
          </w:p>
        </w:tc>
        <w:tc>
          <w:tcPr>
            <w:tcW w:w="1134" w:type="dxa"/>
            <w:tcBorders>
              <w:top w:val="nil"/>
              <w:left w:val="nil"/>
              <w:bottom w:val="nil"/>
              <w:right w:val="nil"/>
            </w:tcBorders>
            <w:shd w:val="clear" w:color="auto" w:fill="auto"/>
            <w:vAlign w:val="bottom"/>
            <w:hideMark/>
          </w:tcPr>
          <w:p w14:paraId="60B6FE3D"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24 hours</w:t>
            </w:r>
          </w:p>
        </w:tc>
        <w:tc>
          <w:tcPr>
            <w:tcW w:w="2127" w:type="dxa"/>
            <w:tcBorders>
              <w:top w:val="nil"/>
              <w:left w:val="nil"/>
              <w:bottom w:val="nil"/>
              <w:right w:val="nil"/>
            </w:tcBorders>
            <w:shd w:val="clear" w:color="auto" w:fill="auto"/>
            <w:vAlign w:val="bottom"/>
            <w:hideMark/>
          </w:tcPr>
          <w:p w14:paraId="6744614B" w14:textId="3D6E0781" w:rsidR="00C75336"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60⁰C for 8 h</w:t>
            </w:r>
          </w:p>
        </w:tc>
        <w:tc>
          <w:tcPr>
            <w:tcW w:w="1198" w:type="dxa"/>
            <w:tcBorders>
              <w:top w:val="nil"/>
              <w:left w:val="nil"/>
              <w:bottom w:val="nil"/>
              <w:right w:val="nil"/>
            </w:tcBorders>
            <w:shd w:val="clear" w:color="auto" w:fill="auto"/>
            <w:vAlign w:val="bottom"/>
            <w:hideMark/>
          </w:tcPr>
          <w:p w14:paraId="4555731B"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0.25-0.65 grams</w:t>
            </w:r>
          </w:p>
        </w:tc>
      </w:tr>
      <w:tr w:rsidR="00C84B1A" w:rsidRPr="00344B47" w14:paraId="3EB0E065" w14:textId="77777777" w:rsidTr="00C75336">
        <w:trPr>
          <w:trHeight w:val="408"/>
        </w:trPr>
        <w:tc>
          <w:tcPr>
            <w:tcW w:w="2694" w:type="dxa"/>
            <w:tcBorders>
              <w:top w:val="nil"/>
              <w:left w:val="nil"/>
              <w:bottom w:val="nil"/>
              <w:right w:val="nil"/>
            </w:tcBorders>
            <w:shd w:val="clear" w:color="auto" w:fill="auto"/>
            <w:vAlign w:val="bottom"/>
            <w:hideMark/>
          </w:tcPr>
          <w:p w14:paraId="45310EE2" w14:textId="3DC02F9D"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Edward et al. 1990</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{"citationItems":[{"id":"ITEM-1","itemData":{"DOI":"10.1007/BF02990417","ISSN":"0163-4984","author":[{"dropping-particle":"","family":"Edward","given":"J. B.","non-dropping-particle":"","parse-names":false,"suffix":""},{"dropping-particle":"","family":"Benfer","given":"R. A.","non-dropping-particle":"","parse-names":false,"suffix":""},{"dropping-particle":"","family":"Morris","given":"J. S.","non-dropping-particle":"","parse-names":false,"suffix":""}],"container-title":"Biological Trace Element Research","id":"ITEM-1","issue":"3","issued":{"date-parts":[["1990","6"]]},"page":"219-231","publisher":"Humana Press","title":"The effects of dry ashing on the composition of human and animal bone","type":"article-journal","volume":"25"},"uris":["http://www.mendeley.com/documents/?uuid=536fc504-b641-3bf9-8ad3-bccac1e107ac"]}],"mendeley":{"formattedCitation":"[14]","plainTextFormattedCitation":"[14]","previouslyFormattedCitation":"[14]"},"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[14]</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0614C40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w:t>
            </w:r>
          </w:p>
        </w:tc>
        <w:tc>
          <w:tcPr>
            <w:tcW w:w="2127" w:type="dxa"/>
            <w:tcBorders>
              <w:top w:val="nil"/>
              <w:left w:val="nil"/>
              <w:bottom w:val="nil"/>
              <w:right w:val="nil"/>
            </w:tcBorders>
            <w:shd w:val="clear" w:color="auto" w:fill="auto"/>
            <w:vAlign w:val="bottom"/>
            <w:hideMark/>
          </w:tcPr>
          <w:p w14:paraId="65B1F94B"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77B59287"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400, 500, 600</w:t>
            </w:r>
          </w:p>
        </w:tc>
        <w:tc>
          <w:tcPr>
            <w:tcW w:w="1134" w:type="dxa"/>
            <w:tcBorders>
              <w:top w:val="nil"/>
              <w:left w:val="nil"/>
              <w:bottom w:val="nil"/>
              <w:right w:val="nil"/>
            </w:tcBorders>
            <w:shd w:val="clear" w:color="auto" w:fill="auto"/>
            <w:vAlign w:val="bottom"/>
            <w:hideMark/>
          </w:tcPr>
          <w:p w14:paraId="0BC32E8C"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10 min-96 h</w:t>
            </w:r>
          </w:p>
        </w:tc>
        <w:tc>
          <w:tcPr>
            <w:tcW w:w="2127" w:type="dxa"/>
            <w:tcBorders>
              <w:top w:val="nil"/>
              <w:left w:val="nil"/>
              <w:bottom w:val="nil"/>
              <w:right w:val="nil"/>
            </w:tcBorders>
            <w:shd w:val="clear" w:color="auto" w:fill="auto"/>
            <w:vAlign w:val="bottom"/>
            <w:hideMark/>
          </w:tcPr>
          <w:p w14:paraId="59DD5ABE" w14:textId="5AB2BCBE"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Ether dried, then 105°C for 1 </w:t>
            </w:r>
            <w:proofErr w:type="spellStart"/>
            <w:r w:rsidRPr="00344B47">
              <w:rPr>
                <w:rFonts w:eastAsia="Times New Roman"/>
                <w:color w:val="000000"/>
                <w:sz w:val="18"/>
                <w:szCs w:val="18"/>
                <w:lang w:eastAsia="en-CA"/>
              </w:rPr>
              <w:t>hr</w:t>
            </w:r>
            <w:proofErr w:type="spellEnd"/>
          </w:p>
        </w:tc>
        <w:tc>
          <w:tcPr>
            <w:tcW w:w="1198" w:type="dxa"/>
            <w:tcBorders>
              <w:top w:val="nil"/>
              <w:left w:val="nil"/>
              <w:bottom w:val="nil"/>
              <w:right w:val="nil"/>
            </w:tcBorders>
            <w:shd w:val="clear" w:color="auto" w:fill="auto"/>
            <w:vAlign w:val="bottom"/>
            <w:hideMark/>
          </w:tcPr>
          <w:p w14:paraId="1BEF1978"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r>
      <w:tr w:rsidR="00C84B1A" w:rsidRPr="00344B47" w14:paraId="43A82D4A" w14:textId="77777777" w:rsidTr="00C75336">
        <w:trPr>
          <w:trHeight w:val="613"/>
        </w:trPr>
        <w:tc>
          <w:tcPr>
            <w:tcW w:w="2694" w:type="dxa"/>
            <w:tcBorders>
              <w:top w:val="nil"/>
              <w:left w:val="nil"/>
              <w:bottom w:val="nil"/>
              <w:right w:val="nil"/>
            </w:tcBorders>
            <w:shd w:val="clear" w:color="auto" w:fill="auto"/>
            <w:vAlign w:val="bottom"/>
            <w:hideMark/>
          </w:tcPr>
          <w:p w14:paraId="229D4754" w14:textId="58FD440E"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Hirsch and </w:t>
            </w:r>
            <w:proofErr w:type="spellStart"/>
            <w:r w:rsidRPr="00344B47">
              <w:rPr>
                <w:rFonts w:eastAsia="Times New Roman"/>
                <w:color w:val="000000"/>
                <w:sz w:val="18"/>
                <w:szCs w:val="18"/>
                <w:lang w:eastAsia="en-CA"/>
              </w:rPr>
              <w:t>Hagamann</w:t>
            </w:r>
            <w:proofErr w:type="spellEnd"/>
            <w:r w:rsidRPr="00344B47">
              <w:rPr>
                <w:rFonts w:eastAsia="Times New Roman"/>
                <w:color w:val="000000"/>
                <w:sz w:val="18"/>
                <w:szCs w:val="18"/>
                <w:lang w:eastAsia="en-CA"/>
              </w:rPr>
              <w:t xml:space="preserve"> 1986</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{"citationItems":[{"id":"ITEM-1","itemData":{"DOI":"10.1002/JBMR.5650010206","ISSN":"0884-0431","PMID":"3503538","abstract":"Calcitonin deficiency was produced in lactating and age‐matched nonmated rats by thyroidectomy (TX) after transplantation of the parathyroid glands to a thigh muscle. At the end of lactation and a comparable period in the nonlactating rats, this condition resulted in femurs, vertebrae, and tibiae that weighed less than those in the thyroid‐intact controls. Furthermore, the femurs of the CT‐deficient rats were narrower at midshaft and shorter, indicating reduced bone growth. The reduction in bone mass in CT‐deficient rats, although highly significant, was much smaller than that caused by lactation. Adequate thyroid hormone replacement therapy was provided by giving all the TX rats L‐thyroxine (T4) sc or in the drinking water. The body weights of the lactating rats were heavier than those of their nonmated controls but TX had no significant effect on the mean body weight of either group. The previously observed lower concentration of serum calcium in lactating rats than in nonlactating thyroid‐intact rats was also seen in TX rats, indicating that CT is not responsible for the relatively low serum calcium during lactation. Our results showing that the bones of TX rats (with T4 replacement) were smaller and lighter than those from thyroid‐intact controls whether lactating or not do not support the concept that CT has a special physiological function to protect the skeleton during lactation. Copyright © 1986 ASBMR","author":[{"dropping-particle":"","family":"Hirsch","given":"PF","non-dropping-particle":"","parse-names":false,"suffix":""},{"dropping-particle":"","family":"Hagaman","given":"JR","non-dropping-particle":"","parse-names":false,"suffix":""}],"container-title":"Journal of bone and mineral research : the official journal of the American Society for Bone and Mineral Research","id":"ITEM-1","issue":"2","issued":{"date-parts":[["1986"]]},"page":"199-206","publisher":"J Bone Miner Res","title":"Reduced bone mass in calcitonin-deficient rats whether lactating or not","type":"article-journal","volume":"1"},"uris":["http://www.mendeley.com/documents/?uuid=29975233-5e39-3f39-91d9-b1994ba4412d"]}],"mendeley":{"formattedCitation":"[15]","plainTextFormattedCitation":"[15]","previouslyFormattedCitation":"[15]"},"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[15]</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06C623A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femur/tibia/vertebrae</w:t>
            </w:r>
          </w:p>
        </w:tc>
        <w:tc>
          <w:tcPr>
            <w:tcW w:w="2127" w:type="dxa"/>
            <w:tcBorders>
              <w:top w:val="nil"/>
              <w:left w:val="nil"/>
              <w:bottom w:val="nil"/>
              <w:right w:val="nil"/>
            </w:tcBorders>
            <w:shd w:val="clear" w:color="auto" w:fill="auto"/>
            <w:vAlign w:val="bottom"/>
            <w:hideMark/>
          </w:tcPr>
          <w:p w14:paraId="7A538C98"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200-500 mg</w:t>
            </w:r>
          </w:p>
        </w:tc>
        <w:tc>
          <w:tcPr>
            <w:tcW w:w="1275" w:type="dxa"/>
            <w:tcBorders>
              <w:top w:val="nil"/>
              <w:left w:val="nil"/>
              <w:bottom w:val="nil"/>
              <w:right w:val="nil"/>
            </w:tcBorders>
            <w:shd w:val="clear" w:color="auto" w:fill="auto"/>
            <w:vAlign w:val="bottom"/>
            <w:hideMark/>
          </w:tcPr>
          <w:p w14:paraId="7245A0DF"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74397C6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24h</w:t>
            </w:r>
          </w:p>
        </w:tc>
        <w:tc>
          <w:tcPr>
            <w:tcW w:w="2127" w:type="dxa"/>
            <w:tcBorders>
              <w:top w:val="nil"/>
              <w:left w:val="nil"/>
              <w:bottom w:val="nil"/>
              <w:right w:val="nil"/>
            </w:tcBorders>
            <w:shd w:val="clear" w:color="auto" w:fill="auto"/>
            <w:vAlign w:val="bottom"/>
            <w:hideMark/>
          </w:tcPr>
          <w:p w14:paraId="5C65685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100°C for 24 </w:t>
            </w:r>
            <w:proofErr w:type="spellStart"/>
            <w:r w:rsidRPr="00344B47">
              <w:rPr>
                <w:rFonts w:eastAsia="Times New Roman"/>
                <w:color w:val="000000"/>
                <w:sz w:val="18"/>
                <w:szCs w:val="18"/>
                <w:lang w:eastAsia="en-CA"/>
              </w:rPr>
              <w:t>hrs</w:t>
            </w:r>
            <w:proofErr w:type="spellEnd"/>
          </w:p>
        </w:tc>
        <w:tc>
          <w:tcPr>
            <w:tcW w:w="1198" w:type="dxa"/>
            <w:tcBorders>
              <w:top w:val="nil"/>
              <w:left w:val="nil"/>
              <w:bottom w:val="nil"/>
              <w:right w:val="nil"/>
            </w:tcBorders>
            <w:shd w:val="clear" w:color="auto" w:fill="auto"/>
            <w:vAlign w:val="bottom"/>
            <w:hideMark/>
          </w:tcPr>
          <w:p w14:paraId="39606FA7"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62.5 - 64</w:t>
            </w:r>
          </w:p>
        </w:tc>
      </w:tr>
      <w:tr w:rsidR="00C84B1A" w:rsidRPr="00344B47" w14:paraId="265C57F7" w14:textId="77777777" w:rsidTr="00C75336">
        <w:trPr>
          <w:trHeight w:val="559"/>
        </w:trPr>
        <w:tc>
          <w:tcPr>
            <w:tcW w:w="2694" w:type="dxa"/>
            <w:tcBorders>
              <w:top w:val="nil"/>
              <w:left w:val="nil"/>
              <w:bottom w:val="nil"/>
              <w:right w:val="nil"/>
            </w:tcBorders>
            <w:shd w:val="clear" w:color="auto" w:fill="auto"/>
            <w:vAlign w:val="bottom"/>
            <w:hideMark/>
          </w:tcPr>
          <w:p w14:paraId="25DE3EA2" w14:textId="741E18FA"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Halloran and </w:t>
            </w:r>
            <w:r w:rsidR="00EC694E">
              <w:rPr>
                <w:rFonts w:eastAsia="Times New Roman"/>
                <w:color w:val="000000"/>
                <w:sz w:val="18"/>
                <w:szCs w:val="18"/>
                <w:lang w:eastAsia="en-CA"/>
              </w:rPr>
              <w:t>Del</w:t>
            </w:r>
            <w:r w:rsidRPr="00344B47">
              <w:rPr>
                <w:rFonts w:eastAsia="Times New Roman"/>
                <w:color w:val="000000"/>
                <w:sz w:val="18"/>
                <w:szCs w:val="18"/>
                <w:lang w:eastAsia="en-CA"/>
              </w:rPr>
              <w:t>uca 1980</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{"citationItems":[{"id":"ITEM-1","itemData":{"DOI":"10.1210/ENDO-107-6-1923","ISSN":"0013-7227","abstract":"To establish the role of vitamin D in bone metabolism during the mammalian reproductive cycle, female rats were maintained on a vitamin D-deficient diet from weaning and mated with normal males. Changes in the femurs of the females during pregnancy and lactation and after weaning were monitored. The concentration of calcium in the plasma of mature vitamin D-deficient rats was 5.5-5.8 mg/100 ml. This was reduced to 3.8 and 4.4 mg/100 ml by day 14 of lactation and weaning, respectively. Total femur calcium and calcium per unit volume were approximately two thirds of that observed in agematched vitamin D-replete rats. During pregnancy, little or no change was observed in femurs from vitamin D-replete females. Bone volume, total bone calcium, and bone calcium per unit volume in vitamin D-deficient females, however, tended to increase during pregnancy. After parturition, both vitamin Dreplete and -deficient females lost bone mineral. When based on an initial value equivalent to that on day 20 of pregnancy, the losses were similar and amounted to 42-46 mg calcium or 23- 38% of the total bone mineral. After weaning, there was a trend toward replacement of bone mineral in vitamin D-replete females. These results indicate that vitamin D is not required for bone calcium mobilization during lactation and suggest that other as yet unidentified factors may play a key role in bone metabolism during reproduction. © 1980 by The Endocrine Society.","author":[{"dropping-particle":"","family":"Hallora","given":"Bernard P.","non-dropping-particle":"","parse-names":false,"suffix":""},{"dropping-particle":"","family":"Deluca","given":"Hector F.","non-dropping-particle":"","parse-names":false,"suffix":""}],"container-title":"Endocrinology","id":"ITEM-1","issue":"6","issued":{"date-parts":[["1980","12","1"]]},"page":"1923-1929","publisher":"Oxford Academic","title":"Skeletal Changes during Pregnancy and Lactation: The Role of Vitamin D","type":"article-journal","volume":"107"},"uris":["http://www.mendeley.com/documents/?uuid=5f20c618-8e4e-30f7-a737-937f7d623f64"]}],"mendeley":{"formattedCitation":"[16]","plainTextFormattedCitation":"[16]","previouslyFormattedCitation":"[16]"},"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[16]</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5A15A30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femur</w:t>
            </w:r>
          </w:p>
        </w:tc>
        <w:tc>
          <w:tcPr>
            <w:tcW w:w="2127" w:type="dxa"/>
            <w:tcBorders>
              <w:top w:val="nil"/>
              <w:left w:val="nil"/>
              <w:bottom w:val="nil"/>
              <w:right w:val="nil"/>
            </w:tcBorders>
            <w:shd w:val="clear" w:color="auto" w:fill="auto"/>
            <w:vAlign w:val="bottom"/>
            <w:hideMark/>
          </w:tcPr>
          <w:p w14:paraId="0B1BCC5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300-600 mg</w:t>
            </w:r>
          </w:p>
        </w:tc>
        <w:tc>
          <w:tcPr>
            <w:tcW w:w="1275" w:type="dxa"/>
            <w:tcBorders>
              <w:top w:val="nil"/>
              <w:left w:val="nil"/>
              <w:bottom w:val="nil"/>
              <w:right w:val="nil"/>
            </w:tcBorders>
            <w:shd w:val="clear" w:color="auto" w:fill="auto"/>
            <w:vAlign w:val="bottom"/>
            <w:hideMark/>
          </w:tcPr>
          <w:p w14:paraId="4479D634"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550-660</w:t>
            </w:r>
          </w:p>
        </w:tc>
        <w:tc>
          <w:tcPr>
            <w:tcW w:w="1134" w:type="dxa"/>
            <w:tcBorders>
              <w:top w:val="nil"/>
              <w:left w:val="nil"/>
              <w:bottom w:val="nil"/>
              <w:right w:val="nil"/>
            </w:tcBorders>
            <w:shd w:val="clear" w:color="auto" w:fill="auto"/>
            <w:vAlign w:val="bottom"/>
            <w:hideMark/>
          </w:tcPr>
          <w:p w14:paraId="111B6B2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24h</w:t>
            </w:r>
          </w:p>
        </w:tc>
        <w:tc>
          <w:tcPr>
            <w:tcW w:w="2127" w:type="dxa"/>
            <w:tcBorders>
              <w:top w:val="nil"/>
              <w:left w:val="nil"/>
              <w:bottom w:val="nil"/>
              <w:right w:val="nil"/>
            </w:tcBorders>
            <w:shd w:val="clear" w:color="auto" w:fill="auto"/>
            <w:vAlign w:val="bottom"/>
            <w:hideMark/>
          </w:tcPr>
          <w:p w14:paraId="63E9631E"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EtOH, </w:t>
            </w:r>
            <w:proofErr w:type="spellStart"/>
            <w:r w:rsidRPr="00344B47">
              <w:rPr>
                <w:rFonts w:eastAsia="Times New Roman"/>
                <w:color w:val="000000"/>
                <w:sz w:val="18"/>
                <w:szCs w:val="18"/>
                <w:lang w:eastAsia="en-CA"/>
              </w:rPr>
              <w:t>EthEther</w:t>
            </w:r>
            <w:proofErr w:type="spellEnd"/>
            <w:r w:rsidRPr="00344B47">
              <w:rPr>
                <w:rFonts w:eastAsia="Times New Roman"/>
                <w:color w:val="000000"/>
                <w:sz w:val="18"/>
                <w:szCs w:val="18"/>
                <w:lang w:eastAsia="en-CA"/>
              </w:rPr>
              <w:t xml:space="preserve"> dried, 95⁰C</w:t>
            </w:r>
          </w:p>
        </w:tc>
        <w:tc>
          <w:tcPr>
            <w:tcW w:w="1198" w:type="dxa"/>
            <w:tcBorders>
              <w:top w:val="nil"/>
              <w:left w:val="nil"/>
              <w:bottom w:val="nil"/>
              <w:right w:val="nil"/>
            </w:tcBorders>
            <w:shd w:val="clear" w:color="auto" w:fill="auto"/>
            <w:vAlign w:val="bottom"/>
            <w:hideMark/>
          </w:tcPr>
          <w:p w14:paraId="0B8C7475"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62.5 ± 2.3</w:t>
            </w:r>
          </w:p>
        </w:tc>
      </w:tr>
      <w:tr w:rsidR="00C84B1A" w:rsidRPr="00344B47" w14:paraId="13939CA8" w14:textId="77777777" w:rsidTr="00C75336">
        <w:trPr>
          <w:trHeight w:val="559"/>
        </w:trPr>
        <w:tc>
          <w:tcPr>
            <w:tcW w:w="2694" w:type="dxa"/>
            <w:tcBorders>
              <w:top w:val="nil"/>
              <w:left w:val="nil"/>
              <w:bottom w:val="nil"/>
              <w:right w:val="nil"/>
            </w:tcBorders>
            <w:shd w:val="clear" w:color="auto" w:fill="auto"/>
            <w:vAlign w:val="bottom"/>
            <w:hideMark/>
          </w:tcPr>
          <w:p w14:paraId="3FA75FB2" w14:textId="7B4B3172"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lastRenderedPageBreak/>
              <w:t>Marie et al. 1986</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{"citationItems":[{"id":"ITEM-1","itemData":{"DOI":"10.1152/AJPENDO.1986.251.4.E400","ISSN":"0002-9513","PMID":"3766725","abstract":"The effects of pregnancy and lactation on endosteal bone formation and resorption were evaluated in vitamin D-depleted (-D) and vitamin D-repleted (+D) rats. Pregnancy induced a marked stimulation of osteoclastic bone resorption and of static and dynamic parameters of bone formation and mineralization. Bone resorption increased independently of vitamin D status and did not correlate with plasma 1,25-dihydroxyvitamin D3 [1,25(OH)2D] levels, but it was associated with increased plasma immunoreactive parathyroid hormone (iPTH) concentrations. Stimulation of the endosteal bone formation rate was mainly impaired in D-depleted rats, resulting in trabecular bone loss, which, in -D mother rats, was associated with decreased bone ash and total bone calcium. Lactation further stimulated bone resorption and reduced the trabecular bone volume; ash weight and bone calcium content were also decreased independently of the vitamin D status and changes in plasma iPTH levels. In presence of vitamin D, the bone formation rate increased fourfold during lactation but was unchanged in -D lactating rats. During lactation, vitamin D-depleted rats lost twofold more calcified bone than +D rats because of impaired mineralization. Thus, the present study shows that both the endosteal bone resorption and formation are stimulated by pregnancy and lactation and that vitamin D is required for normal bone mineralization during the reproductive period.","author":[{"dropping-particle":"","family":"Marie","given":"PJ","non-dropping-particle":"","parse-names":false,"suffix":""},{"dropping-particle":"","family":"Cancela","given":"L","non-dropping-particle":"","parse-names":false,"suffix":""},{"dropping-particle":"","family":"Boulch","given":"N","non-dropping-particle":"Le","parse-names":false,"suffix":""},{"dropping-particle":"","family":"Miravet","given":"L","non-dropping-particle":"","parse-names":false,"suffix":""}],"container-title":"The American journal of physiology","id":"ITEM-1","issue":"4 Pt 1","issued":{"date-parts":[["1986"]]},"publisher":"Am J Physiol","title":"Bone changes due to pregnancy and lactation: influence of vitamin D status","type":"article-journal","volume":"251"},"uris":["http://www.mendeley.com/documents/?uuid=a0da9ceb-0e77-3ac2-80f6-048bafd1cd05"]}],"mendeley":{"formattedCitation":"[17]","plainTextFormattedCitation":"[17]","previouslyFormattedCitation":"[17]"},"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[17]</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130EF5A6"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femur</w:t>
            </w:r>
          </w:p>
        </w:tc>
        <w:tc>
          <w:tcPr>
            <w:tcW w:w="2127" w:type="dxa"/>
            <w:tcBorders>
              <w:top w:val="nil"/>
              <w:left w:val="nil"/>
              <w:bottom w:val="nil"/>
              <w:right w:val="nil"/>
            </w:tcBorders>
            <w:shd w:val="clear" w:color="auto" w:fill="auto"/>
            <w:vAlign w:val="bottom"/>
            <w:hideMark/>
          </w:tcPr>
          <w:p w14:paraId="3FF2ADCF"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275" w:type="dxa"/>
            <w:tcBorders>
              <w:top w:val="nil"/>
              <w:left w:val="nil"/>
              <w:bottom w:val="nil"/>
              <w:right w:val="nil"/>
            </w:tcBorders>
            <w:shd w:val="clear" w:color="auto" w:fill="auto"/>
            <w:vAlign w:val="bottom"/>
            <w:hideMark/>
          </w:tcPr>
          <w:p w14:paraId="5C02A32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600</w:t>
            </w:r>
          </w:p>
        </w:tc>
        <w:tc>
          <w:tcPr>
            <w:tcW w:w="1134" w:type="dxa"/>
            <w:tcBorders>
              <w:top w:val="nil"/>
              <w:left w:val="nil"/>
              <w:bottom w:val="nil"/>
              <w:right w:val="nil"/>
            </w:tcBorders>
            <w:shd w:val="clear" w:color="auto" w:fill="auto"/>
            <w:vAlign w:val="bottom"/>
            <w:hideMark/>
          </w:tcPr>
          <w:p w14:paraId="6C392D62"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12h</w:t>
            </w:r>
          </w:p>
        </w:tc>
        <w:tc>
          <w:tcPr>
            <w:tcW w:w="2127" w:type="dxa"/>
            <w:tcBorders>
              <w:top w:val="nil"/>
              <w:left w:val="nil"/>
              <w:bottom w:val="nil"/>
              <w:right w:val="nil"/>
            </w:tcBorders>
            <w:shd w:val="clear" w:color="auto" w:fill="auto"/>
            <w:vAlign w:val="bottom"/>
            <w:hideMark/>
          </w:tcPr>
          <w:p w14:paraId="688F073A"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EtOH, </w:t>
            </w:r>
            <w:proofErr w:type="spellStart"/>
            <w:r w:rsidRPr="00344B47">
              <w:rPr>
                <w:rFonts w:eastAsia="Times New Roman"/>
                <w:color w:val="000000"/>
                <w:sz w:val="18"/>
                <w:szCs w:val="18"/>
                <w:lang w:eastAsia="en-CA"/>
              </w:rPr>
              <w:t>EthEther</w:t>
            </w:r>
            <w:proofErr w:type="spellEnd"/>
            <w:r w:rsidRPr="00344B47">
              <w:rPr>
                <w:rFonts w:eastAsia="Times New Roman"/>
                <w:color w:val="000000"/>
                <w:sz w:val="18"/>
                <w:szCs w:val="18"/>
                <w:lang w:eastAsia="en-CA"/>
              </w:rPr>
              <w:t>, acetone, freeze dried</w:t>
            </w:r>
          </w:p>
        </w:tc>
        <w:tc>
          <w:tcPr>
            <w:tcW w:w="1198" w:type="dxa"/>
            <w:tcBorders>
              <w:top w:val="nil"/>
              <w:left w:val="nil"/>
              <w:bottom w:val="nil"/>
              <w:right w:val="nil"/>
            </w:tcBorders>
            <w:shd w:val="clear" w:color="auto" w:fill="auto"/>
            <w:vAlign w:val="bottom"/>
            <w:hideMark/>
          </w:tcPr>
          <w:p w14:paraId="52153B5F"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56 - 58</w:t>
            </w:r>
          </w:p>
        </w:tc>
      </w:tr>
      <w:tr w:rsidR="00C84B1A" w:rsidRPr="00344B47" w14:paraId="117ABD3B" w14:textId="77777777" w:rsidTr="00C75336">
        <w:trPr>
          <w:trHeight w:val="203"/>
        </w:trPr>
        <w:tc>
          <w:tcPr>
            <w:tcW w:w="2694" w:type="dxa"/>
            <w:tcBorders>
              <w:top w:val="nil"/>
              <w:left w:val="nil"/>
              <w:bottom w:val="nil"/>
              <w:right w:val="nil"/>
            </w:tcBorders>
            <w:shd w:val="clear" w:color="auto" w:fill="auto"/>
            <w:vAlign w:val="bottom"/>
            <w:hideMark/>
          </w:tcPr>
          <w:p w14:paraId="20ED9726" w14:textId="09052FC0"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Kiebzak</w:t>
            </w:r>
            <w:proofErr w:type="spellEnd"/>
            <w:r w:rsidRPr="00344B47">
              <w:rPr>
                <w:rFonts w:eastAsia="Times New Roman"/>
                <w:color w:val="000000"/>
                <w:sz w:val="18"/>
                <w:szCs w:val="18"/>
                <w:lang w:eastAsia="en-CA"/>
              </w:rPr>
              <w:t xml:space="preserve"> et al. 1999</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EC694E">
              <w:rPr>
                <w:rFonts w:eastAsia="Times New Roman"/>
                <w:color w:val="000000"/>
                <w:sz w:val="18"/>
                <w:szCs w:val="18"/>
                <w:lang w:eastAsia="en-CA"/>
              </w:rPr>
              <w:instrText>ADDIN CSL_CITATION {"citationItems":[{"id":"ITEM-1","itemData":{"DOI":"10.1385/JCD:2:1:17","ISSN":"1094-6950","abstract":"ABSTRACT\nThe purpose of this study was to evaluate software from Lunar Corporation (Madison, WI) designed for the measurement of bone mineral content ([BMC],g) in excised rat femurs using dual-energy X-ray absorptiometry (DXA). Femurs were harvested from intact 2- to 12-mo-old female Sprague-Dawley rats, stripped of soft tissues, wrapped in saline-soaked gauze, and frozen at −20°F. Thawed bones were scanned in air on a 1.7-cm-thick Lucite plate that was laid on the manufacturer's supplied Delrin platform. Bones were in an anteroposterior position and scanned in a proximal-to-distal manner. Small animal software version 1.0d was used with a Lunar DPX-L densitometer. Regions of interest (ROIs) were the middle one-third of the diaphysis, a small central area of the distal metaphysis, and the total bone. Precision (n = 6 femurs) was calculated for each region of interest. After DXA scanning, one group of bones (n = 10 femurs) was dried and incinerated in a muffle furnace to obtain bone ash. The ash was then digested in acid and aliquots assayed for calcium using atomic absorption spectrophotometry. This group of bones was used to correlate BMC with ash weight and areal bone mineral density (BMD) with calcium concentration. A second group of bones (n = 14 femurs) was used to correlate BMC with maximal load to failure (N), a biomechanical variable that provides information about bone strength. Precision of repetitive measurements for the three ROIs was 1.2, 3.0, and 0.65%, respectively. Total femur BMC and total femur ash weights were significantly correlated (r = 0.974, p &lt;0.0001). Total femur area BMD (g/cm2) was significantly correlated with calcium concentration (μM) of the bone hydrolysate (r = 0.686, p = 0.029). Total femur BMC and maximum load to midshaft fracture were also significantly correlated (r = 0.914, p&lt;0.0001). The greatest problem with the software was with edge detection: operator intervention was necessary to place edges manually during scan analyses. We conclude that the small animal software from Lunar Corporation accurately and precisely measured BMC in excised rat femurs. However, poor edge detection resulted in tedious and time-consuming analyses.","author":[{"dropping-particle":"","family":"Kiebzak","given":"Gary M.","non-dropping-particle":"","parse-names":false,"suffix":""},{"dropping-particle":"","family":"Meyer","given":"Martha H.","non-dropping-particle":"","parse-names":false,"suffix":""},{"dropping-particle":"","family":"Meyer","given":"Ralph A.","non-dropping-particle":"","parse-names":false,"suffix":""}],"container-title":"Journal of Clinical Densitometry","id":"ITEM-1","issue":"1","issued":{"date-parts":[["1999","3","1"]]},"page":"17-21","publisher":"Elsevier","title":"Evaluation of Lunar Small Animal Software for Measuring Bone Mineral Content in Excised Rat Bones","type":"article-journal","volume":"2"},"uris":["http://www.mendeley.com/documents/?uuid=12915141-403a-33aa-8937-ee20f740478b"]}],"mendeley":{"formattedCitation":"[18]","plainTextFormattedCitation":"[18]","previouslyFormattedCitation":"[18]"},"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[18]</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55CC5688"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femur</w:t>
            </w:r>
          </w:p>
        </w:tc>
        <w:tc>
          <w:tcPr>
            <w:tcW w:w="2127" w:type="dxa"/>
            <w:tcBorders>
              <w:top w:val="nil"/>
              <w:left w:val="nil"/>
              <w:bottom w:val="nil"/>
              <w:right w:val="nil"/>
            </w:tcBorders>
            <w:shd w:val="clear" w:color="auto" w:fill="auto"/>
            <w:vAlign w:val="bottom"/>
            <w:hideMark/>
          </w:tcPr>
          <w:p w14:paraId="1B20956C"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Whole bone</w:t>
            </w:r>
          </w:p>
        </w:tc>
        <w:tc>
          <w:tcPr>
            <w:tcW w:w="1275" w:type="dxa"/>
            <w:tcBorders>
              <w:top w:val="nil"/>
              <w:left w:val="nil"/>
              <w:bottom w:val="nil"/>
              <w:right w:val="nil"/>
            </w:tcBorders>
            <w:shd w:val="clear" w:color="auto" w:fill="auto"/>
            <w:vAlign w:val="bottom"/>
            <w:hideMark/>
          </w:tcPr>
          <w:p w14:paraId="4C1106EE"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34" w:type="dxa"/>
            <w:tcBorders>
              <w:top w:val="nil"/>
              <w:left w:val="nil"/>
              <w:bottom w:val="nil"/>
              <w:right w:val="nil"/>
            </w:tcBorders>
            <w:shd w:val="clear" w:color="auto" w:fill="auto"/>
            <w:vAlign w:val="bottom"/>
            <w:hideMark/>
          </w:tcPr>
          <w:p w14:paraId="4443C93A"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2127" w:type="dxa"/>
            <w:tcBorders>
              <w:top w:val="nil"/>
              <w:left w:val="nil"/>
              <w:bottom w:val="nil"/>
              <w:right w:val="nil"/>
            </w:tcBorders>
            <w:shd w:val="clear" w:color="auto" w:fill="auto"/>
            <w:vAlign w:val="bottom"/>
            <w:hideMark/>
          </w:tcPr>
          <w:p w14:paraId="778B9E11"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98" w:type="dxa"/>
            <w:tcBorders>
              <w:top w:val="nil"/>
              <w:left w:val="nil"/>
              <w:bottom w:val="nil"/>
              <w:right w:val="nil"/>
            </w:tcBorders>
            <w:shd w:val="clear" w:color="auto" w:fill="auto"/>
            <w:vAlign w:val="bottom"/>
            <w:hideMark/>
          </w:tcPr>
          <w:p w14:paraId="423BF6E0"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0.296 grams</w:t>
            </w:r>
          </w:p>
        </w:tc>
      </w:tr>
      <w:tr w:rsidR="00C84B1A" w:rsidRPr="00344B47" w14:paraId="6C656890" w14:textId="77777777" w:rsidTr="00C75336">
        <w:trPr>
          <w:trHeight w:val="203"/>
        </w:trPr>
        <w:tc>
          <w:tcPr>
            <w:tcW w:w="2694" w:type="dxa"/>
            <w:tcBorders>
              <w:top w:val="nil"/>
              <w:left w:val="nil"/>
              <w:bottom w:val="nil"/>
              <w:right w:val="nil"/>
            </w:tcBorders>
            <w:shd w:val="clear" w:color="auto" w:fill="auto"/>
            <w:vAlign w:val="bottom"/>
            <w:hideMark/>
          </w:tcPr>
          <w:p w14:paraId="2CBA2959" w14:textId="1C8FC13B"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Miller et al</w:t>
            </w:r>
            <w:r>
              <w:rPr>
                <w:rFonts w:eastAsia="Times New Roman"/>
                <w:color w:val="000000"/>
                <w:sz w:val="18"/>
                <w:szCs w:val="18"/>
                <w:lang w:eastAsia="en-CA"/>
              </w:rPr>
              <w:t>.</w:t>
            </w:r>
            <w:r w:rsidRPr="00344B47">
              <w:rPr>
                <w:rFonts w:eastAsia="Times New Roman"/>
                <w:color w:val="000000"/>
                <w:sz w:val="18"/>
                <w:szCs w:val="18"/>
                <w:lang w:eastAsia="en-CA"/>
              </w:rPr>
              <w:t xml:space="preserve"> 1986</w:t>
            </w:r>
            <w:r w:rsidR="00EC694E">
              <w:rPr>
                <w:rFonts w:eastAsia="Times New Roman"/>
                <w:color w:val="000000"/>
                <w:sz w:val="18"/>
                <w:szCs w:val="18"/>
                <w:lang w:eastAsia="en-CA"/>
              </w:rPr>
              <w:t xml:space="preserve"> </w:t>
            </w:r>
            <w:r w:rsidR="00EC694E">
              <w:rPr>
                <w:rFonts w:eastAsia="Times New Roman"/>
                <w:color w:val="000000"/>
                <w:sz w:val="18"/>
                <w:szCs w:val="18"/>
                <w:lang w:eastAsia="en-CA"/>
              </w:rPr>
              <w:fldChar w:fldCharType="begin" w:fldLock="1"/>
            </w:r>
            <w:r w:rsidR="00DD1F90">
              <w:rPr>
                <w:rFonts w:eastAsia="Times New Roman"/>
                <w:color w:val="000000"/>
                <w:sz w:val="18"/>
                <w:szCs w:val="18"/>
                <w:lang w:eastAsia="en-CA"/>
              </w:rPr>
              <w:instrText>ADDIN CSL_CITATION {"citationItems":[{"id":"ITEM-1","itemData":{"DOI":"10.1016/8756-3282(86)90209-7","ISSN":"8756-3282","PMID":"3768208","abstract":"Changes in bone chemistry, cortical bone morphometry, and periosteal and trabecular bone formation rates were determined during pregnancy and lactation in rats. Data were obtained using chemical, static morphometric, and fluorochrome-based histomorphometric methods in pregnant or lactating animals and compared with age-matched, unmated controls. There were significant increases in bone weight, ash weight, calcium content, and femoral cross-sectional area by late pregnancy and decreases in these same parameters during lactation. There were also decreases in bone mass and increases in surface:volume ratios of trabecular bone during lactation. There were increases in femoral periosteal and endosteal perimeters associated with the reproductive cycle. Bone formation and appositional rates at the periosteal and endosteal surfaces were elevated during pregnancy, particularly evident at midpregnancy. Periosteal bone formation rates declined during lactation, but trabecular bone formation rates increased. These results indicate that during pregnancy there are increases in bone formation rates contributing to the increases in skeletal mass. During lactation in rats, reductions in skeletal mass are accompanied by increases in bone turnover, particularly evident in trabecular bone. © 1986.","author":[{"dropping-particle":"","family":"Miller","given":"SC","non-dropping-particle":"","parse-names":false,"suffix":""},{"dropping-particle":"","family":"Shupe","given":"JG","non-dropping-particle":"","parse-names":false,"suffix":""},{"dropping-particle":"","family":"Redd","given":"EH","non-dropping-particle":"","parse-names":false,"suffix":""},{"dropping-particle":"","family":"Miller","given":"MA","non-dropping-particle":"","parse-names":false,"suffix":""},{"dropping-particle":"","family":"Omura","given":"TH","non-dropping-particle":"","parse-names":false,"suffix":""}],"container-title":"Bone","id":"ITEM-1","issue":"4","issued":{"date-parts":[["1986"]]},"page":"283-287","publisher":"Bone","title":"Changes in bone mineral and bone formation rates during pregnancy and lactation in rats","type":"article-journal","volume":"7"},"uris":["http://www.mendeley.com/documents/?uuid=4d5d450e-253d-3cba-90b8-16885c64f7c2"]}],"mendeley":{"formattedCitation":"[19]","plainTextFormattedCitation":"[19]","previouslyFormattedCitation":"[19]"},"properties":{"noteIndex":0},"schema":"https://github.com/citation-style-language/schema/raw/master/csl-citation.json"}</w:instrText>
            </w:r>
            <w:r w:rsidR="00EC694E">
              <w:rPr>
                <w:rFonts w:eastAsia="Times New Roman"/>
                <w:color w:val="000000"/>
                <w:sz w:val="18"/>
                <w:szCs w:val="18"/>
                <w:lang w:eastAsia="en-CA"/>
              </w:rPr>
              <w:fldChar w:fldCharType="separate"/>
            </w:r>
            <w:r w:rsidR="00EC694E" w:rsidRPr="00EC694E">
              <w:rPr>
                <w:rFonts w:eastAsia="Times New Roman"/>
                <w:noProof/>
                <w:color w:val="000000"/>
                <w:sz w:val="18"/>
                <w:szCs w:val="18"/>
                <w:lang w:eastAsia="en-CA"/>
              </w:rPr>
              <w:t>[19]</w:t>
            </w:r>
            <w:r w:rsidR="00EC694E">
              <w:rPr>
                <w:rFonts w:eastAsia="Times New Roman"/>
                <w:color w:val="000000"/>
                <w:sz w:val="18"/>
                <w:szCs w:val="18"/>
                <w:lang w:eastAsia="en-CA"/>
              </w:rPr>
              <w:fldChar w:fldCharType="end"/>
            </w:r>
          </w:p>
        </w:tc>
        <w:tc>
          <w:tcPr>
            <w:tcW w:w="1842" w:type="dxa"/>
            <w:tcBorders>
              <w:top w:val="nil"/>
              <w:left w:val="nil"/>
              <w:bottom w:val="nil"/>
              <w:right w:val="nil"/>
            </w:tcBorders>
            <w:shd w:val="clear" w:color="auto" w:fill="auto"/>
            <w:vAlign w:val="bottom"/>
            <w:hideMark/>
          </w:tcPr>
          <w:p w14:paraId="7CD0F58C"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Rat femur</w:t>
            </w:r>
          </w:p>
        </w:tc>
        <w:tc>
          <w:tcPr>
            <w:tcW w:w="2127" w:type="dxa"/>
            <w:tcBorders>
              <w:top w:val="nil"/>
              <w:left w:val="nil"/>
              <w:bottom w:val="nil"/>
              <w:right w:val="nil"/>
            </w:tcBorders>
            <w:shd w:val="clear" w:color="auto" w:fill="auto"/>
            <w:vAlign w:val="bottom"/>
            <w:hideMark/>
          </w:tcPr>
          <w:p w14:paraId="7769013B"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500-700 mg</w:t>
            </w:r>
          </w:p>
        </w:tc>
        <w:tc>
          <w:tcPr>
            <w:tcW w:w="1275" w:type="dxa"/>
            <w:tcBorders>
              <w:top w:val="nil"/>
              <w:left w:val="nil"/>
              <w:bottom w:val="nil"/>
              <w:right w:val="nil"/>
            </w:tcBorders>
            <w:shd w:val="clear" w:color="auto" w:fill="auto"/>
            <w:vAlign w:val="bottom"/>
            <w:hideMark/>
          </w:tcPr>
          <w:p w14:paraId="12611A90"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1134" w:type="dxa"/>
            <w:tcBorders>
              <w:top w:val="nil"/>
              <w:left w:val="nil"/>
              <w:bottom w:val="nil"/>
              <w:right w:val="nil"/>
            </w:tcBorders>
            <w:shd w:val="clear" w:color="auto" w:fill="auto"/>
            <w:vAlign w:val="bottom"/>
            <w:hideMark/>
          </w:tcPr>
          <w:p w14:paraId="3244CFF8" w14:textId="77777777" w:rsidR="00C84B1A" w:rsidRPr="00344B47" w:rsidRDefault="00C84B1A" w:rsidP="00C84B1A">
            <w:pPr>
              <w:spacing w:after="0"/>
              <w:rPr>
                <w:rFonts w:eastAsia="Times New Roman"/>
                <w:color w:val="000000"/>
                <w:sz w:val="18"/>
                <w:szCs w:val="18"/>
                <w:lang w:eastAsia="en-CA"/>
              </w:rPr>
            </w:pPr>
            <w:proofErr w:type="spellStart"/>
            <w:r w:rsidRPr="00344B47">
              <w:rPr>
                <w:rFonts w:eastAsia="Times New Roman"/>
                <w:color w:val="000000"/>
                <w:sz w:val="18"/>
                <w:szCs w:val="18"/>
                <w:lang w:eastAsia="en-CA"/>
              </w:rPr>
              <w:t>n.r.</w:t>
            </w:r>
            <w:proofErr w:type="spellEnd"/>
          </w:p>
        </w:tc>
        <w:tc>
          <w:tcPr>
            <w:tcW w:w="2127" w:type="dxa"/>
            <w:tcBorders>
              <w:top w:val="nil"/>
              <w:left w:val="nil"/>
              <w:bottom w:val="nil"/>
              <w:right w:val="nil"/>
            </w:tcBorders>
            <w:shd w:val="clear" w:color="auto" w:fill="auto"/>
            <w:vAlign w:val="bottom"/>
            <w:hideMark/>
          </w:tcPr>
          <w:p w14:paraId="14EB25C7" w14:textId="7777777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 xml:space="preserve">EtOH, </w:t>
            </w:r>
            <w:proofErr w:type="spellStart"/>
            <w:r w:rsidRPr="00344B47">
              <w:rPr>
                <w:rFonts w:eastAsia="Times New Roman"/>
                <w:color w:val="000000"/>
                <w:sz w:val="18"/>
                <w:szCs w:val="18"/>
                <w:lang w:eastAsia="en-CA"/>
              </w:rPr>
              <w:t>EthEther</w:t>
            </w:r>
            <w:proofErr w:type="spellEnd"/>
          </w:p>
        </w:tc>
        <w:tc>
          <w:tcPr>
            <w:tcW w:w="1198" w:type="dxa"/>
            <w:tcBorders>
              <w:top w:val="nil"/>
              <w:left w:val="nil"/>
              <w:bottom w:val="nil"/>
              <w:right w:val="nil"/>
            </w:tcBorders>
            <w:shd w:val="clear" w:color="auto" w:fill="auto"/>
            <w:vAlign w:val="bottom"/>
            <w:hideMark/>
          </w:tcPr>
          <w:p w14:paraId="1C14FE1D" w14:textId="4122ADB7" w:rsidR="00C84B1A" w:rsidRPr="00344B47" w:rsidRDefault="00C84B1A" w:rsidP="00C84B1A">
            <w:pPr>
              <w:spacing w:after="0"/>
              <w:rPr>
                <w:rFonts w:eastAsia="Times New Roman"/>
                <w:color w:val="000000"/>
                <w:sz w:val="18"/>
                <w:szCs w:val="18"/>
                <w:lang w:eastAsia="en-CA"/>
              </w:rPr>
            </w:pPr>
            <w:r w:rsidRPr="00344B47">
              <w:rPr>
                <w:rFonts w:eastAsia="Times New Roman"/>
                <w:color w:val="000000"/>
                <w:sz w:val="18"/>
                <w:szCs w:val="18"/>
                <w:lang w:eastAsia="en-CA"/>
              </w:rPr>
              <w:t>64.4 ± 1.0</w:t>
            </w:r>
          </w:p>
        </w:tc>
      </w:tr>
      <w:tr w:rsidR="00C84B1A" w:rsidRPr="00BE2877" w14:paraId="174FD19D" w14:textId="77777777" w:rsidTr="00BE2877">
        <w:trPr>
          <w:trHeight w:val="203"/>
        </w:trPr>
        <w:tc>
          <w:tcPr>
            <w:tcW w:w="2694" w:type="dxa"/>
            <w:tcBorders>
              <w:top w:val="nil"/>
              <w:left w:val="nil"/>
              <w:bottom w:val="nil"/>
              <w:right w:val="nil"/>
            </w:tcBorders>
            <w:shd w:val="clear" w:color="auto" w:fill="auto"/>
            <w:vAlign w:val="bottom"/>
          </w:tcPr>
          <w:p w14:paraId="096947D7" w14:textId="5062A890" w:rsidR="00C84B1A" w:rsidRPr="00BE2877" w:rsidRDefault="00C84B1A" w:rsidP="00C84B1A">
            <w:pPr>
              <w:spacing w:after="0"/>
              <w:rPr>
                <w:rFonts w:eastAsia="Times New Roman"/>
                <w:color w:val="000000"/>
                <w:sz w:val="18"/>
                <w:szCs w:val="18"/>
                <w:highlight w:val="yellow"/>
                <w:lang w:eastAsia="en-CA"/>
              </w:rPr>
            </w:pPr>
          </w:p>
        </w:tc>
        <w:tc>
          <w:tcPr>
            <w:tcW w:w="1842" w:type="dxa"/>
            <w:tcBorders>
              <w:top w:val="nil"/>
              <w:left w:val="nil"/>
              <w:bottom w:val="nil"/>
              <w:right w:val="nil"/>
            </w:tcBorders>
            <w:shd w:val="clear" w:color="auto" w:fill="auto"/>
            <w:vAlign w:val="bottom"/>
          </w:tcPr>
          <w:p w14:paraId="26F5A965" w14:textId="7DF8E47E"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39705A90" w14:textId="29495970" w:rsidR="00C84B1A" w:rsidRPr="00BE2877" w:rsidRDefault="00C84B1A" w:rsidP="00C84B1A">
            <w:pPr>
              <w:spacing w:after="0"/>
              <w:rPr>
                <w:rFonts w:eastAsia="Times New Roman"/>
                <w:color w:val="000000"/>
                <w:sz w:val="18"/>
                <w:szCs w:val="18"/>
                <w:highlight w:val="yellow"/>
                <w:lang w:eastAsia="en-CA"/>
              </w:rPr>
            </w:pPr>
          </w:p>
        </w:tc>
        <w:tc>
          <w:tcPr>
            <w:tcW w:w="1275" w:type="dxa"/>
            <w:tcBorders>
              <w:top w:val="nil"/>
              <w:left w:val="nil"/>
              <w:bottom w:val="nil"/>
              <w:right w:val="nil"/>
            </w:tcBorders>
            <w:shd w:val="clear" w:color="auto" w:fill="auto"/>
            <w:vAlign w:val="bottom"/>
          </w:tcPr>
          <w:p w14:paraId="264F1C1B" w14:textId="2FC4BB11" w:rsidR="00C84B1A" w:rsidRPr="00BE2877" w:rsidRDefault="00C84B1A" w:rsidP="00C84B1A">
            <w:pPr>
              <w:spacing w:after="0"/>
              <w:rPr>
                <w:rFonts w:eastAsia="Times New Roman"/>
                <w:color w:val="000000"/>
                <w:sz w:val="18"/>
                <w:szCs w:val="18"/>
                <w:highlight w:val="yellow"/>
                <w:lang w:eastAsia="en-CA"/>
              </w:rPr>
            </w:pPr>
          </w:p>
        </w:tc>
        <w:tc>
          <w:tcPr>
            <w:tcW w:w="1134" w:type="dxa"/>
            <w:tcBorders>
              <w:top w:val="nil"/>
              <w:left w:val="nil"/>
              <w:bottom w:val="nil"/>
              <w:right w:val="nil"/>
            </w:tcBorders>
            <w:shd w:val="clear" w:color="auto" w:fill="auto"/>
            <w:vAlign w:val="bottom"/>
          </w:tcPr>
          <w:p w14:paraId="43F610D3" w14:textId="66E9BB56"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51F04066" w14:textId="75235110" w:rsidR="00C84B1A" w:rsidRPr="00BE2877" w:rsidRDefault="00C84B1A" w:rsidP="00C84B1A">
            <w:pPr>
              <w:spacing w:after="0"/>
              <w:rPr>
                <w:rFonts w:eastAsia="Times New Roman"/>
                <w:color w:val="000000"/>
                <w:sz w:val="18"/>
                <w:szCs w:val="18"/>
                <w:highlight w:val="yellow"/>
                <w:lang w:eastAsia="en-CA"/>
              </w:rPr>
            </w:pPr>
          </w:p>
        </w:tc>
        <w:tc>
          <w:tcPr>
            <w:tcW w:w="1198" w:type="dxa"/>
            <w:tcBorders>
              <w:top w:val="nil"/>
              <w:left w:val="nil"/>
              <w:bottom w:val="nil"/>
              <w:right w:val="nil"/>
            </w:tcBorders>
            <w:shd w:val="clear" w:color="auto" w:fill="auto"/>
            <w:vAlign w:val="bottom"/>
          </w:tcPr>
          <w:p w14:paraId="08E3696B" w14:textId="7F297967" w:rsidR="00C84B1A" w:rsidRPr="00BE2877" w:rsidRDefault="00C84B1A" w:rsidP="00C84B1A">
            <w:pPr>
              <w:spacing w:after="0"/>
              <w:rPr>
                <w:rFonts w:eastAsia="Times New Roman"/>
                <w:color w:val="000000"/>
                <w:sz w:val="18"/>
                <w:szCs w:val="18"/>
                <w:highlight w:val="yellow"/>
                <w:lang w:eastAsia="en-CA"/>
              </w:rPr>
            </w:pPr>
          </w:p>
        </w:tc>
      </w:tr>
      <w:tr w:rsidR="00C84B1A" w:rsidRPr="00BE2877" w14:paraId="688D56C2" w14:textId="77777777" w:rsidTr="00BE2877">
        <w:trPr>
          <w:trHeight w:val="203"/>
        </w:trPr>
        <w:tc>
          <w:tcPr>
            <w:tcW w:w="2694" w:type="dxa"/>
            <w:tcBorders>
              <w:top w:val="nil"/>
              <w:left w:val="nil"/>
              <w:bottom w:val="nil"/>
              <w:right w:val="nil"/>
            </w:tcBorders>
            <w:shd w:val="clear" w:color="auto" w:fill="auto"/>
            <w:vAlign w:val="bottom"/>
          </w:tcPr>
          <w:p w14:paraId="6C294029" w14:textId="5D09F133" w:rsidR="00C84B1A" w:rsidRPr="00BE2877" w:rsidRDefault="00C84B1A" w:rsidP="00C84B1A">
            <w:pPr>
              <w:spacing w:after="0"/>
              <w:rPr>
                <w:rFonts w:eastAsia="Times New Roman"/>
                <w:color w:val="000000"/>
                <w:sz w:val="18"/>
                <w:szCs w:val="18"/>
                <w:highlight w:val="yellow"/>
                <w:lang w:eastAsia="en-CA"/>
              </w:rPr>
            </w:pPr>
          </w:p>
        </w:tc>
        <w:tc>
          <w:tcPr>
            <w:tcW w:w="1842" w:type="dxa"/>
            <w:tcBorders>
              <w:top w:val="nil"/>
              <w:left w:val="nil"/>
              <w:bottom w:val="nil"/>
              <w:right w:val="nil"/>
            </w:tcBorders>
            <w:shd w:val="clear" w:color="auto" w:fill="auto"/>
            <w:vAlign w:val="bottom"/>
          </w:tcPr>
          <w:p w14:paraId="058F53B8" w14:textId="734FF229"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668B5FD5" w14:textId="2D5A1121" w:rsidR="00C84B1A" w:rsidRPr="00BE2877" w:rsidRDefault="00C84B1A" w:rsidP="00C84B1A">
            <w:pPr>
              <w:spacing w:after="0"/>
              <w:rPr>
                <w:rFonts w:eastAsia="Times New Roman"/>
                <w:color w:val="000000"/>
                <w:sz w:val="18"/>
                <w:szCs w:val="18"/>
                <w:highlight w:val="yellow"/>
                <w:lang w:eastAsia="en-CA"/>
              </w:rPr>
            </w:pPr>
          </w:p>
        </w:tc>
        <w:tc>
          <w:tcPr>
            <w:tcW w:w="1275" w:type="dxa"/>
            <w:tcBorders>
              <w:top w:val="nil"/>
              <w:left w:val="nil"/>
              <w:bottom w:val="nil"/>
              <w:right w:val="nil"/>
            </w:tcBorders>
            <w:shd w:val="clear" w:color="auto" w:fill="auto"/>
            <w:vAlign w:val="bottom"/>
          </w:tcPr>
          <w:p w14:paraId="0BE84BBE" w14:textId="01F19E7F" w:rsidR="00C84B1A" w:rsidRPr="00BE2877" w:rsidRDefault="00C84B1A" w:rsidP="00C84B1A">
            <w:pPr>
              <w:spacing w:after="0"/>
              <w:rPr>
                <w:rFonts w:eastAsia="Times New Roman"/>
                <w:color w:val="000000"/>
                <w:sz w:val="18"/>
                <w:szCs w:val="18"/>
                <w:highlight w:val="yellow"/>
                <w:lang w:eastAsia="en-CA"/>
              </w:rPr>
            </w:pPr>
          </w:p>
        </w:tc>
        <w:tc>
          <w:tcPr>
            <w:tcW w:w="1134" w:type="dxa"/>
            <w:tcBorders>
              <w:top w:val="nil"/>
              <w:left w:val="nil"/>
              <w:bottom w:val="nil"/>
              <w:right w:val="nil"/>
            </w:tcBorders>
            <w:shd w:val="clear" w:color="auto" w:fill="auto"/>
            <w:vAlign w:val="bottom"/>
          </w:tcPr>
          <w:p w14:paraId="69AE77EF" w14:textId="6CF80556"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653C09B4" w14:textId="5FF8F5BC" w:rsidR="00C84B1A" w:rsidRPr="00BE2877" w:rsidRDefault="00C84B1A" w:rsidP="00C84B1A">
            <w:pPr>
              <w:spacing w:after="0"/>
              <w:rPr>
                <w:rFonts w:eastAsia="Times New Roman"/>
                <w:color w:val="000000"/>
                <w:sz w:val="18"/>
                <w:szCs w:val="18"/>
                <w:highlight w:val="yellow"/>
                <w:lang w:eastAsia="en-CA"/>
              </w:rPr>
            </w:pPr>
          </w:p>
        </w:tc>
        <w:tc>
          <w:tcPr>
            <w:tcW w:w="1198" w:type="dxa"/>
            <w:tcBorders>
              <w:top w:val="nil"/>
              <w:left w:val="nil"/>
              <w:bottom w:val="nil"/>
              <w:right w:val="nil"/>
            </w:tcBorders>
            <w:shd w:val="clear" w:color="auto" w:fill="auto"/>
            <w:vAlign w:val="bottom"/>
          </w:tcPr>
          <w:p w14:paraId="4B4D1E39" w14:textId="73E980A3" w:rsidR="00C84B1A" w:rsidRPr="00BE2877" w:rsidRDefault="00C84B1A" w:rsidP="00C84B1A">
            <w:pPr>
              <w:spacing w:after="0"/>
              <w:rPr>
                <w:rFonts w:eastAsia="Times New Roman"/>
                <w:color w:val="000000"/>
                <w:sz w:val="18"/>
                <w:szCs w:val="18"/>
                <w:highlight w:val="yellow"/>
                <w:lang w:eastAsia="en-CA"/>
              </w:rPr>
            </w:pPr>
          </w:p>
        </w:tc>
      </w:tr>
      <w:tr w:rsidR="00C84B1A" w:rsidRPr="00BE2877" w14:paraId="479F1784" w14:textId="77777777" w:rsidTr="00BE2877">
        <w:trPr>
          <w:trHeight w:val="408"/>
        </w:trPr>
        <w:tc>
          <w:tcPr>
            <w:tcW w:w="2694" w:type="dxa"/>
            <w:tcBorders>
              <w:top w:val="nil"/>
              <w:left w:val="nil"/>
              <w:bottom w:val="nil"/>
              <w:right w:val="nil"/>
            </w:tcBorders>
            <w:shd w:val="clear" w:color="auto" w:fill="auto"/>
            <w:vAlign w:val="bottom"/>
          </w:tcPr>
          <w:p w14:paraId="11463974" w14:textId="267D9D24" w:rsidR="00C84B1A" w:rsidRPr="00BE2877" w:rsidRDefault="00C84B1A" w:rsidP="00C84B1A">
            <w:pPr>
              <w:spacing w:after="0"/>
              <w:rPr>
                <w:rFonts w:eastAsia="Times New Roman"/>
                <w:color w:val="000000"/>
                <w:sz w:val="18"/>
                <w:szCs w:val="18"/>
                <w:highlight w:val="yellow"/>
                <w:lang w:eastAsia="en-CA"/>
              </w:rPr>
            </w:pPr>
          </w:p>
        </w:tc>
        <w:tc>
          <w:tcPr>
            <w:tcW w:w="1842" w:type="dxa"/>
            <w:tcBorders>
              <w:top w:val="nil"/>
              <w:left w:val="nil"/>
              <w:bottom w:val="nil"/>
              <w:right w:val="nil"/>
            </w:tcBorders>
            <w:shd w:val="clear" w:color="auto" w:fill="auto"/>
            <w:vAlign w:val="bottom"/>
          </w:tcPr>
          <w:p w14:paraId="4E16DCF9" w14:textId="5CB8540F"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5E282162" w14:textId="275E037B" w:rsidR="00C84B1A" w:rsidRPr="00BE2877" w:rsidRDefault="00C84B1A" w:rsidP="00C84B1A">
            <w:pPr>
              <w:spacing w:after="0"/>
              <w:rPr>
                <w:rFonts w:eastAsia="Times New Roman"/>
                <w:color w:val="000000"/>
                <w:sz w:val="18"/>
                <w:szCs w:val="18"/>
                <w:highlight w:val="yellow"/>
                <w:lang w:eastAsia="en-CA"/>
              </w:rPr>
            </w:pPr>
          </w:p>
        </w:tc>
        <w:tc>
          <w:tcPr>
            <w:tcW w:w="1275" w:type="dxa"/>
            <w:tcBorders>
              <w:top w:val="nil"/>
              <w:left w:val="nil"/>
              <w:bottom w:val="nil"/>
              <w:right w:val="nil"/>
            </w:tcBorders>
            <w:shd w:val="clear" w:color="auto" w:fill="auto"/>
            <w:vAlign w:val="bottom"/>
          </w:tcPr>
          <w:p w14:paraId="4495A024" w14:textId="148E04E2" w:rsidR="00C84B1A" w:rsidRPr="00BE2877" w:rsidRDefault="00C84B1A" w:rsidP="00C84B1A">
            <w:pPr>
              <w:spacing w:after="0"/>
              <w:rPr>
                <w:rFonts w:eastAsia="Times New Roman"/>
                <w:color w:val="000000"/>
                <w:sz w:val="18"/>
                <w:szCs w:val="18"/>
                <w:highlight w:val="yellow"/>
                <w:lang w:eastAsia="en-CA"/>
              </w:rPr>
            </w:pPr>
          </w:p>
        </w:tc>
        <w:tc>
          <w:tcPr>
            <w:tcW w:w="1134" w:type="dxa"/>
            <w:tcBorders>
              <w:top w:val="nil"/>
              <w:left w:val="nil"/>
              <w:bottom w:val="nil"/>
              <w:right w:val="nil"/>
            </w:tcBorders>
            <w:shd w:val="clear" w:color="auto" w:fill="auto"/>
            <w:vAlign w:val="bottom"/>
          </w:tcPr>
          <w:p w14:paraId="3B2D625D" w14:textId="7CD50E2E"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57236918" w14:textId="30C7D221" w:rsidR="00C84B1A" w:rsidRPr="00BE2877" w:rsidRDefault="00C84B1A" w:rsidP="00C84B1A">
            <w:pPr>
              <w:spacing w:after="0"/>
              <w:rPr>
                <w:rFonts w:eastAsia="Times New Roman"/>
                <w:color w:val="000000"/>
                <w:sz w:val="18"/>
                <w:szCs w:val="18"/>
                <w:highlight w:val="yellow"/>
                <w:lang w:eastAsia="en-CA"/>
              </w:rPr>
            </w:pPr>
          </w:p>
        </w:tc>
        <w:tc>
          <w:tcPr>
            <w:tcW w:w="1198" w:type="dxa"/>
            <w:tcBorders>
              <w:top w:val="nil"/>
              <w:left w:val="nil"/>
              <w:bottom w:val="nil"/>
              <w:right w:val="nil"/>
            </w:tcBorders>
            <w:shd w:val="clear" w:color="auto" w:fill="auto"/>
            <w:vAlign w:val="bottom"/>
          </w:tcPr>
          <w:p w14:paraId="0483995C" w14:textId="6177175A" w:rsidR="00C84B1A" w:rsidRPr="00BE2877" w:rsidRDefault="00C84B1A" w:rsidP="00C84B1A">
            <w:pPr>
              <w:spacing w:after="0"/>
              <w:rPr>
                <w:rFonts w:eastAsia="Times New Roman"/>
                <w:color w:val="000000"/>
                <w:sz w:val="18"/>
                <w:szCs w:val="18"/>
                <w:highlight w:val="yellow"/>
                <w:lang w:eastAsia="en-CA"/>
              </w:rPr>
            </w:pPr>
          </w:p>
        </w:tc>
      </w:tr>
      <w:tr w:rsidR="00C84B1A" w:rsidRPr="00BE2877" w14:paraId="24CD6558" w14:textId="77777777" w:rsidTr="00BE2877">
        <w:trPr>
          <w:trHeight w:val="203"/>
        </w:trPr>
        <w:tc>
          <w:tcPr>
            <w:tcW w:w="2694" w:type="dxa"/>
            <w:tcBorders>
              <w:top w:val="nil"/>
              <w:left w:val="nil"/>
              <w:bottom w:val="nil"/>
              <w:right w:val="nil"/>
            </w:tcBorders>
            <w:shd w:val="clear" w:color="auto" w:fill="auto"/>
            <w:vAlign w:val="bottom"/>
          </w:tcPr>
          <w:p w14:paraId="3D560C87" w14:textId="2EA890A2" w:rsidR="00C84B1A" w:rsidRPr="00BE2877" w:rsidRDefault="00C84B1A" w:rsidP="00C84B1A">
            <w:pPr>
              <w:spacing w:after="0"/>
              <w:rPr>
                <w:rFonts w:eastAsia="Times New Roman"/>
                <w:color w:val="000000"/>
                <w:sz w:val="18"/>
                <w:szCs w:val="18"/>
                <w:highlight w:val="yellow"/>
                <w:lang w:eastAsia="en-CA"/>
              </w:rPr>
            </w:pPr>
          </w:p>
        </w:tc>
        <w:tc>
          <w:tcPr>
            <w:tcW w:w="1842" w:type="dxa"/>
            <w:tcBorders>
              <w:top w:val="nil"/>
              <w:left w:val="nil"/>
              <w:bottom w:val="nil"/>
              <w:right w:val="nil"/>
            </w:tcBorders>
            <w:shd w:val="clear" w:color="auto" w:fill="auto"/>
            <w:vAlign w:val="bottom"/>
          </w:tcPr>
          <w:p w14:paraId="292B6E43" w14:textId="372C042A"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0231C44E" w14:textId="60A864B3" w:rsidR="00C84B1A" w:rsidRPr="00BE2877" w:rsidRDefault="00C84B1A" w:rsidP="00C84B1A">
            <w:pPr>
              <w:spacing w:after="0"/>
              <w:rPr>
                <w:rFonts w:eastAsia="Times New Roman"/>
                <w:color w:val="000000"/>
                <w:sz w:val="18"/>
                <w:szCs w:val="18"/>
                <w:highlight w:val="yellow"/>
                <w:lang w:eastAsia="en-CA"/>
              </w:rPr>
            </w:pPr>
          </w:p>
        </w:tc>
        <w:tc>
          <w:tcPr>
            <w:tcW w:w="1275" w:type="dxa"/>
            <w:tcBorders>
              <w:top w:val="nil"/>
              <w:left w:val="nil"/>
              <w:bottom w:val="nil"/>
              <w:right w:val="nil"/>
            </w:tcBorders>
            <w:shd w:val="clear" w:color="auto" w:fill="auto"/>
            <w:vAlign w:val="bottom"/>
          </w:tcPr>
          <w:p w14:paraId="4A448E25" w14:textId="4828CF60" w:rsidR="00C84B1A" w:rsidRPr="00BE2877" w:rsidRDefault="00C84B1A" w:rsidP="00C84B1A">
            <w:pPr>
              <w:spacing w:after="0"/>
              <w:rPr>
                <w:rFonts w:eastAsia="Times New Roman"/>
                <w:color w:val="000000"/>
                <w:sz w:val="18"/>
                <w:szCs w:val="18"/>
                <w:highlight w:val="yellow"/>
                <w:lang w:eastAsia="en-CA"/>
              </w:rPr>
            </w:pPr>
          </w:p>
        </w:tc>
        <w:tc>
          <w:tcPr>
            <w:tcW w:w="1134" w:type="dxa"/>
            <w:tcBorders>
              <w:top w:val="nil"/>
              <w:left w:val="nil"/>
              <w:bottom w:val="nil"/>
              <w:right w:val="nil"/>
            </w:tcBorders>
            <w:shd w:val="clear" w:color="auto" w:fill="auto"/>
            <w:vAlign w:val="bottom"/>
          </w:tcPr>
          <w:p w14:paraId="430E08EB" w14:textId="4EE87DA4"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0C790A4C" w14:textId="3B3DDA32" w:rsidR="00C84B1A" w:rsidRPr="00BE2877" w:rsidRDefault="00C84B1A" w:rsidP="00C84B1A">
            <w:pPr>
              <w:spacing w:after="0"/>
              <w:rPr>
                <w:rFonts w:eastAsia="Times New Roman"/>
                <w:color w:val="000000"/>
                <w:sz w:val="18"/>
                <w:szCs w:val="18"/>
                <w:highlight w:val="yellow"/>
                <w:lang w:eastAsia="en-CA"/>
              </w:rPr>
            </w:pPr>
          </w:p>
        </w:tc>
        <w:tc>
          <w:tcPr>
            <w:tcW w:w="1198" w:type="dxa"/>
            <w:tcBorders>
              <w:top w:val="nil"/>
              <w:left w:val="nil"/>
              <w:bottom w:val="nil"/>
              <w:right w:val="nil"/>
            </w:tcBorders>
            <w:shd w:val="clear" w:color="auto" w:fill="auto"/>
            <w:vAlign w:val="bottom"/>
          </w:tcPr>
          <w:p w14:paraId="1A8CC0CE" w14:textId="3C0231D0" w:rsidR="00C84B1A" w:rsidRPr="00BE2877" w:rsidRDefault="00C84B1A" w:rsidP="00C84B1A">
            <w:pPr>
              <w:spacing w:after="0"/>
              <w:rPr>
                <w:rFonts w:eastAsia="Times New Roman"/>
                <w:color w:val="000000"/>
                <w:sz w:val="18"/>
                <w:szCs w:val="18"/>
                <w:highlight w:val="yellow"/>
                <w:lang w:eastAsia="en-CA"/>
              </w:rPr>
            </w:pPr>
          </w:p>
        </w:tc>
      </w:tr>
      <w:tr w:rsidR="00C84B1A" w:rsidRPr="00BE2877" w14:paraId="13014C4B" w14:textId="77777777" w:rsidTr="00BE2877">
        <w:trPr>
          <w:trHeight w:val="203"/>
        </w:trPr>
        <w:tc>
          <w:tcPr>
            <w:tcW w:w="2694" w:type="dxa"/>
            <w:tcBorders>
              <w:top w:val="nil"/>
              <w:left w:val="nil"/>
              <w:bottom w:val="nil"/>
              <w:right w:val="nil"/>
            </w:tcBorders>
            <w:shd w:val="clear" w:color="auto" w:fill="auto"/>
            <w:vAlign w:val="bottom"/>
          </w:tcPr>
          <w:p w14:paraId="76B5B7E2" w14:textId="23E46F5A" w:rsidR="00C84B1A" w:rsidRPr="00BE2877" w:rsidRDefault="00C84B1A" w:rsidP="00C84B1A">
            <w:pPr>
              <w:spacing w:after="0"/>
              <w:rPr>
                <w:rFonts w:eastAsia="Times New Roman"/>
                <w:color w:val="000000"/>
                <w:sz w:val="18"/>
                <w:szCs w:val="18"/>
                <w:highlight w:val="yellow"/>
                <w:lang w:eastAsia="en-CA"/>
              </w:rPr>
            </w:pPr>
          </w:p>
        </w:tc>
        <w:tc>
          <w:tcPr>
            <w:tcW w:w="1842" w:type="dxa"/>
            <w:tcBorders>
              <w:top w:val="nil"/>
              <w:left w:val="nil"/>
              <w:bottom w:val="nil"/>
              <w:right w:val="nil"/>
            </w:tcBorders>
            <w:shd w:val="clear" w:color="auto" w:fill="auto"/>
            <w:vAlign w:val="bottom"/>
          </w:tcPr>
          <w:p w14:paraId="345C4DEA" w14:textId="46C8E420"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5425EABD" w14:textId="52BD6497" w:rsidR="00C84B1A" w:rsidRPr="00BE2877" w:rsidRDefault="00C84B1A" w:rsidP="00C84B1A">
            <w:pPr>
              <w:spacing w:after="0"/>
              <w:rPr>
                <w:rFonts w:eastAsia="Times New Roman"/>
                <w:color w:val="000000"/>
                <w:sz w:val="18"/>
                <w:szCs w:val="18"/>
                <w:highlight w:val="yellow"/>
                <w:lang w:eastAsia="en-CA"/>
              </w:rPr>
            </w:pPr>
          </w:p>
        </w:tc>
        <w:tc>
          <w:tcPr>
            <w:tcW w:w="1275" w:type="dxa"/>
            <w:tcBorders>
              <w:top w:val="nil"/>
              <w:left w:val="nil"/>
              <w:bottom w:val="nil"/>
              <w:right w:val="nil"/>
            </w:tcBorders>
            <w:shd w:val="clear" w:color="auto" w:fill="auto"/>
            <w:vAlign w:val="bottom"/>
          </w:tcPr>
          <w:p w14:paraId="4DAB419B" w14:textId="28334A7D" w:rsidR="00C84B1A" w:rsidRPr="00BE2877" w:rsidRDefault="00C84B1A" w:rsidP="00C84B1A">
            <w:pPr>
              <w:spacing w:after="0"/>
              <w:rPr>
                <w:rFonts w:eastAsia="Times New Roman"/>
                <w:color w:val="000000"/>
                <w:sz w:val="18"/>
                <w:szCs w:val="18"/>
                <w:highlight w:val="yellow"/>
                <w:lang w:eastAsia="en-CA"/>
              </w:rPr>
            </w:pPr>
          </w:p>
        </w:tc>
        <w:tc>
          <w:tcPr>
            <w:tcW w:w="1134" w:type="dxa"/>
            <w:tcBorders>
              <w:top w:val="nil"/>
              <w:left w:val="nil"/>
              <w:bottom w:val="nil"/>
              <w:right w:val="nil"/>
            </w:tcBorders>
            <w:shd w:val="clear" w:color="auto" w:fill="auto"/>
            <w:vAlign w:val="bottom"/>
          </w:tcPr>
          <w:p w14:paraId="3E00B532" w14:textId="5DFF5A2D"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3C34097E" w14:textId="7ACE78DB" w:rsidR="00C84B1A" w:rsidRPr="00BE2877" w:rsidRDefault="00C84B1A" w:rsidP="00C84B1A">
            <w:pPr>
              <w:spacing w:after="0"/>
              <w:rPr>
                <w:rFonts w:eastAsia="Times New Roman"/>
                <w:color w:val="000000"/>
                <w:sz w:val="18"/>
                <w:szCs w:val="18"/>
                <w:highlight w:val="yellow"/>
                <w:lang w:eastAsia="en-CA"/>
              </w:rPr>
            </w:pPr>
          </w:p>
        </w:tc>
        <w:tc>
          <w:tcPr>
            <w:tcW w:w="1198" w:type="dxa"/>
            <w:tcBorders>
              <w:top w:val="nil"/>
              <w:left w:val="nil"/>
              <w:bottom w:val="nil"/>
              <w:right w:val="nil"/>
            </w:tcBorders>
            <w:shd w:val="clear" w:color="auto" w:fill="auto"/>
            <w:vAlign w:val="bottom"/>
          </w:tcPr>
          <w:p w14:paraId="335D07CF" w14:textId="13C1545F" w:rsidR="00C84B1A" w:rsidRPr="00BE2877" w:rsidRDefault="00C84B1A" w:rsidP="00C84B1A">
            <w:pPr>
              <w:spacing w:after="0"/>
              <w:rPr>
                <w:rFonts w:eastAsia="Times New Roman"/>
                <w:color w:val="000000"/>
                <w:sz w:val="18"/>
                <w:szCs w:val="18"/>
                <w:highlight w:val="yellow"/>
                <w:lang w:eastAsia="en-CA"/>
              </w:rPr>
            </w:pPr>
          </w:p>
        </w:tc>
      </w:tr>
      <w:tr w:rsidR="00C84B1A" w:rsidRPr="00BE2877" w14:paraId="5ED086F9" w14:textId="77777777" w:rsidTr="00BE2877">
        <w:trPr>
          <w:trHeight w:val="203"/>
        </w:trPr>
        <w:tc>
          <w:tcPr>
            <w:tcW w:w="2694" w:type="dxa"/>
            <w:tcBorders>
              <w:top w:val="nil"/>
              <w:left w:val="nil"/>
              <w:bottom w:val="nil"/>
              <w:right w:val="nil"/>
            </w:tcBorders>
            <w:shd w:val="clear" w:color="auto" w:fill="auto"/>
            <w:vAlign w:val="bottom"/>
          </w:tcPr>
          <w:p w14:paraId="33D8A6A6" w14:textId="73FB4696" w:rsidR="00C84B1A" w:rsidRPr="00BE2877" w:rsidRDefault="00C84B1A" w:rsidP="00C84B1A">
            <w:pPr>
              <w:spacing w:after="0"/>
              <w:rPr>
                <w:rFonts w:eastAsia="Times New Roman"/>
                <w:color w:val="000000"/>
                <w:sz w:val="18"/>
                <w:szCs w:val="18"/>
                <w:highlight w:val="yellow"/>
                <w:lang w:eastAsia="en-CA"/>
              </w:rPr>
            </w:pPr>
          </w:p>
        </w:tc>
        <w:tc>
          <w:tcPr>
            <w:tcW w:w="1842" w:type="dxa"/>
            <w:tcBorders>
              <w:top w:val="nil"/>
              <w:left w:val="nil"/>
              <w:bottom w:val="nil"/>
              <w:right w:val="nil"/>
            </w:tcBorders>
            <w:shd w:val="clear" w:color="auto" w:fill="auto"/>
            <w:vAlign w:val="bottom"/>
          </w:tcPr>
          <w:p w14:paraId="197DFA23" w14:textId="44FE89DA"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10F1BD4D" w14:textId="790B63BF" w:rsidR="00C84B1A" w:rsidRPr="00BE2877" w:rsidRDefault="00C84B1A" w:rsidP="00C84B1A">
            <w:pPr>
              <w:spacing w:after="0"/>
              <w:rPr>
                <w:rFonts w:eastAsia="Times New Roman"/>
                <w:color w:val="000000"/>
                <w:sz w:val="18"/>
                <w:szCs w:val="18"/>
                <w:highlight w:val="yellow"/>
                <w:lang w:eastAsia="en-CA"/>
              </w:rPr>
            </w:pPr>
          </w:p>
        </w:tc>
        <w:tc>
          <w:tcPr>
            <w:tcW w:w="1275" w:type="dxa"/>
            <w:tcBorders>
              <w:top w:val="nil"/>
              <w:left w:val="nil"/>
              <w:bottom w:val="nil"/>
              <w:right w:val="nil"/>
            </w:tcBorders>
            <w:shd w:val="clear" w:color="auto" w:fill="auto"/>
            <w:vAlign w:val="bottom"/>
          </w:tcPr>
          <w:p w14:paraId="24F7E95F" w14:textId="6E48C71C" w:rsidR="00C84B1A" w:rsidRPr="00BE2877" w:rsidRDefault="00C84B1A" w:rsidP="00C84B1A">
            <w:pPr>
              <w:spacing w:after="0"/>
              <w:rPr>
                <w:rFonts w:eastAsia="Times New Roman"/>
                <w:color w:val="000000"/>
                <w:sz w:val="18"/>
                <w:szCs w:val="18"/>
                <w:highlight w:val="yellow"/>
                <w:lang w:eastAsia="en-CA"/>
              </w:rPr>
            </w:pPr>
          </w:p>
        </w:tc>
        <w:tc>
          <w:tcPr>
            <w:tcW w:w="1134" w:type="dxa"/>
            <w:tcBorders>
              <w:top w:val="nil"/>
              <w:left w:val="nil"/>
              <w:bottom w:val="nil"/>
              <w:right w:val="nil"/>
            </w:tcBorders>
            <w:shd w:val="clear" w:color="auto" w:fill="auto"/>
            <w:vAlign w:val="bottom"/>
          </w:tcPr>
          <w:p w14:paraId="55C0B668" w14:textId="7C5F478C" w:rsidR="00C84B1A" w:rsidRPr="00BE2877" w:rsidRDefault="00C84B1A" w:rsidP="00C84B1A">
            <w:pPr>
              <w:spacing w:after="0"/>
              <w:rPr>
                <w:rFonts w:eastAsia="Times New Roman"/>
                <w:color w:val="000000"/>
                <w:sz w:val="18"/>
                <w:szCs w:val="18"/>
                <w:highlight w:val="yellow"/>
                <w:lang w:eastAsia="en-CA"/>
              </w:rPr>
            </w:pPr>
          </w:p>
        </w:tc>
        <w:tc>
          <w:tcPr>
            <w:tcW w:w="2127" w:type="dxa"/>
            <w:tcBorders>
              <w:top w:val="nil"/>
              <w:left w:val="nil"/>
              <w:bottom w:val="nil"/>
              <w:right w:val="nil"/>
            </w:tcBorders>
            <w:shd w:val="clear" w:color="auto" w:fill="auto"/>
            <w:vAlign w:val="bottom"/>
          </w:tcPr>
          <w:p w14:paraId="5D2285E7" w14:textId="7D8BEF11" w:rsidR="00C84B1A" w:rsidRPr="00BE2877" w:rsidRDefault="00C84B1A" w:rsidP="00C84B1A">
            <w:pPr>
              <w:spacing w:after="0"/>
              <w:rPr>
                <w:rFonts w:eastAsia="Times New Roman"/>
                <w:color w:val="000000"/>
                <w:sz w:val="18"/>
                <w:szCs w:val="18"/>
                <w:highlight w:val="yellow"/>
                <w:lang w:eastAsia="en-CA"/>
              </w:rPr>
            </w:pPr>
          </w:p>
        </w:tc>
        <w:tc>
          <w:tcPr>
            <w:tcW w:w="1198" w:type="dxa"/>
            <w:tcBorders>
              <w:top w:val="nil"/>
              <w:left w:val="nil"/>
              <w:bottom w:val="nil"/>
              <w:right w:val="nil"/>
            </w:tcBorders>
            <w:shd w:val="clear" w:color="auto" w:fill="auto"/>
            <w:vAlign w:val="bottom"/>
          </w:tcPr>
          <w:p w14:paraId="1077CBC2" w14:textId="0D908D5D" w:rsidR="00C84B1A" w:rsidRPr="00BE2877" w:rsidRDefault="00C84B1A" w:rsidP="00C84B1A">
            <w:pPr>
              <w:spacing w:after="0"/>
              <w:rPr>
                <w:rFonts w:eastAsia="Times New Roman"/>
                <w:color w:val="000000"/>
                <w:sz w:val="18"/>
                <w:szCs w:val="18"/>
                <w:highlight w:val="yellow"/>
                <w:lang w:eastAsia="en-CA"/>
              </w:rPr>
            </w:pPr>
          </w:p>
        </w:tc>
      </w:tr>
    </w:tbl>
    <w:p w14:paraId="0F66F699" w14:textId="3F46FCD0" w:rsidR="00887E21" w:rsidRPr="001E4536" w:rsidRDefault="00AE141F">
      <w:r w:rsidRPr="001E4536">
        <w:t xml:space="preserve"> </w:t>
      </w:r>
    </w:p>
    <w:p w14:paraId="75F9266A" w14:textId="307E3BE8" w:rsidR="00975D02" w:rsidRPr="001E4536" w:rsidRDefault="000541AD">
      <w:pPr>
        <w:rPr>
          <w:b/>
          <w:bCs/>
        </w:rPr>
      </w:pPr>
      <w:r w:rsidRPr="001E4536">
        <w:rPr>
          <w:b/>
          <w:bCs/>
        </w:rPr>
        <w:t>References:</w:t>
      </w:r>
    </w:p>
    <w:p w14:paraId="4975BAB6" w14:textId="0C23C25B" w:rsidR="00DD1F90" w:rsidRPr="00DD1F90" w:rsidRDefault="00EC694E" w:rsidP="00DD1F90">
      <w:pPr>
        <w:widowControl w:val="0"/>
        <w:autoSpaceDE w:val="0"/>
        <w:autoSpaceDN w:val="0"/>
        <w:adjustRightInd w:val="0"/>
        <w:spacing w:line="240" w:lineRule="auto"/>
        <w:ind w:left="640" w:hanging="640"/>
        <w:rPr>
          <w:noProof/>
        </w:rPr>
      </w:pPr>
      <w:r>
        <w:fldChar w:fldCharType="begin" w:fldLock="1"/>
      </w:r>
      <w:r>
        <w:instrText xml:space="preserve">ADDIN Mendeley Bibliography CSL_BIBLIOGRAPHY </w:instrText>
      </w:r>
      <w:r>
        <w:fldChar w:fldCharType="separate"/>
      </w:r>
      <w:r w:rsidR="00DD1F90" w:rsidRPr="00DD1F90">
        <w:rPr>
          <w:noProof/>
        </w:rPr>
        <w:t>[1]</w:t>
      </w:r>
      <w:r w:rsidR="00DD1F90" w:rsidRPr="00DD1F90">
        <w:rPr>
          <w:noProof/>
        </w:rPr>
        <w:tab/>
        <w:t>M. Trotter, R.R. Peterson, Ash weight of human skeletons in per cent of their dry, fat-free weight, Anat. Rec. 123 (1955) 341–358. https://doi.org/10.1002/ar.1091230308.</w:t>
      </w:r>
    </w:p>
    <w:p w14:paraId="4488B148"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[2]</w:t>
      </w:r>
      <w:r w:rsidRPr="00DD1F90">
        <w:rPr>
          <w:noProof/>
        </w:rPr>
        <w:tab/>
        <w:t>M. Trotter, B.B. Hixon, Sequential changes in weight, density, and percentage ash weight of human skeletons from an early fetal period through old age, Anat. Rec. 179 (1974) 1–18. https://doi.org/10.1002/ar.1091790102.</w:t>
      </w:r>
    </w:p>
    <w:p w14:paraId="4B05F6D7"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[3]</w:t>
      </w:r>
      <w:r w:rsidRPr="00DD1F90">
        <w:rPr>
          <w:noProof/>
        </w:rPr>
        <w:tab/>
        <w:t>C.D. Economos, M.E. Nelson, M.A. Fiatarone Singh, J.J. Kehayias, G.E. Dallal, S.B. Heymsfield, J. Wang, S. Yasumura, R. Ma, R.N. Pierson Jr, Bone Mineral Measurements: A Comparison of Delayed Gamma Neutron Activation, Dual-Energy X-ray Absorptiometry and Direct Chemical Analysis, Osteoporos. Int. 10 (1999) 200–206. https://doi.org/10.1007/s001980050216.</w:t>
      </w:r>
    </w:p>
    <w:p w14:paraId="3EDB6E39"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[4]</w:t>
      </w:r>
      <w:r w:rsidRPr="00DD1F90">
        <w:rPr>
          <w:noProof/>
        </w:rPr>
        <w:tab/>
        <w:t>M.F. Little, T.R. Dirksen, G. Schlueter, The Ca, P, Na, and Ash Content at Different Depths in Caries, J. Dent. Res. 44 (1965) 362–365. https://doi.org/10.1177/00220345650440020901.</w:t>
      </w:r>
    </w:p>
    <w:p w14:paraId="03204B90"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[5]</w:t>
      </w:r>
      <w:r w:rsidRPr="00DD1F90">
        <w:rPr>
          <w:noProof/>
        </w:rPr>
        <w:tab/>
        <w:t>S.Q. Alam, B.S. Alam, Effects of excess vitamin E on rat teeth, Calcif. Tissue Int. 33 (1981) 619–622. https://doi.org/10.1007/BF02409499.</w:t>
      </w:r>
    </w:p>
    <w:p w14:paraId="08FF9866"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[6]</w:t>
      </w:r>
      <w:r w:rsidRPr="00DD1F90">
        <w:rPr>
          <w:noProof/>
        </w:rPr>
        <w:tab/>
        <w:t>J.A. Brunton, H.S. Bayley, S.A. Atkinson, Validation and application of dual-energy x-ray absorptiometry to measure bone mass and body composition in small infants, Am. J. Clin. Nutr. 58 (1993) 839–845. https://doi.org/10.1093/ajcn/58.6.839.</w:t>
      </w:r>
    </w:p>
    <w:p w14:paraId="508646AA"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[7]</w:t>
      </w:r>
      <w:r w:rsidRPr="00DD1F90">
        <w:rPr>
          <w:noProof/>
        </w:rPr>
        <w:tab/>
        <w:t>M. Hammami, M.W.M. Koo, W.W.K. Koo, R.T. Thomas, D. Rakhman, Regional Bone Mass Measurement from Whole-Body Dual Energy X-Ray Absorptiometry Scan, J. Clin. Densitom. 4 (2001) 131–136. https://doi.org/10.1385/JCD:4:2:131.</w:t>
      </w:r>
    </w:p>
    <w:p w14:paraId="4A51CEC6"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[8]</w:t>
      </w:r>
      <w:r w:rsidRPr="00DD1F90">
        <w:rPr>
          <w:noProof/>
        </w:rPr>
        <w:tab/>
        <w:t>K.L. Waite, B.D. Nielsen, D.S. Rosenstein, Computed tomography as a method of estimating bone mineral content in horses, J. Equine Vet. Sci. 20 (2000) 49–52. https://doi.org/10.1016/S0737-0806(00)80321-4.</w:t>
      </w:r>
    </w:p>
    <w:p w14:paraId="3F76697B"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[9]</w:t>
      </w:r>
      <w:r w:rsidRPr="00DD1F90">
        <w:rPr>
          <w:noProof/>
        </w:rPr>
        <w:tab/>
        <w:t>S. Sathiyavimal, S. Vasantharaj, F. LewisOscar, A. Pugazhendhi, R. Subashkumar, Biosynthesis and characterization of hydroxyapatite and its composite (hydroxyapatite-gelatin-chitosan-fibrin-bone ash) for bone tissue engineering applications, Int. J. Biol. Macromol. 129 (2019) 844–852. https://doi.org/10.1016/J.IJBIOMAC.2019.02.058.</w:t>
      </w:r>
    </w:p>
    <w:p w14:paraId="3CB96E92"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[10]</w:t>
      </w:r>
      <w:r w:rsidRPr="00DD1F90">
        <w:rPr>
          <w:noProof/>
        </w:rPr>
        <w:tab/>
        <w:t>M. Malekzadeh, S. Abbasi-Rad, J.H. Keyak, M. Nabil, M. Asadi, N. Mobini, P. Naghdi, H. Emadi, H. Saligheh Rad, M.B. Shiran, Liquid Calibration Phantoms in Ultra-Low-Dose QCT for the Assessment of Bone Mineral Density, J. Clin. Densitom. 23 (2020) 108–116. https://doi.org/10.1016/j.jocd.2019.02.005.</w:t>
      </w:r>
    </w:p>
    <w:p w14:paraId="30D3BD8B"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[11]</w:t>
      </w:r>
      <w:r w:rsidRPr="00DD1F90">
        <w:rPr>
          <w:noProof/>
        </w:rPr>
        <w:tab/>
        <w:t>N.J. Siemon, E.W. Moodie, Reproducibility of specific gravity estimations on bone samples from different sites of cattle and sheep, Calcif. Tissue Res. 15 (1974) 181–188. https://doi.org/10.1007/BF02059055.</w:t>
      </w:r>
    </w:p>
    <w:p w14:paraId="461B438E"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[12]</w:t>
      </w:r>
      <w:r w:rsidRPr="00DD1F90">
        <w:rPr>
          <w:noProof/>
        </w:rPr>
        <w:tab/>
        <w:t>D. Benzie, A.W. Boyne, A.C. Dalgarno, J. Duckworth, R. Hill, D.M. Walker, Studies of the skeleton of the sheep I. The effect of different levels of dietary calcium during pregnancy and lactation on individual bones, J. Agric. Sci. 46 (1955) 425–440. https://doi.org/10.1017/S0021859600040491.</w:t>
      </w:r>
    </w:p>
    <w:p w14:paraId="1EFB720F"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[13]</w:t>
      </w:r>
      <w:r w:rsidRPr="00DD1F90">
        <w:rPr>
          <w:noProof/>
        </w:rPr>
        <w:tab/>
        <w:t>H. Libouban, M.-F. Moreau, E. Legrand, M.F. Baslé, M. Audran, D. Chappard, Comparison insight dual X-ray absorptiometry (DXA), histomorphometry, ash weight, and morphometric indices for bone evaluation in an animal model (the orchidectomized rat) of male osteoporosis, Calcif. Tissue Int. 68 (2001) 31–37. https://doi.org/10.1007/BF02685000.</w:t>
      </w:r>
    </w:p>
    <w:p w14:paraId="2F536A43"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[14]</w:t>
      </w:r>
      <w:r w:rsidRPr="00DD1F90">
        <w:rPr>
          <w:noProof/>
        </w:rPr>
        <w:tab/>
        <w:t>J.B. Edward, R.A. Benfer, J.S. Morris, The effects of dry ashing on the composition of human and animal bone, Biol. Trace Elem. Res. 25 (1990) 219–231. https://doi.org/10.1007/BF02990417.</w:t>
      </w:r>
    </w:p>
    <w:p w14:paraId="2E206AC0"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[15]</w:t>
      </w:r>
      <w:r w:rsidRPr="00DD1F90">
        <w:rPr>
          <w:noProof/>
        </w:rPr>
        <w:tab/>
        <w:t>P. Hirsch, J. Hagaman, Reduced bone mass in calcitonin-deficient rats whether lactating or not, J. Bone Miner. Res. 1 (1986) 199–206. https://doi.org/10.1002/JBMR.5650010206.</w:t>
      </w:r>
    </w:p>
    <w:p w14:paraId="2CAC1C7F"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[16]</w:t>
      </w:r>
      <w:r w:rsidRPr="00DD1F90">
        <w:rPr>
          <w:noProof/>
        </w:rPr>
        <w:tab/>
        <w:t>B.P. Hallora, H.F. Deluca, Skeletal Changes during Pregnancy and Lactation: The Role of Vitamin D, Endocrinology. 107 (1980) 1923–1929. https://doi.org/10.1210/ENDO-107-6-1923.</w:t>
      </w:r>
    </w:p>
    <w:p w14:paraId="61CDF852"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[17]</w:t>
      </w:r>
      <w:r w:rsidRPr="00DD1F90">
        <w:rPr>
          <w:noProof/>
        </w:rPr>
        <w:tab/>
        <w:t>P. Marie, L. Cancela, N. Le Boulch, L. Miravet, Bone changes due to pregnancy and lactation: influence of vitamin D status, Am. J. Physiol. 251 (1986). https://doi.org/10.1152/AJPENDO.1986.251.4.E400.</w:t>
      </w:r>
    </w:p>
    <w:p w14:paraId="35BC46DE"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[18]</w:t>
      </w:r>
      <w:r w:rsidRPr="00DD1F90">
        <w:rPr>
          <w:noProof/>
        </w:rPr>
        <w:tab/>
        <w:t>G.M. Kiebzak, M.H. Meyer, R.A. Meyer, Evaluation of Lunar Small Animal Software for Measuring Bone Mineral Content in Excised Rat Bones, J. Clin. Densitom. 2 (1999) 17–21. https://doi.org/10.1385/JCD:2:1:17.</w:t>
      </w:r>
    </w:p>
    <w:p w14:paraId="12F78DC4" w14:textId="77777777" w:rsidR="00DD1F90" w:rsidRPr="00DD1F90" w:rsidRDefault="00DD1F90" w:rsidP="00DD1F90">
      <w:pPr>
        <w:widowControl w:val="0"/>
        <w:autoSpaceDE w:val="0"/>
        <w:autoSpaceDN w:val="0"/>
        <w:adjustRightInd w:val="0"/>
        <w:spacing w:line="240" w:lineRule="auto"/>
        <w:ind w:left="640" w:hanging="640"/>
        <w:rPr>
          <w:noProof/>
        </w:rPr>
      </w:pPr>
      <w:r w:rsidRPr="00DD1F90">
        <w:rPr>
          <w:noProof/>
        </w:rPr>
        <w:t>[19]</w:t>
      </w:r>
      <w:r w:rsidRPr="00DD1F90">
        <w:rPr>
          <w:noProof/>
        </w:rPr>
        <w:tab/>
        <w:t>S. Miller, J. Shupe, E. Redd, M. Miller, T. Omura, Changes in bone mineral and bone formation rates during pregnancy and lactation in rats, Bone. 7 (1986) 283–287. https://doi.org/10.1016/8756-3282(86)90209-7.</w:t>
      </w:r>
    </w:p>
    <w:p w14:paraId="3E0646E2" w14:textId="65AED4E0" w:rsidR="00DD1F90" w:rsidRPr="00DD1F90" w:rsidRDefault="00DD1F90" w:rsidP="00DD1F90">
      <w:pPr>
        <w:widowControl w:val="0"/>
        <w:autoSpaceDE w:val="0"/>
        <w:autoSpaceDN w:val="0"/>
        <w:adjustRightInd w:val="0"/>
        <w:spacing w:line="240" w:lineRule="auto"/>
        <w:ind w:left="640" w:hanging="640"/>
        <w:rPr>
          <w:noProof/>
        </w:rPr>
      </w:pPr>
    </w:p>
    <w:p w14:paraId="79DCF57C" w14:textId="4C7CAABC" w:rsidR="00DD1F90" w:rsidRPr="00DD1F90" w:rsidRDefault="00DD1F90" w:rsidP="00DD1F90">
      <w:pPr>
        <w:widowControl w:val="0"/>
        <w:autoSpaceDE w:val="0"/>
        <w:autoSpaceDN w:val="0"/>
        <w:adjustRightInd w:val="0"/>
        <w:spacing w:line="240" w:lineRule="auto"/>
        <w:ind w:left="640" w:hanging="640"/>
        <w:rPr>
          <w:noProof/>
        </w:rPr>
      </w:pPr>
    </w:p>
    <w:p w14:paraId="1ED0243A" w14:textId="47365120" w:rsidR="00512F79" w:rsidRDefault="00EC694E" w:rsidP="007951E3">
      <w:r>
        <w:fldChar w:fldCharType="end"/>
      </w:r>
    </w:p>
    <w:p w14:paraId="58CA8CFE" w14:textId="77777777" w:rsidR="00512F79" w:rsidRDefault="00512F79" w:rsidP="007951E3"/>
    <w:sectPr w:rsidR="00512F79" w:rsidSect="00C84B1A">
      <w:pgSz w:w="15840" w:h="12240" w:orient="landscape"/>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5B7D816" w14:textId="77777777" w:rsidR="004B67BE" w:rsidRDefault="004B67BE" w:rsidP="00585E97">
      <w:pPr>
        <w:spacing w:after="0" w:line="240" w:lineRule="auto"/>
      </w:pPr>
      <w:r>
        <w:separator/>
      </w:r>
    </w:p>
  </w:endnote>
  <w:endnote w:type="continuationSeparator" w:id="0">
    <w:p w14:paraId="53507D75" w14:textId="77777777" w:rsidR="004B67BE" w:rsidRDefault="004B67BE" w:rsidP="00585E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B0A595" w14:textId="77777777" w:rsidR="004B67BE" w:rsidRDefault="004B67BE" w:rsidP="00585E97">
      <w:pPr>
        <w:spacing w:after="0" w:line="240" w:lineRule="auto"/>
      </w:pPr>
      <w:r>
        <w:separator/>
      </w:r>
    </w:p>
  </w:footnote>
  <w:footnote w:type="continuationSeparator" w:id="0">
    <w:p w14:paraId="6F23F683" w14:textId="77777777" w:rsidR="004B67BE" w:rsidRDefault="004B67BE" w:rsidP="00585E9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savePreviewPicture/>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5E97"/>
    <w:rsid w:val="00014B2D"/>
    <w:rsid w:val="00020D9E"/>
    <w:rsid w:val="00031E9C"/>
    <w:rsid w:val="00037727"/>
    <w:rsid w:val="00043B7D"/>
    <w:rsid w:val="000541AD"/>
    <w:rsid w:val="00093D76"/>
    <w:rsid w:val="000A2CEF"/>
    <w:rsid w:val="000B0566"/>
    <w:rsid w:val="000E477A"/>
    <w:rsid w:val="00100043"/>
    <w:rsid w:val="001850A1"/>
    <w:rsid w:val="001B018E"/>
    <w:rsid w:val="001D2688"/>
    <w:rsid w:val="001E4536"/>
    <w:rsid w:val="002247F6"/>
    <w:rsid w:val="00227BF2"/>
    <w:rsid w:val="00246C24"/>
    <w:rsid w:val="00261419"/>
    <w:rsid w:val="00273FE9"/>
    <w:rsid w:val="002A08DB"/>
    <w:rsid w:val="002A36DD"/>
    <w:rsid w:val="002B5A4F"/>
    <w:rsid w:val="002B658E"/>
    <w:rsid w:val="00384DC7"/>
    <w:rsid w:val="00393811"/>
    <w:rsid w:val="003C1462"/>
    <w:rsid w:val="003E58F4"/>
    <w:rsid w:val="0044375D"/>
    <w:rsid w:val="004A1800"/>
    <w:rsid w:val="004A32D9"/>
    <w:rsid w:val="004B3977"/>
    <w:rsid w:val="004B67BE"/>
    <w:rsid w:val="004F3691"/>
    <w:rsid w:val="004F3CA4"/>
    <w:rsid w:val="00512F79"/>
    <w:rsid w:val="00515554"/>
    <w:rsid w:val="0052552B"/>
    <w:rsid w:val="00526606"/>
    <w:rsid w:val="005452F8"/>
    <w:rsid w:val="005519E4"/>
    <w:rsid w:val="00556FAB"/>
    <w:rsid w:val="005639BF"/>
    <w:rsid w:val="00585E97"/>
    <w:rsid w:val="005953BA"/>
    <w:rsid w:val="00651FC6"/>
    <w:rsid w:val="006A3127"/>
    <w:rsid w:val="006A4F18"/>
    <w:rsid w:val="006B47B7"/>
    <w:rsid w:val="006E1F24"/>
    <w:rsid w:val="006E3472"/>
    <w:rsid w:val="006E42D7"/>
    <w:rsid w:val="006F2457"/>
    <w:rsid w:val="007459FC"/>
    <w:rsid w:val="007562ED"/>
    <w:rsid w:val="00762B26"/>
    <w:rsid w:val="00790A4A"/>
    <w:rsid w:val="007951E3"/>
    <w:rsid w:val="007A4CCB"/>
    <w:rsid w:val="007D50A9"/>
    <w:rsid w:val="007E0F7B"/>
    <w:rsid w:val="007E3CA7"/>
    <w:rsid w:val="007F25FD"/>
    <w:rsid w:val="0081520E"/>
    <w:rsid w:val="00844514"/>
    <w:rsid w:val="0085793D"/>
    <w:rsid w:val="00887E21"/>
    <w:rsid w:val="00894A29"/>
    <w:rsid w:val="008A1662"/>
    <w:rsid w:val="008D1F05"/>
    <w:rsid w:val="00914FF4"/>
    <w:rsid w:val="00952C0F"/>
    <w:rsid w:val="009539B4"/>
    <w:rsid w:val="00970BEF"/>
    <w:rsid w:val="00975D02"/>
    <w:rsid w:val="00997161"/>
    <w:rsid w:val="009A58EE"/>
    <w:rsid w:val="009A59FC"/>
    <w:rsid w:val="009C4483"/>
    <w:rsid w:val="009D72AB"/>
    <w:rsid w:val="009E03E3"/>
    <w:rsid w:val="00A009C3"/>
    <w:rsid w:val="00A0672B"/>
    <w:rsid w:val="00A1042B"/>
    <w:rsid w:val="00A613D4"/>
    <w:rsid w:val="00A70510"/>
    <w:rsid w:val="00AA67D6"/>
    <w:rsid w:val="00AA7F3B"/>
    <w:rsid w:val="00AE141F"/>
    <w:rsid w:val="00AE318C"/>
    <w:rsid w:val="00AF0FBE"/>
    <w:rsid w:val="00B12058"/>
    <w:rsid w:val="00B339D6"/>
    <w:rsid w:val="00B44170"/>
    <w:rsid w:val="00B54B71"/>
    <w:rsid w:val="00B7572E"/>
    <w:rsid w:val="00B76C88"/>
    <w:rsid w:val="00BB135A"/>
    <w:rsid w:val="00BD2094"/>
    <w:rsid w:val="00BE2877"/>
    <w:rsid w:val="00C11A9A"/>
    <w:rsid w:val="00C27111"/>
    <w:rsid w:val="00C50A5B"/>
    <w:rsid w:val="00C751F6"/>
    <w:rsid w:val="00C75336"/>
    <w:rsid w:val="00C84B1A"/>
    <w:rsid w:val="00CA52C4"/>
    <w:rsid w:val="00CF0B4E"/>
    <w:rsid w:val="00CF734D"/>
    <w:rsid w:val="00D018AF"/>
    <w:rsid w:val="00D02D29"/>
    <w:rsid w:val="00D809D8"/>
    <w:rsid w:val="00D83AA2"/>
    <w:rsid w:val="00D84CE8"/>
    <w:rsid w:val="00DA6580"/>
    <w:rsid w:val="00DD1F90"/>
    <w:rsid w:val="00DE1774"/>
    <w:rsid w:val="00E147A7"/>
    <w:rsid w:val="00E33197"/>
    <w:rsid w:val="00E62706"/>
    <w:rsid w:val="00E636B0"/>
    <w:rsid w:val="00E63A7E"/>
    <w:rsid w:val="00E87277"/>
    <w:rsid w:val="00EC694E"/>
    <w:rsid w:val="00EC74FB"/>
    <w:rsid w:val="00EF346E"/>
    <w:rsid w:val="00F07E1E"/>
    <w:rsid w:val="00F24BF2"/>
    <w:rsid w:val="00F2690D"/>
    <w:rsid w:val="00F37E5D"/>
    <w:rsid w:val="00F669FA"/>
    <w:rsid w:val="00F77049"/>
    <w:rsid w:val="00FA55F9"/>
    <w:rsid w:val="00FE5801"/>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6D74E8F"/>
  <w15:chartTrackingRefBased/>
  <w15:docId w15:val="{477BCEAC-39CC-4D50-A68C-D7C9CCD2F7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318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85E97"/>
    <w:pPr>
      <w:tabs>
        <w:tab w:val="center" w:pos="4680"/>
        <w:tab w:val="right" w:pos="9360"/>
      </w:tabs>
      <w:spacing w:after="0" w:line="240" w:lineRule="auto"/>
    </w:pPr>
  </w:style>
  <w:style w:type="character" w:customStyle="1" w:styleId="HeaderChar">
    <w:name w:val="Header Char"/>
    <w:basedOn w:val="DefaultParagraphFont"/>
    <w:link w:val="Header"/>
    <w:uiPriority w:val="99"/>
    <w:rsid w:val="00585E97"/>
  </w:style>
  <w:style w:type="paragraph" w:styleId="Footer">
    <w:name w:val="footer"/>
    <w:basedOn w:val="Normal"/>
    <w:link w:val="FooterChar"/>
    <w:uiPriority w:val="99"/>
    <w:unhideWhenUsed/>
    <w:rsid w:val="00585E97"/>
    <w:pPr>
      <w:tabs>
        <w:tab w:val="center" w:pos="4680"/>
        <w:tab w:val="right" w:pos="9360"/>
      </w:tabs>
      <w:spacing w:after="0" w:line="240" w:lineRule="auto"/>
    </w:pPr>
  </w:style>
  <w:style w:type="character" w:customStyle="1" w:styleId="FooterChar">
    <w:name w:val="Footer Char"/>
    <w:basedOn w:val="DefaultParagraphFont"/>
    <w:link w:val="Footer"/>
    <w:uiPriority w:val="99"/>
    <w:rsid w:val="00585E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75905420">
      <w:bodyDiv w:val="1"/>
      <w:marLeft w:val="0"/>
      <w:marRight w:val="0"/>
      <w:marTop w:val="0"/>
      <w:marBottom w:val="0"/>
      <w:divBdr>
        <w:top w:val="none" w:sz="0" w:space="0" w:color="auto"/>
        <w:left w:val="none" w:sz="0" w:space="0" w:color="auto"/>
        <w:bottom w:val="none" w:sz="0" w:space="0" w:color="auto"/>
        <w:right w:val="none" w:sz="0" w:space="0" w:color="auto"/>
      </w:divBdr>
    </w:div>
    <w:div w:id="1089471587">
      <w:bodyDiv w:val="1"/>
      <w:marLeft w:val="0"/>
      <w:marRight w:val="0"/>
      <w:marTop w:val="0"/>
      <w:marBottom w:val="0"/>
      <w:divBdr>
        <w:top w:val="none" w:sz="0" w:space="0" w:color="auto"/>
        <w:left w:val="none" w:sz="0" w:space="0" w:color="auto"/>
        <w:bottom w:val="none" w:sz="0" w:space="0" w:color="auto"/>
        <w:right w:val="none" w:sz="0" w:space="0" w:color="auto"/>
      </w:divBdr>
    </w:div>
    <w:div w:id="1494644476">
      <w:bodyDiv w:val="1"/>
      <w:marLeft w:val="0"/>
      <w:marRight w:val="0"/>
      <w:marTop w:val="0"/>
      <w:marBottom w:val="0"/>
      <w:divBdr>
        <w:top w:val="none" w:sz="0" w:space="0" w:color="auto"/>
        <w:left w:val="none" w:sz="0" w:space="0" w:color="auto"/>
        <w:bottom w:val="none" w:sz="0" w:space="0" w:color="auto"/>
        <w:right w:val="none" w:sz="0" w:space="0" w:color="auto"/>
      </w:divBdr>
    </w:div>
    <w:div w:id="1621911418">
      <w:bodyDiv w:val="1"/>
      <w:marLeft w:val="0"/>
      <w:marRight w:val="0"/>
      <w:marTop w:val="0"/>
      <w:marBottom w:val="0"/>
      <w:divBdr>
        <w:top w:val="none" w:sz="0" w:space="0" w:color="auto"/>
        <w:left w:val="none" w:sz="0" w:space="0" w:color="auto"/>
        <w:bottom w:val="none" w:sz="0" w:space="0" w:color="auto"/>
        <w:right w:val="none" w:sz="0" w:space="0" w:color="auto"/>
      </w:divBdr>
    </w:div>
    <w:div w:id="1666855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C8622C1-1863-4CB9-903C-85728E56E1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7471</Words>
  <Characters>42590</Characters>
  <Application>Microsoft Office Word</Application>
  <DocSecurity>0</DocSecurity>
  <Lines>354</Lines>
  <Paragraphs>99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49962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Schwarcz, Henry</dc:creator>
  <cp:keywords/>
  <dc:description/>
  <cp:lastModifiedBy>H P Schwarcz</cp:lastModifiedBy>
  <cp:revision>3</cp:revision>
  <dcterms:created xsi:type="dcterms:W3CDTF">2021-10-04T10:30:00Z</dcterms:created>
  <dcterms:modified xsi:type="dcterms:W3CDTF">2021-10-04T14:25:00Z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nique User Id_1">
    <vt:lpwstr>9aa05f1c-b0a8-3b30-ba71-eca259b4df32</vt:lpwstr>
  </property>
  <property fmtid="{D5CDD505-2E9C-101B-9397-08002B2CF9AE}" pid="4" name="Mendeley Citation Style_1">
    <vt:lpwstr>http://www.zotero.org/styles/elsevier-with-titles</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7th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http://www.zotero.org/styles/cells</vt:lpwstr>
  </property>
  <property fmtid="{D5CDD505-2E9C-101B-9397-08002B2CF9AE}" pid="14" name="Mendeley Recent Style Name 4_1">
    <vt:lpwstr>Cells</vt:lpwstr>
  </property>
  <property fmtid="{D5CDD505-2E9C-101B-9397-08002B2CF9AE}" pid="15" name="Mendeley Recent Style Id 5_1">
    <vt:lpwstr>http://www.zotero.org/styles/chicago-author-date</vt:lpwstr>
  </property>
  <property fmtid="{D5CDD505-2E9C-101B-9397-08002B2CF9AE}" pid="16" name="Mendeley Recent Style Name 5_1">
    <vt:lpwstr>Chicago Manual of Style 17th edition (author-date)</vt:lpwstr>
  </property>
  <property fmtid="{D5CDD505-2E9C-101B-9397-08002B2CF9AE}" pid="17" name="Mendeley Recent Style Id 6_1">
    <vt:lpwstr>http://www.zotero.org/styles/elsevier-with-titles</vt:lpwstr>
  </property>
  <property fmtid="{D5CDD505-2E9C-101B-9397-08002B2CF9AE}" pid="18" name="Mendeley Recent Style Name 6_1">
    <vt:lpwstr>Elsevier (numeric, with titles)</vt:lpwstr>
  </property>
  <property fmtid="{D5CDD505-2E9C-101B-9397-08002B2CF9AE}" pid="19" name="Mendeley Recent Style Id 7_1">
    <vt:lpwstr>http://www.zotero.org/styles/harvard1</vt:lpwstr>
  </property>
  <property fmtid="{D5CDD505-2E9C-101B-9397-08002B2CF9AE}" pid="20" name="Mendeley Recent Style Name 7_1">
    <vt:lpwstr>Harvard reference format 1 (deprecated)</vt:lpwstr>
  </property>
  <property fmtid="{D5CDD505-2E9C-101B-9397-08002B2CF9AE}" pid="21" name="Mendeley Recent Style Id 8_1">
    <vt:lpwstr>http://www.zotero.org/styles/ieee</vt:lpwstr>
  </property>
  <property fmtid="{D5CDD505-2E9C-101B-9397-08002B2CF9AE}" pid="22" name="Mendeley Recent Style Name 8_1">
    <vt:lpwstr>IEEE</vt:lpwstr>
  </property>
  <property fmtid="{D5CDD505-2E9C-101B-9397-08002B2CF9AE}" pid="23" name="Mendeley Recent Style Id 9_1">
    <vt:lpwstr>http://www.zotero.org/styles/the-neuroscientist</vt:lpwstr>
  </property>
  <property fmtid="{D5CDD505-2E9C-101B-9397-08002B2CF9AE}" pid="24" name="Mendeley Recent Style Name 9_1">
    <vt:lpwstr>The Neuroscientist</vt:lpwstr>
  </property>
</Properties>
</file>