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D0614" w14:textId="77777777" w:rsidR="00CA10D2" w:rsidRPr="00CA10D2" w:rsidRDefault="00CA10D2" w:rsidP="00CA10D2">
      <w:pPr>
        <w:spacing w:line="480" w:lineRule="auto"/>
        <w:rPr>
          <w:b/>
        </w:rPr>
      </w:pPr>
      <w:r w:rsidRPr="00CA10D2">
        <w:rPr>
          <w:b/>
        </w:rPr>
        <w:t>Supplementary Information</w:t>
      </w:r>
    </w:p>
    <w:p w14:paraId="30AC71BC" w14:textId="77777777" w:rsidR="00F0776B" w:rsidRDefault="00F0776B" w:rsidP="004256D7">
      <w:pPr>
        <w:spacing w:line="480" w:lineRule="auto"/>
        <w:jc w:val="center"/>
        <w:rPr>
          <w:b/>
          <w:sz w:val="32"/>
        </w:rPr>
      </w:pPr>
      <w:bookmarkStart w:id="0" w:name="_Hlk207385246"/>
      <w:r w:rsidRPr="00F0776B">
        <w:rPr>
          <w:b/>
          <w:sz w:val="32"/>
        </w:rPr>
        <w:t>Process-based quantification of accumulation and interaction-driven synergistic risks of microplastics and heavy metals in freshwater sediments</w:t>
      </w:r>
    </w:p>
    <w:p w14:paraId="0E0BB8B7" w14:textId="3FA17904" w:rsidR="004256D7" w:rsidRPr="00790E78" w:rsidRDefault="004256D7" w:rsidP="004256D7">
      <w:pPr>
        <w:spacing w:line="480" w:lineRule="auto"/>
        <w:jc w:val="center"/>
      </w:pPr>
      <w:bookmarkStart w:id="1" w:name="_GoBack"/>
      <w:bookmarkEnd w:id="1"/>
      <w:r>
        <w:t>Beibei He</w:t>
      </w:r>
      <w:r w:rsidRPr="00510F42">
        <w:rPr>
          <w:vertAlign w:val="superscript"/>
        </w:rPr>
        <w:t>1</w:t>
      </w:r>
      <w:r>
        <w:rPr>
          <w:rFonts w:hint="eastAsia"/>
          <w:vertAlign w:val="superscript"/>
        </w:rPr>
        <w:t>,</w:t>
      </w:r>
      <w:r>
        <w:rPr>
          <w:vertAlign w:val="superscript"/>
        </w:rPr>
        <w:t>*</w:t>
      </w:r>
      <w:r>
        <w:t>, Yan Ji</w:t>
      </w:r>
      <w:r w:rsidRPr="00510F42">
        <w:rPr>
          <w:vertAlign w:val="superscript"/>
        </w:rPr>
        <w:t>1</w:t>
      </w:r>
      <w:r>
        <w:t xml:space="preserve">, </w:t>
      </w:r>
      <w:proofErr w:type="spellStart"/>
      <w:r>
        <w:t>Jiawen</w:t>
      </w:r>
      <w:proofErr w:type="spellEnd"/>
      <w:r>
        <w:t xml:space="preserve"> Guo</w:t>
      </w:r>
      <w:r w:rsidRPr="00510F42">
        <w:rPr>
          <w:vertAlign w:val="superscript"/>
        </w:rPr>
        <w:t>1</w:t>
      </w:r>
      <w:r>
        <w:t>, Godwin Ayoko</w:t>
      </w:r>
      <w:r>
        <w:rPr>
          <w:vertAlign w:val="superscript"/>
        </w:rPr>
        <w:t>2</w:t>
      </w:r>
      <w:r>
        <w:t>, James McGree</w:t>
      </w:r>
      <w:r>
        <w:rPr>
          <w:vertAlign w:val="superscript"/>
        </w:rPr>
        <w:t>3</w:t>
      </w:r>
      <w:r>
        <w:t xml:space="preserve">, Raymond </w:t>
      </w:r>
      <w:proofErr w:type="spellStart"/>
      <w:r>
        <w:t>Jianxiong</w:t>
      </w:r>
      <w:proofErr w:type="spellEnd"/>
      <w:r>
        <w:t xml:space="preserve"> Zeng</w:t>
      </w:r>
      <w:r w:rsidRPr="00510F42">
        <w:rPr>
          <w:vertAlign w:val="superscript"/>
        </w:rPr>
        <w:t>1,</w:t>
      </w:r>
      <w:r>
        <w:t>*</w:t>
      </w:r>
      <w:r w:rsidRPr="00E8184A">
        <w:t xml:space="preserve"> </w:t>
      </w:r>
      <w:proofErr w:type="spellStart"/>
      <w:r>
        <w:t>Ashantha</w:t>
      </w:r>
      <w:proofErr w:type="spellEnd"/>
      <w:r>
        <w:t xml:space="preserve"> G</w:t>
      </w:r>
      <w:r w:rsidRPr="00937E5C">
        <w:t>oonetilleke</w:t>
      </w:r>
      <w:r w:rsidRPr="00C14F38">
        <w:rPr>
          <w:vertAlign w:val="superscript"/>
        </w:rPr>
        <w:t>1,</w:t>
      </w:r>
      <w:r>
        <w:rPr>
          <w:vertAlign w:val="superscript"/>
        </w:rPr>
        <w:t>4</w:t>
      </w:r>
    </w:p>
    <w:p w14:paraId="72BA0165" w14:textId="77777777" w:rsidR="004256D7" w:rsidRDefault="004256D7" w:rsidP="004256D7">
      <w:pPr>
        <w:spacing w:line="480" w:lineRule="auto"/>
        <w:ind w:left="1418" w:hanging="1418"/>
        <w:jc w:val="both"/>
        <w:rPr>
          <w:b/>
        </w:rPr>
      </w:pPr>
    </w:p>
    <w:p w14:paraId="64D47361" w14:textId="77777777" w:rsidR="004256D7" w:rsidRPr="00D43A2F" w:rsidRDefault="004256D7" w:rsidP="004256D7">
      <w:pPr>
        <w:spacing w:after="240" w:line="480" w:lineRule="auto"/>
        <w:jc w:val="center"/>
        <w:rPr>
          <w:rFonts w:cs="Times New Roman"/>
          <w:bCs/>
          <w:szCs w:val="24"/>
        </w:rPr>
      </w:pPr>
      <w:r w:rsidRPr="00D43A2F">
        <w:rPr>
          <w:rFonts w:cs="Times New Roman"/>
          <w:bCs/>
          <w:szCs w:val="24"/>
          <w:vertAlign w:val="superscript"/>
        </w:rPr>
        <w:t>1</w:t>
      </w:r>
      <w:r>
        <w:rPr>
          <w:rFonts w:cs="Times New Roman"/>
          <w:bCs/>
          <w:szCs w:val="24"/>
        </w:rPr>
        <w:t xml:space="preserve"> </w:t>
      </w:r>
      <w:r w:rsidRPr="00D43A2F">
        <w:rPr>
          <w:rFonts w:cs="Times New Roman"/>
          <w:bCs/>
          <w:szCs w:val="24"/>
        </w:rPr>
        <w:t>Centre of Wastewater Resource Reuse, College of Resources and Environment, Fujian Agriculture and Forestry University, Fuzhou, Fujian 350002, China</w:t>
      </w:r>
      <w:r>
        <w:rPr>
          <w:rFonts w:cs="Times New Roman"/>
          <w:bCs/>
          <w:szCs w:val="24"/>
        </w:rPr>
        <w:t>.</w:t>
      </w:r>
    </w:p>
    <w:p w14:paraId="455B3B76" w14:textId="77777777" w:rsidR="004256D7" w:rsidRDefault="004256D7" w:rsidP="004256D7">
      <w:pPr>
        <w:spacing w:after="240" w:line="480" w:lineRule="auto"/>
        <w:jc w:val="center"/>
        <w:rPr>
          <w:rFonts w:cs="Times New Roman"/>
          <w:szCs w:val="24"/>
        </w:rPr>
      </w:pPr>
      <w:r>
        <w:rPr>
          <w:rFonts w:cs="Times New Roman"/>
          <w:szCs w:val="24"/>
          <w:vertAlign w:val="superscript"/>
        </w:rPr>
        <w:t>2</w:t>
      </w:r>
      <w:r>
        <w:rPr>
          <w:rFonts w:cs="Times New Roman"/>
          <w:szCs w:val="24"/>
        </w:rPr>
        <w:t xml:space="preserve"> Faculty of Science, School of </w:t>
      </w:r>
      <w:r w:rsidRPr="00E536F1">
        <w:rPr>
          <w:rFonts w:cs="Times New Roman"/>
          <w:bCs/>
          <w:szCs w:val="24"/>
        </w:rPr>
        <w:t xml:space="preserve">Chemistry </w:t>
      </w:r>
      <w:r>
        <w:rPr>
          <w:rFonts w:cs="Times New Roman"/>
          <w:bCs/>
          <w:szCs w:val="24"/>
        </w:rPr>
        <w:t>and</w:t>
      </w:r>
      <w:r w:rsidRPr="00E536F1">
        <w:rPr>
          <w:rFonts w:cs="Times New Roman"/>
          <w:bCs/>
          <w:szCs w:val="24"/>
        </w:rPr>
        <w:t xml:space="preserve"> Physics</w:t>
      </w:r>
      <w:r>
        <w:rPr>
          <w:rFonts w:cs="Times New Roman"/>
          <w:szCs w:val="24"/>
        </w:rPr>
        <w:t>, Queensland University of Technology (QUT), P.O. Box 2434, Brisbane, Qld 4001, Australia.</w:t>
      </w:r>
    </w:p>
    <w:p w14:paraId="5804F4EF" w14:textId="77777777" w:rsidR="004256D7" w:rsidRDefault="004256D7" w:rsidP="004256D7">
      <w:pPr>
        <w:spacing w:after="240" w:line="480" w:lineRule="auto"/>
        <w:jc w:val="center"/>
        <w:rPr>
          <w:rFonts w:cs="Times New Roman"/>
          <w:szCs w:val="24"/>
        </w:rPr>
      </w:pPr>
      <w:r>
        <w:rPr>
          <w:rFonts w:cs="Times New Roman"/>
          <w:szCs w:val="24"/>
          <w:vertAlign w:val="superscript"/>
        </w:rPr>
        <w:t>3</w:t>
      </w:r>
      <w:r>
        <w:rPr>
          <w:rFonts w:cs="Times New Roman"/>
          <w:szCs w:val="24"/>
        </w:rPr>
        <w:t xml:space="preserve"> Faculty of Science, School of </w:t>
      </w:r>
      <w:r w:rsidRPr="000C3804">
        <w:rPr>
          <w:rFonts w:cs="Times New Roman"/>
          <w:bCs/>
          <w:szCs w:val="24"/>
        </w:rPr>
        <w:t>Mathematical</w:t>
      </w:r>
      <w:r w:rsidRPr="00B33CD9">
        <w:rPr>
          <w:rFonts w:cs="Times New Roman"/>
          <w:szCs w:val="24"/>
        </w:rPr>
        <w:t xml:space="preserve"> Sciences</w:t>
      </w:r>
      <w:r>
        <w:rPr>
          <w:rFonts w:cs="Times New Roman"/>
          <w:szCs w:val="24"/>
        </w:rPr>
        <w:t>, Queensland University of Technology (QUT), P.O. Box 2434, Brisbane, Qld 4001, Australia.</w:t>
      </w:r>
    </w:p>
    <w:p w14:paraId="51355136" w14:textId="77777777" w:rsidR="004256D7" w:rsidRDefault="004256D7" w:rsidP="004256D7">
      <w:pPr>
        <w:spacing w:after="240" w:line="480" w:lineRule="auto"/>
        <w:jc w:val="center"/>
        <w:rPr>
          <w:rFonts w:cs="Times New Roman"/>
          <w:szCs w:val="24"/>
        </w:rPr>
      </w:pPr>
      <w:r>
        <w:rPr>
          <w:rFonts w:cs="Times New Roman"/>
          <w:szCs w:val="24"/>
          <w:vertAlign w:val="superscript"/>
        </w:rPr>
        <w:t>4</w:t>
      </w:r>
      <w:r>
        <w:rPr>
          <w:rFonts w:cs="Times New Roman"/>
          <w:szCs w:val="24"/>
        </w:rPr>
        <w:t xml:space="preserve"> </w:t>
      </w:r>
      <w:r w:rsidRPr="00301B70">
        <w:rPr>
          <w:rFonts w:cs="Times New Roman"/>
          <w:szCs w:val="24"/>
        </w:rPr>
        <w:t xml:space="preserve">Department of Civil Engineering, Birla Institute of Technology and Science, </w:t>
      </w:r>
      <w:proofErr w:type="spellStart"/>
      <w:r w:rsidRPr="00301B70">
        <w:rPr>
          <w:rFonts w:cs="Times New Roman"/>
          <w:szCs w:val="24"/>
        </w:rPr>
        <w:t>Pilani</w:t>
      </w:r>
      <w:proofErr w:type="spellEnd"/>
      <w:r w:rsidRPr="00301B70">
        <w:rPr>
          <w:rFonts w:cs="Times New Roman"/>
          <w:szCs w:val="24"/>
        </w:rPr>
        <w:t xml:space="preserve"> Campus, Vidya </w:t>
      </w:r>
      <w:proofErr w:type="spellStart"/>
      <w:r w:rsidRPr="00301B70">
        <w:rPr>
          <w:rFonts w:cs="Times New Roman"/>
          <w:szCs w:val="24"/>
        </w:rPr>
        <w:t>Vihar</w:t>
      </w:r>
      <w:proofErr w:type="spellEnd"/>
      <w:r w:rsidRPr="00301B70">
        <w:rPr>
          <w:rFonts w:cs="Times New Roman"/>
          <w:szCs w:val="24"/>
        </w:rPr>
        <w:t xml:space="preserve">, </w:t>
      </w:r>
      <w:proofErr w:type="spellStart"/>
      <w:r w:rsidRPr="00301B70">
        <w:rPr>
          <w:rFonts w:cs="Times New Roman"/>
          <w:szCs w:val="24"/>
        </w:rPr>
        <w:t>Pilani</w:t>
      </w:r>
      <w:proofErr w:type="spellEnd"/>
      <w:r w:rsidRPr="00301B70">
        <w:rPr>
          <w:rFonts w:cs="Times New Roman"/>
          <w:szCs w:val="24"/>
        </w:rPr>
        <w:t>, Rajasthan 333031, India</w:t>
      </w:r>
      <w:r>
        <w:rPr>
          <w:rFonts w:cs="Times New Roman"/>
          <w:szCs w:val="24"/>
        </w:rPr>
        <w:t>.</w:t>
      </w:r>
    </w:p>
    <w:p w14:paraId="05795D09" w14:textId="77777777" w:rsidR="004256D7" w:rsidRPr="004C4F64" w:rsidRDefault="004256D7" w:rsidP="004256D7">
      <w:pPr>
        <w:spacing w:line="480" w:lineRule="auto"/>
        <w:jc w:val="center"/>
        <w:rPr>
          <w:rFonts w:cs="Times New Roman"/>
          <w:bCs/>
          <w:szCs w:val="24"/>
        </w:rPr>
      </w:pPr>
    </w:p>
    <w:p w14:paraId="1BF2E2A3" w14:textId="77777777" w:rsidR="004256D7" w:rsidRPr="0044603F" w:rsidRDefault="004256D7" w:rsidP="004256D7">
      <w:pPr>
        <w:spacing w:line="480" w:lineRule="auto"/>
        <w:ind w:left="1418" w:hanging="1418"/>
        <w:jc w:val="both"/>
        <w:rPr>
          <w:b/>
        </w:rPr>
      </w:pPr>
    </w:p>
    <w:p w14:paraId="4FED3BD0" w14:textId="77777777" w:rsidR="004256D7" w:rsidRDefault="004256D7" w:rsidP="004256D7">
      <w:pPr>
        <w:pStyle w:val="NoSpacing"/>
        <w:spacing w:line="480" w:lineRule="auto"/>
        <w:jc w:val="center"/>
        <w:rPr>
          <w:rFonts w:cs="Times New Roman"/>
          <w:szCs w:val="24"/>
        </w:rPr>
      </w:pPr>
      <w:r>
        <w:rPr>
          <w:rFonts w:cs="Times New Roman"/>
          <w:szCs w:val="24"/>
          <w:vertAlign w:val="superscript"/>
        </w:rPr>
        <w:t>*</w:t>
      </w:r>
      <w:r>
        <w:rPr>
          <w:rFonts w:cs="Times New Roman"/>
          <w:szCs w:val="24"/>
        </w:rPr>
        <w:t xml:space="preserve">Corresponding author: </w:t>
      </w:r>
    </w:p>
    <w:p w14:paraId="5B1C8808" w14:textId="77777777" w:rsidR="004256D7" w:rsidRDefault="004256D7" w:rsidP="004256D7">
      <w:pPr>
        <w:pStyle w:val="NoSpacing"/>
        <w:spacing w:line="480" w:lineRule="auto"/>
        <w:jc w:val="center"/>
        <w:rPr>
          <w:rFonts w:cs="Times New Roman"/>
          <w:szCs w:val="24"/>
        </w:rPr>
      </w:pPr>
      <w:r>
        <w:rPr>
          <w:rFonts w:cs="Times New Roman"/>
          <w:szCs w:val="24"/>
        </w:rPr>
        <w:t>Beibei He, beibei.he@fafu.edu.cn</w:t>
      </w:r>
    </w:p>
    <w:p w14:paraId="709B8334" w14:textId="77777777" w:rsidR="004256D7" w:rsidRDefault="004256D7" w:rsidP="004256D7">
      <w:pPr>
        <w:spacing w:line="480" w:lineRule="auto"/>
        <w:ind w:left="1418" w:hanging="1418"/>
        <w:jc w:val="center"/>
        <w:rPr>
          <w:b/>
        </w:rPr>
      </w:pPr>
      <w:r>
        <w:t xml:space="preserve">Raymond </w:t>
      </w:r>
      <w:proofErr w:type="spellStart"/>
      <w:r>
        <w:t>Jianxiong</w:t>
      </w:r>
      <w:proofErr w:type="spellEnd"/>
      <w:r>
        <w:t xml:space="preserve"> Zeng, </w:t>
      </w:r>
      <w:r w:rsidRPr="007D5985">
        <w:t>rzeng@ustc.edu.cn</w:t>
      </w:r>
    </w:p>
    <w:bookmarkEnd w:id="0"/>
    <w:p w14:paraId="3E681BAC" w14:textId="77777777" w:rsidR="00CA10D2" w:rsidRDefault="00CA10D2" w:rsidP="00B369B8">
      <w:pPr>
        <w:spacing w:before="120" w:after="120" w:line="480" w:lineRule="auto"/>
        <w:outlineLvl w:val="0"/>
        <w:rPr>
          <w:b/>
        </w:rPr>
        <w:sectPr w:rsidR="00CA10D2">
          <w:footerReference w:type="default" r:id="rId6"/>
          <w:pgSz w:w="11906" w:h="16838"/>
          <w:pgMar w:top="1440" w:right="1440" w:bottom="1440" w:left="1440" w:header="708" w:footer="708" w:gutter="0"/>
          <w:cols w:space="708"/>
          <w:docGrid w:linePitch="360"/>
        </w:sectPr>
      </w:pPr>
    </w:p>
    <w:p w14:paraId="3AFA680E" w14:textId="77777777" w:rsidR="00B369B8" w:rsidRDefault="00B369B8" w:rsidP="00B369B8">
      <w:pPr>
        <w:spacing w:before="120" w:after="120" w:line="480" w:lineRule="auto"/>
        <w:outlineLvl w:val="0"/>
        <w:rPr>
          <w:b/>
        </w:rPr>
      </w:pPr>
      <w:r>
        <w:rPr>
          <w:b/>
        </w:rPr>
        <w:lastRenderedPageBreak/>
        <w:t>Text S1</w:t>
      </w:r>
    </w:p>
    <w:p w14:paraId="3376C15F" w14:textId="5E0AC2F0" w:rsidR="00336325" w:rsidRPr="00336325" w:rsidRDefault="00336325" w:rsidP="00BA4EA0">
      <w:pPr>
        <w:spacing w:line="480" w:lineRule="auto"/>
        <w:outlineLvl w:val="0"/>
        <w:rPr>
          <w:b/>
        </w:rPr>
      </w:pPr>
      <w:r w:rsidRPr="00336325">
        <w:rPr>
          <w:b/>
        </w:rPr>
        <w:t xml:space="preserve">1. </w:t>
      </w:r>
      <w:r w:rsidR="005918E3">
        <w:rPr>
          <w:b/>
        </w:rPr>
        <w:t>MP</w:t>
      </w:r>
      <w:r w:rsidRPr="00336325">
        <w:rPr>
          <w:b/>
        </w:rPr>
        <w:t>s</w:t>
      </w:r>
      <w:r w:rsidR="005918E3">
        <w:rPr>
          <w:b/>
        </w:rPr>
        <w:t xml:space="preserve"> extraction, identification and quantification</w:t>
      </w:r>
    </w:p>
    <w:p w14:paraId="6DE51CA5" w14:textId="6A57CA7C" w:rsidR="00A56F79" w:rsidRDefault="00BF2877" w:rsidP="00BA4EA0">
      <w:pPr>
        <w:spacing w:after="120" w:line="480" w:lineRule="auto"/>
        <w:jc w:val="both"/>
      </w:pPr>
      <w:r>
        <w:rPr>
          <w:lang w:eastAsia="en-US"/>
        </w:rPr>
        <w:t>A</w:t>
      </w:r>
      <w:r w:rsidR="00D96366" w:rsidRPr="00D96366">
        <w:rPr>
          <w:lang w:eastAsia="en-US"/>
        </w:rPr>
        <w:t xml:space="preserve"> sediment sample </w:t>
      </w:r>
      <w:r>
        <w:rPr>
          <w:lang w:eastAsia="en-US"/>
        </w:rPr>
        <w:t xml:space="preserve">of 5 g </w:t>
      </w:r>
      <w:r w:rsidR="00D96366" w:rsidRPr="00D96366">
        <w:rPr>
          <w:lang w:eastAsia="en-US"/>
        </w:rPr>
        <w:t xml:space="preserve">was taken out and added into a pre-cleaned glass breaker using a </w:t>
      </w:r>
      <w:proofErr w:type="gramStart"/>
      <w:r w:rsidR="00D96366" w:rsidRPr="00D96366">
        <w:rPr>
          <w:lang w:eastAsia="en-US"/>
        </w:rPr>
        <w:t>stainless steel</w:t>
      </w:r>
      <w:proofErr w:type="gramEnd"/>
      <w:r w:rsidR="00D96366" w:rsidRPr="00D96366">
        <w:rPr>
          <w:lang w:eastAsia="en-US"/>
        </w:rPr>
        <w:t xml:space="preserve"> spoon and 50 mL volume of prepared ZnCl</w:t>
      </w:r>
      <w:r w:rsidR="00D96366" w:rsidRPr="00001FE3">
        <w:rPr>
          <w:vertAlign w:val="subscript"/>
          <w:lang w:eastAsia="en-US"/>
        </w:rPr>
        <w:t>2</w:t>
      </w:r>
      <w:r w:rsidR="00D96366" w:rsidRPr="00D96366">
        <w:rPr>
          <w:lang w:eastAsia="en-US"/>
        </w:rPr>
        <w:t xml:space="preserve"> solution </w:t>
      </w:r>
      <w:r w:rsidR="002F482F" w:rsidRPr="002F482F">
        <w:rPr>
          <w:lang w:eastAsia="en-US"/>
        </w:rPr>
        <w:t xml:space="preserve">with the density of 1.65 g/mL </w:t>
      </w:r>
      <w:r w:rsidR="00D96366" w:rsidRPr="00D96366">
        <w:rPr>
          <w:lang w:eastAsia="en-US"/>
        </w:rPr>
        <w:t>was carefully poured over the samples using a pipette. An ultrasound bath</w:t>
      </w:r>
      <w:r w:rsidR="00D96366">
        <w:rPr>
          <w:lang w:eastAsia="en-US"/>
        </w:rPr>
        <w:t xml:space="preserve"> </w:t>
      </w:r>
      <w:r w:rsidR="00D96366">
        <w:t xml:space="preserve">was used for </w:t>
      </w:r>
      <w:r w:rsidR="00D96366" w:rsidRPr="0039589E">
        <w:t xml:space="preserve">shaking </w:t>
      </w:r>
      <w:r w:rsidR="00D96366">
        <w:t xml:space="preserve">and </w:t>
      </w:r>
      <w:r w:rsidR="00D96366" w:rsidRPr="0039589E">
        <w:t xml:space="preserve">stirring </w:t>
      </w:r>
      <w:r w:rsidR="00D96366">
        <w:t>to obtain the best performance for density separation. The mixture was thoroughly stirred with a glass rod for approximately 15 min</w:t>
      </w:r>
      <w:r w:rsidR="00974FD9">
        <w:t xml:space="preserve"> and </w:t>
      </w:r>
      <w:r w:rsidR="00D96366">
        <w:t xml:space="preserve">the breaker was kept in the ultrasound bath </w:t>
      </w:r>
      <w:r w:rsidR="00D96366" w:rsidRPr="0031105E">
        <w:t xml:space="preserve">(M2800H-E Ultrasonic Bath, </w:t>
      </w:r>
      <w:proofErr w:type="spellStart"/>
      <w:r w:rsidR="00D96366" w:rsidRPr="0031105E">
        <w:t>Bransonic</w:t>
      </w:r>
      <w:proofErr w:type="spellEnd"/>
      <w:r w:rsidR="00D96366" w:rsidRPr="0031105E">
        <w:t>)</w:t>
      </w:r>
      <w:r w:rsidR="00D96366">
        <w:t xml:space="preserve"> for 3 min. The subsample solution was then </w:t>
      </w:r>
      <w:r w:rsidR="003B727A">
        <w:t xml:space="preserve">allowed to </w:t>
      </w:r>
      <w:r w:rsidR="00D96366">
        <w:t xml:space="preserve">settle for 40 min at room temperature, and the MPs </w:t>
      </w:r>
      <w:r w:rsidR="00974FD9">
        <w:t xml:space="preserve">were </w:t>
      </w:r>
      <w:r w:rsidR="00D96366">
        <w:t xml:space="preserve">subsequently extracted from the supernatant. </w:t>
      </w:r>
    </w:p>
    <w:p w14:paraId="0988DC8E" w14:textId="4ED8F6E3" w:rsidR="00C81C3A" w:rsidRPr="00434525" w:rsidRDefault="00A56F79" w:rsidP="00BA4EA0">
      <w:pPr>
        <w:spacing w:line="480" w:lineRule="auto"/>
        <w:jc w:val="both"/>
        <w:rPr>
          <w:rFonts w:cs="Times New Roman"/>
        </w:rPr>
      </w:pPr>
      <w:r>
        <w:t xml:space="preserve">After density separation, the supernatant was </w:t>
      </w:r>
      <w:r w:rsidR="00974FD9" w:rsidRPr="00090DB8">
        <w:t xml:space="preserve">vacuum </w:t>
      </w:r>
      <w:r>
        <w:t>filtered using</w:t>
      </w:r>
      <w:r w:rsidRPr="00090DB8">
        <w:t xml:space="preserve"> </w:t>
      </w:r>
      <w:r w:rsidR="00974FD9">
        <w:t>a</w:t>
      </w:r>
      <w:r>
        <w:t xml:space="preserve"> </w:t>
      </w:r>
      <w:r w:rsidRPr="00090DB8">
        <w:t xml:space="preserve">0.45 </w:t>
      </w:r>
      <w:r>
        <w:rPr>
          <w:rFonts w:cs="Times New Roman"/>
        </w:rPr>
        <w:t>µ</w:t>
      </w:r>
      <w:r>
        <w:t>m</w:t>
      </w:r>
      <w:r w:rsidRPr="00090DB8">
        <w:t xml:space="preserve"> membrane filter</w:t>
      </w:r>
      <w:r>
        <w:t xml:space="preserve"> and dried in glass petri dishes at room temperature. </w:t>
      </w:r>
      <w:r>
        <w:rPr>
          <w:lang w:eastAsia="en-US"/>
        </w:rPr>
        <w:t>The dried filter membranes with remaining materials were stored with a labelled polymer-free weighing paper for identification.</w:t>
      </w:r>
      <w:r w:rsidR="004B2EBF">
        <w:rPr>
          <w:lang w:eastAsia="en-US"/>
        </w:rPr>
        <w:t xml:space="preserve"> </w:t>
      </w:r>
      <w:r w:rsidR="004B2EBF">
        <w:t xml:space="preserve">Nicolet iS50 FT-IR spectrometer was used for MPs identification. </w:t>
      </w:r>
      <w:r w:rsidR="004B2EBF" w:rsidRPr="004B2EBF">
        <w:t xml:space="preserve">Prior to detecting the MPs, the background spectrum was initially measured, and the optical resolution </w:t>
      </w:r>
      <w:r w:rsidR="00974FD9">
        <w:t>was</w:t>
      </w:r>
      <w:r w:rsidR="004B2EBF" w:rsidRPr="004B2EBF">
        <w:t xml:space="preserve"> set at 4 cm</w:t>
      </w:r>
      <w:r w:rsidR="004B2EBF" w:rsidRPr="00001FE3">
        <w:rPr>
          <w:vertAlign w:val="superscript"/>
        </w:rPr>
        <w:t>-1</w:t>
      </w:r>
      <w:r w:rsidR="004B2EBF" w:rsidRPr="004B2EBF">
        <w:t xml:space="preserve"> resolution, 64 scans. All suspected particles remaining on the filter were carefully and gently moved to the diamond crystal with a stainless tweezer, followed by the appropriate pressure applied to ensure optical contact between the detector and MP samples. Accordingly, the spectrum for the sample material was analysed and collected. To minimise the interference of attached materials such as sediment clays, calcium carbonate and organic materials on MPs identification, the collected spectrum for each tested particle was only compared with the reference IR spectra of pure polymer materials stored in infrared spectral libraries. Spectra matching rate of over 55% was accepted. For QA/QC </w:t>
      </w:r>
      <w:r w:rsidR="00D7270F">
        <w:t>purposes</w:t>
      </w:r>
      <w:r w:rsidR="004B2EBF" w:rsidRPr="004B2EBF">
        <w:t>, gloves were worn during sample identification</w:t>
      </w:r>
      <w:r w:rsidR="00974FD9">
        <w:t>,</w:t>
      </w:r>
      <w:r w:rsidR="004B2EBF" w:rsidRPr="004B2EBF">
        <w:t xml:space="preserve"> and the sample holder was cleaned using acetone with </w:t>
      </w:r>
      <w:proofErr w:type="spellStart"/>
      <w:r w:rsidR="004B2EBF" w:rsidRPr="004B2EBF">
        <w:t>Kimwipes</w:t>
      </w:r>
      <w:proofErr w:type="spellEnd"/>
      <w:r w:rsidR="004B2EBF" w:rsidRPr="004B2EBF">
        <w:t>.</w:t>
      </w:r>
      <w:r w:rsidR="00C81C3A">
        <w:t xml:space="preserve"> Identified </w:t>
      </w:r>
      <w:r w:rsidR="00C81C3A">
        <w:rPr>
          <w:rFonts w:cs="Times New Roman"/>
        </w:rPr>
        <w:t>MP</w:t>
      </w:r>
      <w:r w:rsidR="00C81C3A" w:rsidRPr="00434525">
        <w:rPr>
          <w:rFonts w:cs="Times New Roman"/>
        </w:rPr>
        <w:t xml:space="preserve"> particles from each sample point </w:t>
      </w:r>
      <w:r w:rsidR="00C81C3A">
        <w:rPr>
          <w:rFonts w:cs="Times New Roman"/>
        </w:rPr>
        <w:t>were</w:t>
      </w:r>
      <w:r w:rsidR="00C81C3A" w:rsidRPr="00434525">
        <w:rPr>
          <w:rFonts w:cs="Times New Roman"/>
        </w:rPr>
        <w:t xml:space="preserve"> weighed using an analytical balance with </w:t>
      </w:r>
      <w:r w:rsidR="00C81C3A" w:rsidRPr="00434525">
        <w:rPr>
          <w:rFonts w:cs="Times New Roman"/>
        </w:rPr>
        <w:lastRenderedPageBreak/>
        <w:t>an accuracy of 0.01mg (Analytical XSE 105DU)</w:t>
      </w:r>
      <w:r w:rsidR="00C81C3A">
        <w:rPr>
          <w:rFonts w:cs="Times New Roman"/>
        </w:rPr>
        <w:t xml:space="preserve"> for quantification. </w:t>
      </w:r>
      <w:r w:rsidR="000F5681">
        <w:rPr>
          <w:rFonts w:cs="Times New Roman"/>
        </w:rPr>
        <w:t>Accordingly, the type and concentration of MPs with diameters smaller than 5</w:t>
      </w:r>
      <w:r w:rsidR="00974FD9">
        <w:rPr>
          <w:rFonts w:cs="Times New Roman"/>
        </w:rPr>
        <w:t xml:space="preserve"> </w:t>
      </w:r>
      <w:r w:rsidR="000F5681">
        <w:rPr>
          <w:rFonts w:cs="Times New Roman"/>
        </w:rPr>
        <w:t>mm were recorded.</w:t>
      </w:r>
    </w:p>
    <w:p w14:paraId="55B910E7" w14:textId="77777777" w:rsidR="00682341" w:rsidRDefault="00682341" w:rsidP="00BA4EA0">
      <w:pPr>
        <w:spacing w:line="480" w:lineRule="auto"/>
        <w:jc w:val="both"/>
      </w:pPr>
    </w:p>
    <w:p w14:paraId="5FC1949A" w14:textId="77777777" w:rsidR="0010277A" w:rsidRDefault="0010277A" w:rsidP="00BA4EA0">
      <w:pPr>
        <w:spacing w:before="120" w:after="120" w:line="480" w:lineRule="auto"/>
        <w:outlineLvl w:val="0"/>
        <w:rPr>
          <w:b/>
        </w:rPr>
      </w:pPr>
      <w:r>
        <w:rPr>
          <w:b/>
        </w:rPr>
        <w:t>Table S1</w:t>
      </w:r>
    </w:p>
    <w:p w14:paraId="206EC112" w14:textId="77777777" w:rsidR="001D67EF" w:rsidRDefault="00253B57" w:rsidP="00BA4EA0">
      <w:pPr>
        <w:spacing w:line="480" w:lineRule="auto"/>
        <w:jc w:val="center"/>
      </w:pPr>
      <w:r>
        <w:t xml:space="preserve">Table S1: </w:t>
      </w:r>
      <w:r w:rsidRPr="00253B57">
        <w:t>Model diagnostics and residual variability for Bayesian regression models</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9"/>
        <w:gridCol w:w="1169"/>
        <w:gridCol w:w="1168"/>
        <w:gridCol w:w="1168"/>
        <w:gridCol w:w="1168"/>
        <w:gridCol w:w="1002"/>
        <w:gridCol w:w="1334"/>
        <w:gridCol w:w="1168"/>
      </w:tblGrid>
      <w:tr w:rsidR="002501B4" w14:paraId="0C446CCF" w14:textId="77777777" w:rsidTr="00001FE3">
        <w:trPr>
          <w:trHeight w:val="414"/>
        </w:trPr>
        <w:tc>
          <w:tcPr>
            <w:tcW w:w="470" w:type="pct"/>
            <w:tcBorders>
              <w:top w:val="single" w:sz="4" w:space="0" w:color="auto"/>
              <w:bottom w:val="single" w:sz="4" w:space="0" w:color="auto"/>
            </w:tcBorders>
          </w:tcPr>
          <w:p w14:paraId="53F1A34F" w14:textId="77777777" w:rsidR="00253B57" w:rsidRDefault="00253B57" w:rsidP="00D96366">
            <w:pPr>
              <w:jc w:val="both"/>
            </w:pPr>
          </w:p>
        </w:tc>
        <w:tc>
          <w:tcPr>
            <w:tcW w:w="647" w:type="pct"/>
            <w:tcBorders>
              <w:top w:val="single" w:sz="4" w:space="0" w:color="auto"/>
              <w:bottom w:val="single" w:sz="4" w:space="0" w:color="auto"/>
            </w:tcBorders>
          </w:tcPr>
          <w:p w14:paraId="7812EA62" w14:textId="77777777" w:rsidR="00253B57" w:rsidRDefault="00253B57" w:rsidP="00D96366">
            <w:pPr>
              <w:jc w:val="both"/>
            </w:pPr>
            <w:r w:rsidRPr="00253B57">
              <w:t>Estimate</w:t>
            </w:r>
          </w:p>
        </w:tc>
        <w:tc>
          <w:tcPr>
            <w:tcW w:w="647" w:type="pct"/>
            <w:tcBorders>
              <w:top w:val="single" w:sz="4" w:space="0" w:color="auto"/>
              <w:bottom w:val="single" w:sz="4" w:space="0" w:color="auto"/>
            </w:tcBorders>
          </w:tcPr>
          <w:p w14:paraId="08B6A5E5" w14:textId="77777777" w:rsidR="00253B57" w:rsidRDefault="00253B57" w:rsidP="00D96366">
            <w:pPr>
              <w:jc w:val="both"/>
            </w:pPr>
            <w:proofErr w:type="spellStart"/>
            <w:r w:rsidRPr="00253B57">
              <w:t>Est.Error</w:t>
            </w:r>
            <w:proofErr w:type="spellEnd"/>
          </w:p>
        </w:tc>
        <w:tc>
          <w:tcPr>
            <w:tcW w:w="647" w:type="pct"/>
            <w:tcBorders>
              <w:top w:val="single" w:sz="4" w:space="0" w:color="auto"/>
              <w:bottom w:val="single" w:sz="4" w:space="0" w:color="auto"/>
            </w:tcBorders>
          </w:tcPr>
          <w:p w14:paraId="6206F212" w14:textId="77777777" w:rsidR="00253B57" w:rsidRDefault="00253B57" w:rsidP="00D96366">
            <w:pPr>
              <w:jc w:val="both"/>
            </w:pPr>
            <w:r>
              <w:t>l</w:t>
            </w:r>
            <w:r w:rsidRPr="00253B57">
              <w:t>-95% CI</w:t>
            </w:r>
          </w:p>
        </w:tc>
        <w:tc>
          <w:tcPr>
            <w:tcW w:w="647" w:type="pct"/>
            <w:tcBorders>
              <w:top w:val="single" w:sz="4" w:space="0" w:color="auto"/>
              <w:bottom w:val="single" w:sz="4" w:space="0" w:color="auto"/>
            </w:tcBorders>
          </w:tcPr>
          <w:p w14:paraId="3F817900" w14:textId="77777777" w:rsidR="00253B57" w:rsidRDefault="00253B57" w:rsidP="00D96366">
            <w:pPr>
              <w:jc w:val="both"/>
            </w:pPr>
            <w:r>
              <w:t>u</w:t>
            </w:r>
            <w:r w:rsidRPr="00253B57">
              <w:t>-95% CI</w:t>
            </w:r>
          </w:p>
        </w:tc>
        <w:tc>
          <w:tcPr>
            <w:tcW w:w="555" w:type="pct"/>
            <w:tcBorders>
              <w:top w:val="single" w:sz="4" w:space="0" w:color="auto"/>
              <w:bottom w:val="single" w:sz="4" w:space="0" w:color="auto"/>
            </w:tcBorders>
          </w:tcPr>
          <w:p w14:paraId="650BD462" w14:textId="77777777" w:rsidR="00253B57" w:rsidRDefault="00253B57" w:rsidP="00D96366">
            <w:pPr>
              <w:jc w:val="both"/>
            </w:pPr>
            <w:proofErr w:type="spellStart"/>
            <w:r w:rsidRPr="00253B57">
              <w:t>Rhat</w:t>
            </w:r>
            <w:proofErr w:type="spellEnd"/>
            <w:r w:rsidRPr="00253B57">
              <w:t xml:space="preserve"> </w:t>
            </w:r>
          </w:p>
        </w:tc>
        <w:tc>
          <w:tcPr>
            <w:tcW w:w="739" w:type="pct"/>
            <w:tcBorders>
              <w:top w:val="single" w:sz="4" w:space="0" w:color="auto"/>
              <w:bottom w:val="single" w:sz="4" w:space="0" w:color="auto"/>
            </w:tcBorders>
          </w:tcPr>
          <w:p w14:paraId="11DF9636" w14:textId="77777777" w:rsidR="00253B57" w:rsidRDefault="00253B57" w:rsidP="00D96366">
            <w:pPr>
              <w:jc w:val="both"/>
            </w:pPr>
            <w:proofErr w:type="spellStart"/>
            <w:r w:rsidRPr="00253B57">
              <w:t>Bulk_ESS</w:t>
            </w:r>
            <w:proofErr w:type="spellEnd"/>
          </w:p>
        </w:tc>
        <w:tc>
          <w:tcPr>
            <w:tcW w:w="647" w:type="pct"/>
            <w:tcBorders>
              <w:top w:val="single" w:sz="4" w:space="0" w:color="auto"/>
              <w:bottom w:val="single" w:sz="4" w:space="0" w:color="auto"/>
            </w:tcBorders>
          </w:tcPr>
          <w:p w14:paraId="49924A97" w14:textId="77777777" w:rsidR="00253B57" w:rsidRDefault="00253B57" w:rsidP="00D96366">
            <w:pPr>
              <w:jc w:val="both"/>
            </w:pPr>
            <w:proofErr w:type="spellStart"/>
            <w:r w:rsidRPr="00253B57">
              <w:t>Tail_ESS</w:t>
            </w:r>
            <w:proofErr w:type="spellEnd"/>
          </w:p>
        </w:tc>
      </w:tr>
      <w:tr w:rsidR="002501B4" w14:paraId="6D168452" w14:textId="77777777" w:rsidTr="00001FE3">
        <w:trPr>
          <w:trHeight w:val="414"/>
        </w:trPr>
        <w:tc>
          <w:tcPr>
            <w:tcW w:w="470" w:type="pct"/>
            <w:tcBorders>
              <w:top w:val="single" w:sz="4" w:space="0" w:color="auto"/>
            </w:tcBorders>
          </w:tcPr>
          <w:p w14:paraId="380EEE88" w14:textId="77777777" w:rsidR="00253B57" w:rsidRDefault="00253B57" w:rsidP="00D96366">
            <w:pPr>
              <w:jc w:val="both"/>
            </w:pPr>
            <w:r>
              <w:t>HMs</w:t>
            </w:r>
          </w:p>
        </w:tc>
        <w:tc>
          <w:tcPr>
            <w:tcW w:w="647" w:type="pct"/>
            <w:tcBorders>
              <w:top w:val="single" w:sz="4" w:space="0" w:color="auto"/>
            </w:tcBorders>
          </w:tcPr>
          <w:p w14:paraId="2FE1AD20" w14:textId="77777777" w:rsidR="00253B57" w:rsidRDefault="00253B57" w:rsidP="00D96366">
            <w:pPr>
              <w:jc w:val="both"/>
            </w:pPr>
            <w:r>
              <w:t>0.40</w:t>
            </w:r>
          </w:p>
        </w:tc>
        <w:tc>
          <w:tcPr>
            <w:tcW w:w="647" w:type="pct"/>
            <w:tcBorders>
              <w:top w:val="single" w:sz="4" w:space="0" w:color="auto"/>
            </w:tcBorders>
          </w:tcPr>
          <w:p w14:paraId="7FBB76AB" w14:textId="77777777" w:rsidR="00253B57" w:rsidRDefault="00253B57" w:rsidP="00D96366">
            <w:pPr>
              <w:jc w:val="both"/>
            </w:pPr>
            <w:r>
              <w:t>0.01</w:t>
            </w:r>
          </w:p>
        </w:tc>
        <w:tc>
          <w:tcPr>
            <w:tcW w:w="647" w:type="pct"/>
            <w:tcBorders>
              <w:top w:val="single" w:sz="4" w:space="0" w:color="auto"/>
            </w:tcBorders>
          </w:tcPr>
          <w:p w14:paraId="55C47A5A" w14:textId="77777777" w:rsidR="00253B57" w:rsidRDefault="00253B57" w:rsidP="00D96366">
            <w:pPr>
              <w:jc w:val="both"/>
            </w:pPr>
            <w:r>
              <w:t>0.38</w:t>
            </w:r>
          </w:p>
        </w:tc>
        <w:tc>
          <w:tcPr>
            <w:tcW w:w="647" w:type="pct"/>
            <w:tcBorders>
              <w:top w:val="single" w:sz="4" w:space="0" w:color="auto"/>
            </w:tcBorders>
          </w:tcPr>
          <w:p w14:paraId="6D96AED3" w14:textId="77777777" w:rsidR="00253B57" w:rsidRDefault="00253B57" w:rsidP="00D96366">
            <w:pPr>
              <w:jc w:val="both"/>
            </w:pPr>
            <w:r>
              <w:t>0.43</w:t>
            </w:r>
          </w:p>
        </w:tc>
        <w:tc>
          <w:tcPr>
            <w:tcW w:w="555" w:type="pct"/>
            <w:tcBorders>
              <w:top w:val="single" w:sz="4" w:space="0" w:color="auto"/>
            </w:tcBorders>
          </w:tcPr>
          <w:p w14:paraId="48BDD694" w14:textId="77777777" w:rsidR="00253B57" w:rsidRDefault="00253B57" w:rsidP="00D96366">
            <w:pPr>
              <w:jc w:val="both"/>
            </w:pPr>
            <w:r>
              <w:t>1.00</w:t>
            </w:r>
          </w:p>
        </w:tc>
        <w:tc>
          <w:tcPr>
            <w:tcW w:w="739" w:type="pct"/>
            <w:tcBorders>
              <w:top w:val="single" w:sz="4" w:space="0" w:color="auto"/>
            </w:tcBorders>
          </w:tcPr>
          <w:p w14:paraId="35DDC468" w14:textId="77777777" w:rsidR="00253B57" w:rsidRDefault="00253B57" w:rsidP="00D96366">
            <w:pPr>
              <w:jc w:val="both"/>
            </w:pPr>
            <w:r>
              <w:t>2696</w:t>
            </w:r>
          </w:p>
        </w:tc>
        <w:tc>
          <w:tcPr>
            <w:tcW w:w="647" w:type="pct"/>
            <w:tcBorders>
              <w:top w:val="single" w:sz="4" w:space="0" w:color="auto"/>
            </w:tcBorders>
          </w:tcPr>
          <w:p w14:paraId="17C49F0D" w14:textId="77777777" w:rsidR="00253B57" w:rsidRDefault="00253B57" w:rsidP="00D96366">
            <w:pPr>
              <w:jc w:val="both"/>
            </w:pPr>
            <w:r>
              <w:t>2038</w:t>
            </w:r>
          </w:p>
        </w:tc>
      </w:tr>
      <w:tr w:rsidR="002501B4" w14:paraId="4C92A47D" w14:textId="77777777" w:rsidTr="00001FE3">
        <w:trPr>
          <w:trHeight w:val="414"/>
        </w:trPr>
        <w:tc>
          <w:tcPr>
            <w:tcW w:w="470" w:type="pct"/>
          </w:tcPr>
          <w:p w14:paraId="13DF2C63" w14:textId="77777777" w:rsidR="00253B57" w:rsidRDefault="00253B57" w:rsidP="00253B57">
            <w:pPr>
              <w:jc w:val="both"/>
            </w:pPr>
            <w:r>
              <w:t>MPs</w:t>
            </w:r>
          </w:p>
        </w:tc>
        <w:tc>
          <w:tcPr>
            <w:tcW w:w="647" w:type="pct"/>
          </w:tcPr>
          <w:p w14:paraId="73B68956" w14:textId="77777777" w:rsidR="00253B57" w:rsidRDefault="00253B57" w:rsidP="00253B57">
            <w:pPr>
              <w:jc w:val="both"/>
            </w:pPr>
            <w:r>
              <w:t>1.41</w:t>
            </w:r>
          </w:p>
        </w:tc>
        <w:tc>
          <w:tcPr>
            <w:tcW w:w="647" w:type="pct"/>
          </w:tcPr>
          <w:p w14:paraId="3CBF8B00" w14:textId="77777777" w:rsidR="00253B57" w:rsidRDefault="00253B57" w:rsidP="00253B57">
            <w:pPr>
              <w:jc w:val="both"/>
            </w:pPr>
            <w:r>
              <w:t>0.12</w:t>
            </w:r>
          </w:p>
        </w:tc>
        <w:tc>
          <w:tcPr>
            <w:tcW w:w="647" w:type="pct"/>
          </w:tcPr>
          <w:p w14:paraId="1B444210" w14:textId="77777777" w:rsidR="00253B57" w:rsidRDefault="00253B57" w:rsidP="00253B57">
            <w:pPr>
              <w:jc w:val="both"/>
            </w:pPr>
            <w:r>
              <w:t>1.19</w:t>
            </w:r>
          </w:p>
        </w:tc>
        <w:tc>
          <w:tcPr>
            <w:tcW w:w="647" w:type="pct"/>
          </w:tcPr>
          <w:p w14:paraId="24A72918" w14:textId="77777777" w:rsidR="00253B57" w:rsidRDefault="00253B57" w:rsidP="00253B57">
            <w:pPr>
              <w:jc w:val="both"/>
            </w:pPr>
            <w:r>
              <w:t>1.66</w:t>
            </w:r>
          </w:p>
        </w:tc>
        <w:tc>
          <w:tcPr>
            <w:tcW w:w="555" w:type="pct"/>
          </w:tcPr>
          <w:p w14:paraId="3BE049EC" w14:textId="77777777" w:rsidR="00253B57" w:rsidRDefault="00253B57" w:rsidP="00253B57">
            <w:pPr>
              <w:jc w:val="both"/>
            </w:pPr>
            <w:r>
              <w:t>1.00</w:t>
            </w:r>
          </w:p>
        </w:tc>
        <w:tc>
          <w:tcPr>
            <w:tcW w:w="739" w:type="pct"/>
          </w:tcPr>
          <w:p w14:paraId="2680B229" w14:textId="77777777" w:rsidR="00253B57" w:rsidRDefault="00253B57" w:rsidP="00253B57">
            <w:pPr>
              <w:jc w:val="both"/>
            </w:pPr>
            <w:r>
              <w:t>3268</w:t>
            </w:r>
          </w:p>
        </w:tc>
        <w:tc>
          <w:tcPr>
            <w:tcW w:w="647" w:type="pct"/>
          </w:tcPr>
          <w:p w14:paraId="323F970D" w14:textId="77777777" w:rsidR="00253B57" w:rsidRDefault="00253B57" w:rsidP="00253B57">
            <w:pPr>
              <w:jc w:val="both"/>
            </w:pPr>
            <w:r>
              <w:t>2619</w:t>
            </w:r>
          </w:p>
        </w:tc>
      </w:tr>
    </w:tbl>
    <w:p w14:paraId="30BD364A" w14:textId="77777777" w:rsidR="00253B57" w:rsidRDefault="00253B57" w:rsidP="00D96366">
      <w:pPr>
        <w:jc w:val="both"/>
      </w:pPr>
    </w:p>
    <w:sectPr w:rsidR="00253B57" w:rsidSect="0085420A">
      <w:pgSz w:w="11906" w:h="16838"/>
      <w:pgMar w:top="1440" w:right="1440" w:bottom="1440" w:left="1440" w:header="708" w:footer="708"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B351E1" w16cex:dateUtc="2026-04-04T07: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24D2B" w14:textId="77777777" w:rsidR="00DE0893" w:rsidRDefault="00DE0893" w:rsidP="00192D67">
      <w:pPr>
        <w:spacing w:line="240" w:lineRule="auto"/>
      </w:pPr>
      <w:r>
        <w:separator/>
      </w:r>
    </w:p>
  </w:endnote>
  <w:endnote w:type="continuationSeparator" w:id="0">
    <w:p w14:paraId="0ED31038" w14:textId="77777777" w:rsidR="00DE0893" w:rsidRDefault="00DE0893" w:rsidP="00192D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0641570"/>
      <w:docPartObj>
        <w:docPartGallery w:val="Page Numbers (Bottom of Page)"/>
        <w:docPartUnique/>
      </w:docPartObj>
    </w:sdtPr>
    <w:sdtEndPr>
      <w:rPr>
        <w:noProof/>
      </w:rPr>
    </w:sdtEndPr>
    <w:sdtContent>
      <w:p w14:paraId="6D7EAA46" w14:textId="77777777" w:rsidR="00192D67" w:rsidRDefault="00192D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572D0D" w14:textId="77777777" w:rsidR="00192D67" w:rsidRDefault="00192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AFCDF" w14:textId="77777777" w:rsidR="00DE0893" w:rsidRDefault="00DE0893" w:rsidP="00192D67">
      <w:pPr>
        <w:spacing w:line="240" w:lineRule="auto"/>
      </w:pPr>
      <w:r>
        <w:separator/>
      </w:r>
    </w:p>
  </w:footnote>
  <w:footnote w:type="continuationSeparator" w:id="0">
    <w:p w14:paraId="5CE16D32" w14:textId="77777777" w:rsidR="00DE0893" w:rsidRDefault="00DE0893" w:rsidP="00192D6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B8"/>
    <w:rsid w:val="00001FE3"/>
    <w:rsid w:val="000B44B5"/>
    <w:rsid w:val="000F5681"/>
    <w:rsid w:val="0010277A"/>
    <w:rsid w:val="001328C5"/>
    <w:rsid w:val="00192D67"/>
    <w:rsid w:val="001D67EF"/>
    <w:rsid w:val="00243CCE"/>
    <w:rsid w:val="002501B4"/>
    <w:rsid w:val="00253B57"/>
    <w:rsid w:val="002F482F"/>
    <w:rsid w:val="00336325"/>
    <w:rsid w:val="003B727A"/>
    <w:rsid w:val="003D6FF3"/>
    <w:rsid w:val="003E0E1B"/>
    <w:rsid w:val="003F23E9"/>
    <w:rsid w:val="004256D7"/>
    <w:rsid w:val="0045584D"/>
    <w:rsid w:val="004B2EBF"/>
    <w:rsid w:val="004F4534"/>
    <w:rsid w:val="004F6ACC"/>
    <w:rsid w:val="005767B6"/>
    <w:rsid w:val="005918E3"/>
    <w:rsid w:val="005A1E34"/>
    <w:rsid w:val="005A24CB"/>
    <w:rsid w:val="00682341"/>
    <w:rsid w:val="00717F3C"/>
    <w:rsid w:val="00790FF0"/>
    <w:rsid w:val="00804B00"/>
    <w:rsid w:val="0085420A"/>
    <w:rsid w:val="008C02E7"/>
    <w:rsid w:val="00902F85"/>
    <w:rsid w:val="00913829"/>
    <w:rsid w:val="00974FD9"/>
    <w:rsid w:val="00A56F79"/>
    <w:rsid w:val="00A85106"/>
    <w:rsid w:val="00AA1E7E"/>
    <w:rsid w:val="00AE3E30"/>
    <w:rsid w:val="00AE5E2B"/>
    <w:rsid w:val="00B369B8"/>
    <w:rsid w:val="00BA4EA0"/>
    <w:rsid w:val="00BC51CB"/>
    <w:rsid w:val="00BF2877"/>
    <w:rsid w:val="00C01BA9"/>
    <w:rsid w:val="00C41CF1"/>
    <w:rsid w:val="00C6362A"/>
    <w:rsid w:val="00C81C3A"/>
    <w:rsid w:val="00CA10D2"/>
    <w:rsid w:val="00CC7DD5"/>
    <w:rsid w:val="00D123A3"/>
    <w:rsid w:val="00D528BC"/>
    <w:rsid w:val="00D7270F"/>
    <w:rsid w:val="00D9286A"/>
    <w:rsid w:val="00D96366"/>
    <w:rsid w:val="00DD1BDA"/>
    <w:rsid w:val="00DE0893"/>
    <w:rsid w:val="00F0776B"/>
    <w:rsid w:val="00F25EB9"/>
    <w:rsid w:val="00F32E29"/>
    <w:rsid w:val="00F4739F"/>
    <w:rsid w:val="00F633D5"/>
    <w:rsid w:val="00F8787F"/>
    <w:rsid w:val="00F87D72"/>
    <w:rsid w:val="00FD15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B574F"/>
  <w15:chartTrackingRefBased/>
  <w15:docId w15:val="{2CC347C1-783F-408A-B7B9-DB9633F4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69B8"/>
    <w:pPr>
      <w:spacing w:after="0" w:line="360" w:lineRule="auto"/>
    </w:pPr>
    <w:rPr>
      <w:rFonts w:ascii="Times New Roman" w:hAnsi="Times New Roman"/>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253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GB"/>
    </w:rPr>
  </w:style>
  <w:style w:type="character" w:customStyle="1" w:styleId="HTMLPreformattedChar">
    <w:name w:val="HTML Preformatted Char"/>
    <w:basedOn w:val="DefaultParagraphFont"/>
    <w:link w:val="HTMLPreformatted"/>
    <w:uiPriority w:val="99"/>
    <w:semiHidden/>
    <w:rsid w:val="00253B57"/>
    <w:rPr>
      <w:rFonts w:ascii="Courier New" w:eastAsia="Times New Roman" w:hAnsi="Courier New" w:cs="Courier New"/>
      <w:sz w:val="20"/>
      <w:szCs w:val="20"/>
    </w:rPr>
  </w:style>
  <w:style w:type="character" w:customStyle="1" w:styleId="gntyacmbb4b">
    <w:name w:val="gntyacmbb4b"/>
    <w:basedOn w:val="DefaultParagraphFont"/>
    <w:rsid w:val="00253B57"/>
  </w:style>
  <w:style w:type="paragraph" w:styleId="NoSpacing">
    <w:name w:val="No Spacing"/>
    <w:aliases w:val="Dairly writing"/>
    <w:uiPriority w:val="1"/>
    <w:qFormat/>
    <w:rsid w:val="00CA10D2"/>
    <w:pPr>
      <w:spacing w:after="0" w:line="360" w:lineRule="auto"/>
    </w:pPr>
    <w:rPr>
      <w:rFonts w:ascii="Times New Roman" w:hAnsi="Times New Roman"/>
      <w:sz w:val="24"/>
      <w:lang w:val="en-AU"/>
    </w:rPr>
  </w:style>
  <w:style w:type="paragraph" w:styleId="Header">
    <w:name w:val="header"/>
    <w:basedOn w:val="Normal"/>
    <w:link w:val="HeaderChar"/>
    <w:uiPriority w:val="99"/>
    <w:unhideWhenUsed/>
    <w:rsid w:val="00192D67"/>
    <w:pPr>
      <w:tabs>
        <w:tab w:val="center" w:pos="4153"/>
        <w:tab w:val="right" w:pos="8306"/>
      </w:tabs>
      <w:spacing w:line="240" w:lineRule="auto"/>
    </w:pPr>
  </w:style>
  <w:style w:type="character" w:customStyle="1" w:styleId="HeaderChar">
    <w:name w:val="Header Char"/>
    <w:basedOn w:val="DefaultParagraphFont"/>
    <w:link w:val="Header"/>
    <w:uiPriority w:val="99"/>
    <w:rsid w:val="00192D67"/>
    <w:rPr>
      <w:rFonts w:ascii="Times New Roman" w:hAnsi="Times New Roman"/>
      <w:sz w:val="24"/>
      <w:lang w:val="en-AU"/>
    </w:rPr>
  </w:style>
  <w:style w:type="paragraph" w:styleId="Footer">
    <w:name w:val="footer"/>
    <w:basedOn w:val="Normal"/>
    <w:link w:val="FooterChar"/>
    <w:uiPriority w:val="99"/>
    <w:unhideWhenUsed/>
    <w:rsid w:val="00192D67"/>
    <w:pPr>
      <w:tabs>
        <w:tab w:val="center" w:pos="4153"/>
        <w:tab w:val="right" w:pos="8306"/>
      </w:tabs>
      <w:spacing w:line="240" w:lineRule="auto"/>
    </w:pPr>
  </w:style>
  <w:style w:type="character" w:customStyle="1" w:styleId="FooterChar">
    <w:name w:val="Footer Char"/>
    <w:basedOn w:val="DefaultParagraphFont"/>
    <w:link w:val="Footer"/>
    <w:uiPriority w:val="99"/>
    <w:rsid w:val="00192D67"/>
    <w:rPr>
      <w:rFonts w:ascii="Times New Roman" w:hAnsi="Times New Roman"/>
      <w:sz w:val="24"/>
      <w:lang w:val="en-AU"/>
    </w:rPr>
  </w:style>
  <w:style w:type="paragraph" w:styleId="Revision">
    <w:name w:val="Revision"/>
    <w:hidden/>
    <w:uiPriority w:val="99"/>
    <w:semiHidden/>
    <w:rsid w:val="00C6362A"/>
    <w:pPr>
      <w:spacing w:after="0" w:line="240" w:lineRule="auto"/>
    </w:pPr>
    <w:rPr>
      <w:rFonts w:ascii="Times New Roman" w:hAnsi="Times New Roman"/>
      <w:sz w:val="24"/>
      <w:lang w:val="en-AU"/>
    </w:rPr>
  </w:style>
  <w:style w:type="character" w:styleId="CommentReference">
    <w:name w:val="annotation reference"/>
    <w:basedOn w:val="DefaultParagraphFont"/>
    <w:uiPriority w:val="99"/>
    <w:semiHidden/>
    <w:unhideWhenUsed/>
    <w:rsid w:val="00BF2877"/>
    <w:rPr>
      <w:sz w:val="16"/>
      <w:szCs w:val="16"/>
    </w:rPr>
  </w:style>
  <w:style w:type="paragraph" w:styleId="CommentText">
    <w:name w:val="annotation text"/>
    <w:basedOn w:val="Normal"/>
    <w:link w:val="CommentTextChar"/>
    <w:uiPriority w:val="99"/>
    <w:unhideWhenUsed/>
    <w:rsid w:val="00BF2877"/>
    <w:pPr>
      <w:spacing w:line="240" w:lineRule="auto"/>
    </w:pPr>
    <w:rPr>
      <w:sz w:val="20"/>
      <w:szCs w:val="20"/>
    </w:rPr>
  </w:style>
  <w:style w:type="character" w:customStyle="1" w:styleId="CommentTextChar">
    <w:name w:val="Comment Text Char"/>
    <w:basedOn w:val="DefaultParagraphFont"/>
    <w:link w:val="CommentText"/>
    <w:uiPriority w:val="99"/>
    <w:rsid w:val="00BF2877"/>
    <w:rPr>
      <w:rFonts w:ascii="Times New Roman" w:hAnsi="Times New Roman"/>
      <w:sz w:val="20"/>
      <w:szCs w:val="20"/>
      <w:lang w:val="en-AU"/>
    </w:rPr>
  </w:style>
  <w:style w:type="paragraph" w:styleId="CommentSubject">
    <w:name w:val="annotation subject"/>
    <w:basedOn w:val="CommentText"/>
    <w:next w:val="CommentText"/>
    <w:link w:val="CommentSubjectChar"/>
    <w:uiPriority w:val="99"/>
    <w:semiHidden/>
    <w:unhideWhenUsed/>
    <w:rsid w:val="00BF2877"/>
    <w:rPr>
      <w:b/>
      <w:bCs/>
    </w:rPr>
  </w:style>
  <w:style w:type="character" w:customStyle="1" w:styleId="CommentSubjectChar">
    <w:name w:val="Comment Subject Char"/>
    <w:basedOn w:val="CommentTextChar"/>
    <w:link w:val="CommentSubject"/>
    <w:uiPriority w:val="99"/>
    <w:semiHidden/>
    <w:rsid w:val="00BF2877"/>
    <w:rPr>
      <w:rFonts w:ascii="Times New Roman" w:hAnsi="Times New Roman"/>
      <w:b/>
      <w:bCs/>
      <w:sz w:val="20"/>
      <w:szCs w:val="20"/>
      <w:lang w:val="en-AU"/>
    </w:rPr>
  </w:style>
  <w:style w:type="paragraph" w:styleId="BalloonText">
    <w:name w:val="Balloon Text"/>
    <w:basedOn w:val="Normal"/>
    <w:link w:val="BalloonTextChar"/>
    <w:uiPriority w:val="99"/>
    <w:semiHidden/>
    <w:unhideWhenUsed/>
    <w:rsid w:val="0068234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341"/>
    <w:rPr>
      <w:rFonts w:ascii="Segoe UI" w:hAnsi="Segoe UI" w:cs="Segoe UI"/>
      <w:sz w:val="18"/>
      <w:szCs w:val="18"/>
      <w:lang w:val="en-AU"/>
    </w:rPr>
  </w:style>
  <w:style w:type="character" w:styleId="LineNumber">
    <w:name w:val="line number"/>
    <w:basedOn w:val="DefaultParagraphFont"/>
    <w:uiPriority w:val="99"/>
    <w:semiHidden/>
    <w:unhideWhenUsed/>
    <w:rsid w:val="00854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98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Beibei He</dc:creator>
  <cp:keywords/>
  <dc:description/>
  <cp:lastModifiedBy>Beibei He</cp:lastModifiedBy>
  <cp:revision>2</cp:revision>
  <dcterms:created xsi:type="dcterms:W3CDTF">2026-05-10T00:59:00Z</dcterms:created>
  <dcterms:modified xsi:type="dcterms:W3CDTF">2026-05-10T00:59:00Z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b9b138a3-497b-4cf2-bf47-a4fcb8a6506d</vt:lpwstr>
  </property>
</Properties>
</file>