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B22D8" w14:textId="29EA3461" w:rsidR="0028769D" w:rsidRDefault="0028769D" w:rsidP="0028769D">
      <w:r w:rsidRPr="00180D22">
        <w:t xml:space="preserve">Explanatory models for medically unexplained symptoms aim to </w:t>
      </w:r>
      <w:r w:rsidR="00FF7E3A">
        <w:t xml:space="preserve">help </w:t>
      </w:r>
      <w:r w:rsidRPr="00180D22">
        <w:t xml:space="preserve">patients </w:t>
      </w:r>
      <w:r w:rsidR="00FF7E3A">
        <w:t>create a</w:t>
      </w:r>
      <w:r w:rsidRPr="00180D22">
        <w:t xml:space="preserve"> coherent, non-dualistic understanding of their experiences. Contemporary models typically integrate biological, psychological, and social processes, rather than attributing symptoms to a single cause. The following are examples of commonly cited mechanisms</w:t>
      </w:r>
      <w:r>
        <w:t>; they</w:t>
      </w:r>
      <w:r w:rsidRPr="00EA2213">
        <w:t xml:space="preserve"> are n</w:t>
      </w:r>
      <w:r w:rsidR="009644EC">
        <w:t>ot</w:t>
      </w:r>
      <w:r w:rsidRPr="00EA2213">
        <w:t xml:space="preserve"> exclusive and often operate in combination</w:t>
      </w:r>
      <w:r>
        <w:t>.</w:t>
      </w:r>
    </w:p>
    <w:p w14:paraId="2E54AA96" w14:textId="569904CF" w:rsidR="0028769D" w:rsidRPr="00EA2213" w:rsidRDefault="0028769D" w:rsidP="0028769D">
      <w:r w:rsidRPr="0028769D">
        <w:rPr>
          <w:b/>
          <w:bCs/>
        </w:rPr>
        <w:t>1. Neurobiological stress response model</w:t>
      </w:r>
      <w:r>
        <w:br/>
      </w:r>
      <w:r w:rsidRPr="00EA2213">
        <w:t>Activation of the physiological stress response is a normal</w:t>
      </w:r>
      <w:r w:rsidR="009D0347">
        <w:t>,</w:t>
      </w:r>
      <w:r w:rsidRPr="00EA2213">
        <w:t xml:space="preserve"> adaptive process that enables the body to respond to internal and external </w:t>
      </w:r>
      <w:r w:rsidR="009644EC">
        <w:t>demands</w:t>
      </w:r>
      <w:r w:rsidRPr="00EA2213">
        <w:t>. However, when stress responses are severe, frequent, or prolonged, they may contribute to both physical and psychological symptoms.</w:t>
      </w:r>
    </w:p>
    <w:p w14:paraId="01210879" w14:textId="77777777" w:rsidR="0028769D" w:rsidRPr="00EA2213" w:rsidRDefault="0028769D" w:rsidP="0028769D">
      <w:r w:rsidRPr="00EA2213">
        <w:t>Stress responses can be triggered by a wide range of stressors, including physical illness, injury, emotional distress, cognitive strain, or adverse social circumstances. These responses involve multiple interacting systems, including:</w:t>
      </w:r>
    </w:p>
    <w:p w14:paraId="6B4EC479" w14:textId="2D8C7AA0" w:rsidR="0028769D" w:rsidRPr="00EA2213" w:rsidRDefault="0028769D" w:rsidP="0028769D">
      <w:pPr>
        <w:numPr>
          <w:ilvl w:val="0"/>
          <w:numId w:val="1"/>
        </w:numPr>
      </w:pPr>
      <w:r w:rsidRPr="00EA2213">
        <w:t>The hypothalamic</w:t>
      </w:r>
      <w:r w:rsidR="006A2EDF">
        <w:t>-</w:t>
      </w:r>
      <w:r w:rsidRPr="00EA2213">
        <w:t>pituitary</w:t>
      </w:r>
      <w:r w:rsidR="006A2EDF">
        <w:t>-</w:t>
      </w:r>
      <w:r w:rsidRPr="00EA2213">
        <w:t>adrenal (HPA) axis</w:t>
      </w:r>
    </w:p>
    <w:p w14:paraId="47D450D7" w14:textId="77777777" w:rsidR="0028769D" w:rsidRPr="00EA2213" w:rsidRDefault="0028769D" w:rsidP="0028769D">
      <w:pPr>
        <w:numPr>
          <w:ilvl w:val="0"/>
          <w:numId w:val="1"/>
        </w:numPr>
      </w:pPr>
      <w:r w:rsidRPr="00EA2213">
        <w:t>The autonomic nervous system</w:t>
      </w:r>
    </w:p>
    <w:p w14:paraId="372E294A" w14:textId="5CE62E59" w:rsidR="0028769D" w:rsidRPr="00EA2213" w:rsidRDefault="0028769D" w:rsidP="0028769D">
      <w:pPr>
        <w:numPr>
          <w:ilvl w:val="0"/>
          <w:numId w:val="1"/>
        </w:numPr>
      </w:pPr>
      <w:r w:rsidRPr="00EA2213">
        <w:t>Immune and inflammatory pathways</w:t>
      </w:r>
    </w:p>
    <w:p w14:paraId="00F2C5EB" w14:textId="0C2A3EFF" w:rsidR="0028769D" w:rsidRPr="00EA2213" w:rsidRDefault="0028769D" w:rsidP="0028769D">
      <w:pPr>
        <w:numPr>
          <w:ilvl w:val="0"/>
          <w:numId w:val="1"/>
        </w:numPr>
      </w:pPr>
      <w:r w:rsidRPr="00EA2213">
        <w:t>Brain networks involved in salience detection, arousal, affect regulation, and pain processing</w:t>
      </w:r>
    </w:p>
    <w:p w14:paraId="7C9F672A" w14:textId="475A4F37" w:rsidR="0028769D" w:rsidRPr="00EA2213" w:rsidRDefault="0028769D" w:rsidP="0028769D">
      <w:r w:rsidRPr="00EA2213">
        <w:t xml:space="preserve">Dysregulation across these systems has been implicated in the development and persistence of </w:t>
      </w:r>
      <w:r w:rsidR="006765A8">
        <w:t>medically unexplained</w:t>
      </w:r>
      <w:r w:rsidRPr="00EA2213">
        <w:t xml:space="preserve"> symptoms.</w:t>
      </w:r>
    </w:p>
    <w:p w14:paraId="0A45A934" w14:textId="1DF6406F" w:rsidR="0028769D" w:rsidRPr="00EA2213" w:rsidRDefault="0028769D" w:rsidP="0028769D">
      <w:pPr>
        <w:rPr>
          <w:b/>
          <w:bCs/>
        </w:rPr>
      </w:pPr>
      <w:r w:rsidRPr="00EA2213">
        <w:rPr>
          <w:b/>
          <w:bCs/>
        </w:rPr>
        <w:t>2. Central sensitisation</w:t>
      </w:r>
    </w:p>
    <w:p w14:paraId="2B8359CC" w14:textId="5DB427C5" w:rsidR="00F46271" w:rsidRDefault="0028769D" w:rsidP="00F46271">
      <w:r w:rsidRPr="00EA2213">
        <w:t>Central sensitisation refers to increased re</w:t>
      </w:r>
      <w:r w:rsidR="009644EC">
        <w:t>activity</w:t>
      </w:r>
      <w:r w:rsidRPr="00EA2213">
        <w:t xml:space="preserve"> of the central nervous system to sensory input. Repeated or sustained nociceptive input, </w:t>
      </w:r>
      <w:r w:rsidR="009644EC">
        <w:t>alongside</w:t>
      </w:r>
      <w:r w:rsidRPr="00EA2213">
        <w:t xml:space="preserve"> stress-related neurobiological changes, may lead to alterations in pain and sensory processing.</w:t>
      </w:r>
      <w:r w:rsidR="00F46271">
        <w:t xml:space="preserve"> </w:t>
      </w:r>
      <w:r w:rsidRPr="00EA2213">
        <w:t>These changes can result in</w:t>
      </w:r>
      <w:r>
        <w:t xml:space="preserve"> h</w:t>
      </w:r>
      <w:r w:rsidRPr="00EA2213">
        <w:t>yperalgesia</w:t>
      </w:r>
      <w:r>
        <w:t xml:space="preserve"> (</w:t>
      </w:r>
      <w:r w:rsidRPr="00EA2213">
        <w:t>heightened sensitivity to painful stimuli</w:t>
      </w:r>
      <w:r>
        <w:t>) and a</w:t>
      </w:r>
      <w:r w:rsidRPr="00EA2213">
        <w:t>llodynia</w:t>
      </w:r>
      <w:r>
        <w:t xml:space="preserve"> (</w:t>
      </w:r>
      <w:r w:rsidRPr="00EA2213">
        <w:t>perception of normally non-painful stimuli as painfu</w:t>
      </w:r>
      <w:r>
        <w:t>l).</w:t>
      </w:r>
      <w:r w:rsidR="00377770">
        <w:t xml:space="preserve"> </w:t>
      </w:r>
    </w:p>
    <w:p w14:paraId="101B15F3" w14:textId="61CCCE8E" w:rsidR="0028769D" w:rsidRPr="00EA2213" w:rsidRDefault="00BD19DA" w:rsidP="0028769D">
      <w:pPr>
        <w:tabs>
          <w:tab w:val="num" w:pos="720"/>
        </w:tabs>
      </w:pPr>
      <w:r>
        <w:t>In other words,</w:t>
      </w:r>
      <w:r w:rsidR="00377770">
        <w:t xml:space="preserve"> the body’s “alarm system” </w:t>
      </w:r>
      <w:r>
        <w:t>becomes hyper</w:t>
      </w:r>
      <w:r w:rsidR="00377770">
        <w:t>sensitive</w:t>
      </w:r>
      <w:r w:rsidR="00310E5B">
        <w:t xml:space="preserve">, </w:t>
      </w:r>
      <w:r w:rsidR="0013074E" w:rsidRPr="00EA2213">
        <w:t>amplify</w:t>
      </w:r>
      <w:r w:rsidR="00310E5B">
        <w:t>ing</w:t>
      </w:r>
      <w:r w:rsidR="0013074E" w:rsidRPr="00EA2213">
        <w:t xml:space="preserve"> the </w:t>
      </w:r>
      <w:r w:rsidR="009644EC">
        <w:t>experiential</w:t>
      </w:r>
      <w:r w:rsidR="0013074E" w:rsidRPr="00EA2213">
        <w:t xml:space="preserve"> intensity of symptoms even in the absence of </w:t>
      </w:r>
      <w:r w:rsidR="009644EC">
        <w:t>present</w:t>
      </w:r>
      <w:r w:rsidR="0013074E" w:rsidRPr="00EA2213">
        <w:t xml:space="preserve"> tissue damage.</w:t>
      </w:r>
    </w:p>
    <w:p w14:paraId="185B1E06" w14:textId="77777777" w:rsidR="0028769D" w:rsidRPr="00EA2213" w:rsidRDefault="0028769D" w:rsidP="0028769D">
      <w:pPr>
        <w:rPr>
          <w:b/>
          <w:bCs/>
        </w:rPr>
      </w:pPr>
      <w:r w:rsidRPr="00EA2213">
        <w:rPr>
          <w:b/>
          <w:bCs/>
        </w:rPr>
        <w:t>3. Self-perpetuating symptom cycles</w:t>
      </w:r>
    </w:p>
    <w:p w14:paraId="7A9B97A1" w14:textId="122A2753" w:rsidR="0028769D" w:rsidRPr="00EA2213" w:rsidRDefault="0028769D" w:rsidP="0028769D">
      <w:r w:rsidRPr="00EA2213">
        <w:t xml:space="preserve">Regardless of the original precipitating factor, symptoms may be maintained by </w:t>
      </w:r>
      <w:r w:rsidR="009644EC">
        <w:t>interrelated</w:t>
      </w:r>
      <w:r w:rsidRPr="00EA2213">
        <w:t xml:space="preserve"> physiological, cognitive, emotional, and behavioural processes.</w:t>
      </w:r>
    </w:p>
    <w:p w14:paraId="3E14F852" w14:textId="77777777" w:rsidR="0028769D" w:rsidRPr="00EA2213" w:rsidRDefault="0028769D" w:rsidP="0028769D">
      <w:r w:rsidRPr="00EA2213">
        <w:t>For example, symptoms that are perceived as threatening or unexplained may:</w:t>
      </w:r>
    </w:p>
    <w:p w14:paraId="45872CF1" w14:textId="77777777" w:rsidR="0028769D" w:rsidRPr="00EA2213" w:rsidRDefault="0028769D" w:rsidP="0028769D">
      <w:pPr>
        <w:numPr>
          <w:ilvl w:val="0"/>
          <w:numId w:val="3"/>
        </w:numPr>
      </w:pPr>
      <w:r w:rsidRPr="00EA2213">
        <w:t>Activate physiological stress responses affecting multiple organ systems (e.g., cardiovascular, gastrointestinal, musculoskeletal)</w:t>
      </w:r>
    </w:p>
    <w:p w14:paraId="6DD3FA81" w14:textId="0EE30014" w:rsidR="0028769D" w:rsidRPr="00EA2213" w:rsidRDefault="0028769D" w:rsidP="0028769D">
      <w:pPr>
        <w:numPr>
          <w:ilvl w:val="0"/>
          <w:numId w:val="3"/>
        </w:numPr>
      </w:pPr>
      <w:r w:rsidRPr="00EA2213">
        <w:lastRenderedPageBreak/>
        <w:t xml:space="preserve">Lead to maladaptive behavioural responses, such </w:t>
      </w:r>
      <w:r>
        <w:t>as hypervigilance of symptoms and bodily sensations,</w:t>
      </w:r>
      <w:r w:rsidR="00434895">
        <w:t xml:space="preserve"> rumination and catastrophising, </w:t>
      </w:r>
      <w:r>
        <w:t xml:space="preserve">excessive reassurance seeking, and </w:t>
      </w:r>
      <w:r w:rsidRPr="00EA2213">
        <w:t>activity avoidance</w:t>
      </w:r>
      <w:r>
        <w:t xml:space="preserve"> </w:t>
      </w:r>
    </w:p>
    <w:p w14:paraId="783E28B6" w14:textId="686E34C5" w:rsidR="0028769D" w:rsidRPr="00EA2213" w:rsidRDefault="0028769D" w:rsidP="0028769D">
      <w:pPr>
        <w:numPr>
          <w:ilvl w:val="0"/>
          <w:numId w:val="3"/>
        </w:numPr>
      </w:pPr>
      <w:r w:rsidRPr="00EA2213">
        <w:t xml:space="preserve">Contribute to deconditioning, social withdrawal, </w:t>
      </w:r>
      <w:r w:rsidR="00F46271">
        <w:t>increased stress, and</w:t>
      </w:r>
      <w:r w:rsidRPr="00EA2213">
        <w:t xml:space="preserve"> reduced self-care</w:t>
      </w:r>
    </w:p>
    <w:p w14:paraId="03ACC615" w14:textId="77777777" w:rsidR="0028769D" w:rsidRPr="00EA2213" w:rsidRDefault="0028769D" w:rsidP="0028769D">
      <w:r w:rsidRPr="00EA2213">
        <w:t>These processes can form self-reinforcing cycles in which physiological arousal, symptom monitoring, and behavioural changes interact to perpetuate or amplify symptoms over time.</w:t>
      </w:r>
    </w:p>
    <w:p w14:paraId="1637BFC4" w14:textId="77777777" w:rsidR="0028769D" w:rsidRDefault="0028769D" w:rsidP="0028769D"/>
    <w:p w14:paraId="73C47527" w14:textId="77777777" w:rsidR="0028769D" w:rsidRDefault="0028769D" w:rsidP="0028769D"/>
    <w:p w14:paraId="4792A77E" w14:textId="77777777" w:rsidR="000D4B23" w:rsidRDefault="000D4B23"/>
    <w:sectPr w:rsidR="000D4B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8075DC"/>
    <w:multiLevelType w:val="multilevel"/>
    <w:tmpl w:val="75328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EC57E6"/>
    <w:multiLevelType w:val="multilevel"/>
    <w:tmpl w:val="AA5E4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1C1B91"/>
    <w:multiLevelType w:val="multilevel"/>
    <w:tmpl w:val="7A36D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2988969">
    <w:abstractNumId w:val="1"/>
  </w:num>
  <w:num w:numId="2" w16cid:durableId="1803770351">
    <w:abstractNumId w:val="0"/>
  </w:num>
  <w:num w:numId="3" w16cid:durableId="7501293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769D"/>
    <w:rsid w:val="000918D0"/>
    <w:rsid w:val="000D4B23"/>
    <w:rsid w:val="0013074E"/>
    <w:rsid w:val="0028769D"/>
    <w:rsid w:val="00310E5B"/>
    <w:rsid w:val="00377770"/>
    <w:rsid w:val="00434895"/>
    <w:rsid w:val="006765A8"/>
    <w:rsid w:val="006A2EDF"/>
    <w:rsid w:val="006F0AD7"/>
    <w:rsid w:val="00826EB3"/>
    <w:rsid w:val="00936BD0"/>
    <w:rsid w:val="009644EC"/>
    <w:rsid w:val="00996298"/>
    <w:rsid w:val="009D0347"/>
    <w:rsid w:val="00B00DEC"/>
    <w:rsid w:val="00B7052D"/>
    <w:rsid w:val="00BD19DA"/>
    <w:rsid w:val="00C81E1A"/>
    <w:rsid w:val="00D11290"/>
    <w:rsid w:val="00DB5CCC"/>
    <w:rsid w:val="00EC0B95"/>
    <w:rsid w:val="00F46271"/>
    <w:rsid w:val="00FA76D3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AA09D"/>
  <w15:chartTrackingRefBased/>
  <w15:docId w15:val="{31C694B4-9272-4B73-9083-5C17DADCD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69D"/>
  </w:style>
  <w:style w:type="paragraph" w:styleId="Heading1">
    <w:name w:val="heading 1"/>
    <w:basedOn w:val="Normal"/>
    <w:next w:val="Normal"/>
    <w:link w:val="Heading1Char"/>
    <w:uiPriority w:val="9"/>
    <w:qFormat/>
    <w:rsid w:val="002876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76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76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76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76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76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76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76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76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6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76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76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76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76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76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76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76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76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76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76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76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76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76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76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76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76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76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76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769D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28769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9F265FF-5946-42CA-971A-1F40DE4FBA09}">
  <we:reference id="wa104382081" version="1.55.1.0" store="en-US" storeType="OMEX"/>
  <we:alternateReferences>
    <we:reference id="WA104382081" version="1.55.1.0" store="" storeType="OMEX"/>
  </we:alternateReferences>
  <we:properties>
    <we:property name="MENDELEY_CITATIONS" value="[]"/>
    <we:property name="MENDELEY_CITATIONS_LOCALE_CODE" value="&quot;en-GB&quot;"/>
    <we:property name="MENDELEY_CITATIONS_STYLE" value="{&quot;id&quot;:&quot;https://www.zotero.org/styles/sage-vancouver&quot;,&quot;title&quot;:&quot;SAGE - NLM/Vancouver&quot;,&quot;format&quot;:&quot;numeric&quot;,&quot;defaultLocale&quot;:&quot;en-GB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CCBAD-68B4-452A-94FA-D26283844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h</dc:creator>
  <cp:keywords/>
  <dc:description/>
  <cp:lastModifiedBy>H h</cp:lastModifiedBy>
  <cp:revision>21</cp:revision>
  <dcterms:created xsi:type="dcterms:W3CDTF">2026-02-08T02:56:00Z</dcterms:created>
  <dcterms:modified xsi:type="dcterms:W3CDTF">2026-05-02T00:28:00Z</dcterms:modified>
</cp:coreProperties>
</file>