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08F" w:rsidRDefault="0006108F" w:rsidP="0006108F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7955">
        <w:rPr>
          <w:rFonts w:ascii="Times New Roman" w:eastAsia="Times New Roman" w:hAnsi="Times New Roman" w:cs="Times New Roman"/>
          <w:b/>
          <w:sz w:val="24"/>
          <w:szCs w:val="24"/>
        </w:rPr>
        <w:t>Supplemental figures for</w:t>
      </w:r>
      <w:r>
        <w:rPr>
          <w:rFonts w:eastAsia="Calibri"/>
          <w:b/>
          <w:sz w:val="24"/>
        </w:rPr>
        <w:t xml:space="preserve"> “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Nasopharyngeal microbiome analysis of COVID-19 patients using 16S amplicon analysis revealed distinct bacterial profile in de</w:t>
      </w:r>
      <w:r w:rsidR="00DF7955">
        <w:rPr>
          <w:rFonts w:ascii="Times New Roman" w:eastAsia="Times New Roman" w:hAnsi="Times New Roman" w:cs="Times New Roman"/>
          <w:b/>
          <w:sz w:val="24"/>
          <w:szCs w:val="24"/>
        </w:rPr>
        <w:t>mised and recovered individuals”</w:t>
      </w:r>
    </w:p>
    <w:p w:rsidR="0006108F" w:rsidRDefault="0006108F" w:rsidP="0006108F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Dinesh Kumar#, Ramesh Pandit#,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Zarna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Patel,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Sonal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Sharma,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Janvi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Raval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, Madhvi Joshi, and Chaitanya Joshi*</w:t>
      </w:r>
    </w:p>
    <w:p w:rsidR="0006108F" w:rsidRDefault="0006108F" w:rsidP="0006108F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Gujarat Biotechnology Research Centre (GBRC), Department of Science and Technology (DST), Government of Gujarat, 6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Floor, Block B&amp;D, MS Building, Gandhinagar-382011.</w:t>
      </w:r>
    </w:p>
    <w:p w:rsidR="0006108F" w:rsidRDefault="0006108F" w:rsidP="0006108F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Correspondence: </w:t>
      </w:r>
      <w:hyperlink r:id="rId4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director@gbrc.res.in</w:t>
        </w:r>
      </w:hyperlink>
    </w:p>
    <w:p w:rsidR="0006108F" w:rsidRDefault="0006108F" w:rsidP="0006108F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eastAsia="Times New Roman" w:hAnsi="Times New Roman" w:cs="Times New Roman"/>
          <w:sz w:val="24"/>
          <w:szCs w:val="24"/>
        </w:rPr>
        <w:t>These authors have equal contribution.</w:t>
      </w:r>
    </w:p>
    <w:p w:rsidR="0006108F" w:rsidRDefault="0006108F" w:rsidP="0006108F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08F" w:rsidRDefault="0006108F" w:rsidP="0006108F">
      <w:pPr>
        <w:rPr>
          <w:bCs/>
        </w:rPr>
      </w:pPr>
    </w:p>
    <w:p w:rsidR="0006108F" w:rsidRDefault="0006108F">
      <w:pPr>
        <w:spacing w:after="160" w:line="259" w:lineRule="auto"/>
        <w:rPr>
          <w:bCs/>
        </w:rPr>
      </w:pPr>
      <w:r>
        <w:rPr>
          <w:bCs/>
        </w:rPr>
        <w:br w:type="page"/>
      </w:r>
    </w:p>
    <w:p w:rsidR="00C27F2C" w:rsidRDefault="0006108F" w:rsidP="0006108F">
      <w:pPr>
        <w:rPr>
          <w:bCs/>
        </w:rPr>
      </w:pPr>
      <w:r w:rsidRPr="0006108F">
        <w:rPr>
          <w:bCs/>
          <w:noProof/>
          <w:lang w:val="en-IN" w:eastAsia="en-IN" w:bidi="gu-IN"/>
        </w:rPr>
        <w:lastRenderedPageBreak/>
        <w:drawing>
          <wp:inline distT="0" distB="0" distL="0" distR="0">
            <wp:extent cx="5731510" cy="1874270"/>
            <wp:effectExtent l="0" t="0" r="2540" b="0"/>
            <wp:docPr id="1" name="Picture 1" descr="D:\COVID-19 Nasal Metagenome\BMC Microbiome\Supplementary data\Supplementary figure 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VID-19 Nasal Metagenome\BMC Microbiome\Supplementary data\Supplementary figure 1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7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08F" w:rsidRDefault="0006108F" w:rsidP="0006108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Rarefaction curves depicting the sufficient sequencing depth in all the samples. Rarefaction curves were generated in </w:t>
      </w:r>
      <w:proofErr w:type="spellStart"/>
      <w:r w:rsidRPr="00094932">
        <w:rPr>
          <w:rFonts w:ascii="Times New Roman" w:hAnsi="Times New Roman" w:cs="Times New Roman"/>
          <w:sz w:val="24"/>
          <w:szCs w:val="24"/>
          <w:lang w:val="en-US"/>
        </w:rPr>
        <w:t>MicrobiomeAnalyst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where before generating the plots,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the data was also rarefied to even sequencing depth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108F" w:rsidRDefault="0006108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06108F" w:rsidRDefault="0006108F" w:rsidP="0006108F">
      <w:pPr>
        <w:spacing w:line="480" w:lineRule="auto"/>
        <w:jc w:val="both"/>
        <w:rPr>
          <w:bCs/>
        </w:rPr>
      </w:pPr>
      <w:r w:rsidRPr="0006108F">
        <w:rPr>
          <w:bCs/>
          <w:noProof/>
          <w:lang w:val="en-IN" w:eastAsia="en-IN" w:bidi="gu-IN"/>
        </w:rPr>
        <w:lastRenderedPageBreak/>
        <w:drawing>
          <wp:inline distT="0" distB="0" distL="0" distR="0">
            <wp:extent cx="6050943" cy="2281555"/>
            <wp:effectExtent l="0" t="0" r="6985" b="4445"/>
            <wp:docPr id="2" name="Picture 2" descr="D:\COVID-19 Nasal Metagenome\BMC Microbiome\Supplementary data\Supplementary figure 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OVID-19 Nasal Metagenome\BMC Microbiome\Supplementary data\Supplementary figure 2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984" cy="2317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PCoA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plots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(species level)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based on 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Bray-Curtis dissimilarity and with PERMANOVA statistics </w:t>
      </w:r>
      <w:r>
        <w:rPr>
          <w:rFonts w:ascii="Times New Roman" w:hAnsi="Times New Roman" w:cs="Times New Roman"/>
          <w:sz w:val="24"/>
          <w:szCs w:val="24"/>
          <w:lang w:val="en-US"/>
        </w:rPr>
        <w:t>depicting the significant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difference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(p-value &lt;0.001)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the beta diversity between two groups comparison.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A) </w:t>
      </w:r>
      <w:r>
        <w:rPr>
          <w:rFonts w:ascii="Times New Roman" w:hAnsi="Times New Roman" w:cs="Times New Roman"/>
          <w:sz w:val="24"/>
          <w:szCs w:val="24"/>
          <w:lang w:val="en-US"/>
        </w:rPr>
        <w:t>control-demised, B) control-recovered, and C) demised-recovered.</w:t>
      </w:r>
    </w:p>
    <w:p w:rsidR="0006108F" w:rsidRDefault="0006108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6108F">
        <w:rPr>
          <w:rFonts w:ascii="Times New Roman" w:hAnsi="Times New Roman" w:cs="Times New Roman"/>
          <w:noProof/>
          <w:sz w:val="24"/>
          <w:szCs w:val="24"/>
          <w:lang w:val="en-IN" w:eastAsia="en-IN" w:bidi="gu-IN"/>
        </w:rPr>
        <w:lastRenderedPageBreak/>
        <w:drawing>
          <wp:inline distT="0" distB="0" distL="0" distR="0">
            <wp:extent cx="3919993" cy="5620611"/>
            <wp:effectExtent l="0" t="0" r="4445" b="0"/>
            <wp:docPr id="3" name="Picture 3" descr="D:\COVID-19 Nasal Metagenome\BMC Microbiome\Supplementary data\Supplementary figure 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VID-19 Nasal Metagenome\BMC Microbiome\Supplementary data\Supplementary figure 3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739"/>
                    <a:stretch/>
                  </pic:blipFill>
                  <pic:spPr bwMode="auto">
                    <a:xfrm>
                      <a:off x="0" y="0"/>
                      <a:ext cx="3921583" cy="562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08F" w:rsidRPr="008B2657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D3CB1">
        <w:rPr>
          <w:rFonts w:ascii="Times New Roman" w:hAnsi="Times New Roman" w:cs="Times New Roman"/>
          <w:sz w:val="24"/>
          <w:szCs w:val="24"/>
          <w:lang w:val="en-US"/>
        </w:rPr>
        <w:t>Dendrogram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End"/>
      <w:r w:rsidRPr="009D3CB1">
        <w:rPr>
          <w:rFonts w:ascii="Times New Roman" w:hAnsi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showing the clustering of the samples in the different groups i.e. control, recovered, and demised patients. For d</w:t>
      </w:r>
      <w:r w:rsidRPr="009D3CB1">
        <w:rPr>
          <w:rFonts w:ascii="Times New Roman" w:hAnsi="Times New Roman" w:cs="Times New Roman"/>
          <w:sz w:val="24"/>
          <w:szCs w:val="24"/>
          <w:lang w:val="en-US"/>
        </w:rPr>
        <w:t>endrogram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generation, </w:t>
      </w:r>
      <w:r w:rsidRPr="008B2657">
        <w:rPr>
          <w:rFonts w:ascii="Times New Roman" w:hAnsi="Times New Roman" w:cs="Times New Roman"/>
          <w:sz w:val="24"/>
          <w:szCs w:val="24"/>
          <w:lang w:val="en-US"/>
        </w:rPr>
        <w:t xml:space="preserve">Ward was sued as a clustering algorithm and we used two different distance measures, A) </w:t>
      </w:r>
      <w:proofErr w:type="spellStart"/>
      <w:r w:rsidRPr="008B2657">
        <w:rPr>
          <w:rFonts w:ascii="Times New Roman" w:hAnsi="Times New Roman" w:cs="Times New Roman"/>
          <w:sz w:val="24"/>
          <w:szCs w:val="24"/>
          <w:lang w:val="en-US"/>
        </w:rPr>
        <w:t>Jaccard</w:t>
      </w:r>
      <w:proofErr w:type="spellEnd"/>
      <w:r w:rsidRPr="008B2657">
        <w:rPr>
          <w:rFonts w:ascii="Times New Roman" w:hAnsi="Times New Roman" w:cs="Times New Roman"/>
          <w:sz w:val="24"/>
          <w:szCs w:val="24"/>
          <w:lang w:val="en-US"/>
        </w:rPr>
        <w:t xml:space="preserve"> index and B) Bray-Curtis dissimilarity.</w:t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108F" w:rsidRDefault="0006108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108F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gu-IN"/>
        </w:rPr>
        <w:lastRenderedPageBreak/>
        <w:drawing>
          <wp:inline distT="0" distB="0" distL="0" distR="0">
            <wp:extent cx="5731289" cy="2560320"/>
            <wp:effectExtent l="0" t="0" r="3175" b="0"/>
            <wp:docPr id="4" name="Picture 4" descr="D:\COVID-19 Nasal Metagenome\BMC Microbiome\Supplementary data\Supplementary figure 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COVID-19 Nasal Metagenome\BMC Microbiome\Supplementary data\Supplementary figure 4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470"/>
                    <a:stretch/>
                  </pic:blipFill>
                  <pic:spPr bwMode="auto">
                    <a:xfrm>
                      <a:off x="0" y="0"/>
                      <a:ext cx="5731510" cy="2560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08F" w:rsidRPr="00A76BCB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4.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Alpha diversity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comparison 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plots </w:t>
      </w:r>
      <w:r>
        <w:rPr>
          <w:rFonts w:ascii="Times New Roman" w:hAnsi="Times New Roman" w:cs="Times New Roman"/>
          <w:sz w:val="24"/>
          <w:szCs w:val="24"/>
          <w:lang w:val="en-US"/>
        </w:rPr>
        <w:t>for demised and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recovered patients group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showing significant differences (p-value &lt;0.05) w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ith Mann-Whitney/Kruskal-Walis statistical method. </w:t>
      </w:r>
      <w:r>
        <w:rPr>
          <w:rFonts w:ascii="Times New Roman" w:hAnsi="Times New Roman" w:cs="Times New Roman"/>
          <w:sz w:val="24"/>
          <w:szCs w:val="24"/>
          <w:lang w:val="en-US"/>
        </w:rPr>
        <w:t>A), B), and C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), species richness estimated using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observed features, 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>Cho1, ACE index</w:t>
      </w:r>
      <w:r>
        <w:rPr>
          <w:rFonts w:ascii="Times New Roman" w:hAnsi="Times New Roman" w:cs="Times New Roman"/>
          <w:sz w:val="24"/>
          <w:szCs w:val="24"/>
          <w:lang w:val="en-US"/>
        </w:rPr>
        <w:t>, respectively.</w:t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108F" w:rsidRDefault="0006108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108F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gu-IN"/>
        </w:rPr>
        <w:lastRenderedPageBreak/>
        <w:drawing>
          <wp:inline distT="0" distB="0" distL="0" distR="0">
            <wp:extent cx="5731510" cy="3430635"/>
            <wp:effectExtent l="0" t="0" r="2540" b="0"/>
            <wp:docPr id="5" name="Picture 5" descr="D:\COVID-19 Nasal Metagenome\BMC Microbiome\Supplementary data\Supplementary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COVID-19 Nasal Metagenome\BMC Microbiome\Supplementary data\Supplementary figure 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5.</w:t>
      </w:r>
      <w:r w:rsidRPr="00A76B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 bra graph depicting the top most abundant genera in the three groups. Relative abundance of the genera was calculated using STAMP and plotted in </w:t>
      </w:r>
      <w:proofErr w:type="spellStart"/>
      <w:r w:rsidRPr="006A5CAA">
        <w:rPr>
          <w:rFonts w:ascii="Times New Roman" w:hAnsi="Times New Roman" w:cs="Times New Roman"/>
          <w:sz w:val="24"/>
          <w:szCs w:val="24"/>
          <w:lang w:val="en-US"/>
        </w:rPr>
        <w:t>GraphPad</w:t>
      </w:r>
      <w:proofErr w:type="spellEnd"/>
      <w:r w:rsidRPr="006A5CAA">
        <w:rPr>
          <w:rFonts w:ascii="Times New Roman" w:hAnsi="Times New Roman" w:cs="Times New Roman"/>
          <w:sz w:val="24"/>
          <w:szCs w:val="24"/>
          <w:lang w:val="en-US"/>
        </w:rPr>
        <w:t xml:space="preserve"> Prism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6108F" w:rsidRDefault="0006108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108F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gu-IN"/>
        </w:rPr>
        <w:lastRenderedPageBreak/>
        <w:drawing>
          <wp:inline distT="0" distB="0" distL="0" distR="0">
            <wp:extent cx="5764696" cy="4631773"/>
            <wp:effectExtent l="0" t="0" r="7620" b="0"/>
            <wp:docPr id="6" name="Picture 6" descr="D:\COVID-19 Nasal Metagenome\BMC Microbiome\Supplementary data\Supplementary figure 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COVID-19 Nasal Metagenome\BMC Microbiome\Supplementary data\Supplementary figure 6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230" b="35907"/>
                    <a:stretch/>
                  </pic:blipFill>
                  <pic:spPr bwMode="auto">
                    <a:xfrm>
                      <a:off x="0" y="0"/>
                      <a:ext cx="5768835" cy="463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08F" w:rsidRPr="00A76BCB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S6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DE02B3">
        <w:rPr>
          <w:rFonts w:ascii="Times New Roman" w:hAnsi="Times New Roman" w:cs="Times New Roman"/>
          <w:sz w:val="24"/>
          <w:szCs w:val="24"/>
          <w:lang w:val="en-US"/>
        </w:rPr>
        <w:t>An extended error bar plots showing the significant (p-value &lt;0.05) genera present in the nasal cavity of control, recovered and demised patient’s groups.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This analysis was performed in STAMP where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we applied Welch’s t-test (Two-side) with 0.95 CI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Benjamini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-Hochberg FDR for multiple test correction.</w:t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108F" w:rsidRDefault="0006108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108F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gu-IN"/>
        </w:rPr>
        <w:drawing>
          <wp:inline distT="0" distB="0" distL="0" distR="0">
            <wp:extent cx="5731510" cy="3291840"/>
            <wp:effectExtent l="0" t="0" r="2540" b="3810"/>
            <wp:docPr id="7" name="Picture 7" descr="D:\COVID-19 Nasal Metagenome\BMC Microbiome\Supplementary data\Supplementary figure 7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COVID-19 Nasal Metagenome\BMC Microbiome\Supplementary data\Supplementary figure 7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566"/>
                    <a:stretch/>
                  </pic:blipFill>
                  <pic:spPr bwMode="auto">
                    <a:xfrm>
                      <a:off x="0" y="0"/>
                      <a:ext cx="573151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S7</w:t>
      </w:r>
      <w:r w:rsidRPr="00A76BCB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6108F">
        <w:rPr>
          <w:rFonts w:ascii="Times New Roman" w:hAnsi="Times New Roman" w:cs="Times New Roman"/>
          <w:sz w:val="24"/>
          <w:szCs w:val="24"/>
          <w:lang w:val="en-US"/>
        </w:rPr>
        <w:t>A Venn diagrams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4243E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13201">
        <w:rPr>
          <w:rFonts w:ascii="Times New Roman" w:hAnsi="Times New Roman" w:cs="Times New Roman"/>
          <w:sz w:val="24"/>
          <w:szCs w:val="24"/>
          <w:lang w:val="en-US"/>
        </w:rPr>
        <w:t xml:space="preserve">howing </w:t>
      </w:r>
      <w:bookmarkStart w:id="0" w:name="_GoBack"/>
      <w:bookmarkEnd w:id="0"/>
      <w:r w:rsidRPr="0061320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>common and unique taxa in the three groups with their abundance &gt;0.1%. A) genera and B) species.</w:t>
      </w:r>
    </w:p>
    <w:p w:rsidR="0006108F" w:rsidRDefault="0006108F" w:rsidP="000610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108F" w:rsidRDefault="0006108F" w:rsidP="0006108F">
      <w:pPr>
        <w:spacing w:line="480" w:lineRule="auto"/>
        <w:jc w:val="both"/>
        <w:rPr>
          <w:bCs/>
        </w:rPr>
      </w:pPr>
    </w:p>
    <w:p w:rsidR="0006108F" w:rsidRPr="0006108F" w:rsidRDefault="0006108F" w:rsidP="0006108F">
      <w:pPr>
        <w:rPr>
          <w:bCs/>
        </w:rPr>
      </w:pPr>
    </w:p>
    <w:sectPr w:rsidR="0006108F" w:rsidRPr="000610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111"/>
    <w:rsid w:val="0006108F"/>
    <w:rsid w:val="004243EB"/>
    <w:rsid w:val="00704111"/>
    <w:rsid w:val="00C27F2C"/>
    <w:rsid w:val="00DF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0DDDBF-39C1-40FC-A1A6-D9BAEF85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6108F"/>
    <w:pPr>
      <w:spacing w:after="0" w:line="276" w:lineRule="auto"/>
    </w:pPr>
    <w:rPr>
      <w:rFonts w:ascii="Arial" w:eastAsia="Arial" w:hAnsi="Arial" w:cs="Arial"/>
      <w:lang w:val="en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hyperlink" Target="mailto:director@gbrc.res.in" TargetMode="Externa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Ramesh</dc:creator>
  <cp:keywords/>
  <dc:description/>
  <cp:lastModifiedBy>Dr. Ramesh</cp:lastModifiedBy>
  <cp:revision>4</cp:revision>
  <dcterms:created xsi:type="dcterms:W3CDTF">2021-10-06T06:24:00Z</dcterms:created>
  <dcterms:modified xsi:type="dcterms:W3CDTF">2021-10-07T11:39:00Z</dcterms:modified>
</cp:coreProperties>
</file>