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CD9702">
      <w:pPr>
        <w:snapToGrid w:val="0"/>
        <w:spacing w:line="480" w:lineRule="auto"/>
        <w:jc w:val="center"/>
        <w:rPr>
          <w:rFonts w:ascii="Times New Roman Regular" w:hAnsi="Times New Roman Regular" w:cs="Times New Roman Regular"/>
          <w:b/>
          <w:szCs w:val="21"/>
        </w:rPr>
      </w:pPr>
      <w:r>
        <w:rPr>
          <w:rFonts w:ascii="Times New Roman Regular" w:hAnsi="Times New Roman Regular" w:cs="Times New Roman Regular"/>
          <w:b/>
          <w:szCs w:val="21"/>
        </w:rPr>
        <w:t>SUPPLEMENTARY MATERIAL FOR</w:t>
      </w:r>
    </w:p>
    <w:p w14:paraId="584F6E59">
      <w:pPr>
        <w:snapToGrid w:val="0"/>
        <w:spacing w:line="480" w:lineRule="auto"/>
        <w:jc w:val="center"/>
        <w:rPr>
          <w:rFonts w:ascii="Times New Roman Regular" w:hAnsi="Times New Roman Regular" w:cs="Times New Roman Regular"/>
          <w:b/>
          <w:szCs w:val="21"/>
        </w:rPr>
      </w:pPr>
      <w:r>
        <w:rPr>
          <w:rFonts w:ascii="Times New Roman Regular" w:hAnsi="Times New Roman Regular" w:cs="Times New Roman Regular"/>
          <w:b/>
          <w:szCs w:val="21"/>
        </w:rPr>
        <w:t>Full-Spectrum Epidemiological Characteristics of Mycoplasma pneumoniae Infection Across All Age Groups and Healthcare Settings: A Citywide Population-Based Study in Jinhua, China, 2023–2025</w:t>
      </w:r>
    </w:p>
    <w:p w14:paraId="5F407448">
      <w:pPr>
        <w:snapToGrid w:val="0"/>
        <w:spacing w:line="480" w:lineRule="auto"/>
        <w:jc w:val="left"/>
        <w:rPr>
          <w:rFonts w:ascii="Times New Roman Regular" w:hAnsi="Times New Roman Regular" w:cs="Times New Roman Regular"/>
          <w:b/>
          <w:szCs w:val="21"/>
        </w:rPr>
      </w:pPr>
      <w:r>
        <w:rPr>
          <w:rFonts w:ascii="Times New Roman Regular" w:hAnsi="Times New Roman Regular" w:cs="Times New Roman Regular"/>
          <w:b/>
          <w:szCs w:val="21"/>
        </w:rPr>
        <w:t>I</w:t>
      </w:r>
      <w:r>
        <w:rPr>
          <w:rFonts w:hint="eastAsia" w:ascii="Times New Roman Regular" w:hAnsi="Times New Roman Regular" w:cs="Times New Roman Regular"/>
          <w:b/>
          <w:szCs w:val="21"/>
        </w:rPr>
        <w:t xml:space="preserve">. Supplementary </w:t>
      </w:r>
      <w:r>
        <w:rPr>
          <w:rFonts w:ascii="Times New Roman Regular" w:hAnsi="Times New Roman Regular" w:cs="Times New Roman Regular"/>
          <w:b/>
          <w:szCs w:val="21"/>
        </w:rPr>
        <w:t>Tables</w:t>
      </w:r>
    </w:p>
    <w:p w14:paraId="5FC4789C">
      <w:pPr>
        <w:snapToGrid w:val="0"/>
        <w:spacing w:line="480" w:lineRule="auto"/>
        <w:jc w:val="left"/>
        <w:rPr>
          <w:rFonts w:hint="eastAsia" w:ascii="Times New Roman Regular" w:hAnsi="Times New Roman Regular" w:cs="Times New Roman Regular"/>
          <w:b/>
          <w:szCs w:val="21"/>
        </w:rPr>
      </w:pPr>
      <w:r>
        <w:rPr>
          <w:rFonts w:ascii="Times New Roman Regular" w:hAnsi="Times New Roman Regular" w:cs="Times New Roman Regular"/>
          <w:b/>
          <w:szCs w:val="21"/>
        </w:rPr>
        <w:t>Supplementary Table-1.</w:t>
      </w:r>
      <w:r>
        <w:rPr>
          <w:rFonts w:hint="eastAsia" w:ascii="Times New Roman Regular" w:hAnsi="Times New Roman Regular" w:cs="Times New Roman Regular"/>
          <w:szCs w:val="21"/>
        </w:rPr>
        <w:t xml:space="preserve"> </w:t>
      </w:r>
      <w:r>
        <w:rPr>
          <w:rFonts w:ascii="Times New Roman Regular" w:hAnsi="Times New Roman Regular" w:cs="Times New Roman Regular"/>
          <w:b/>
          <w:szCs w:val="21"/>
        </w:rPr>
        <w:t>Baseline characteristics and positivity rates of Mycoplasma pneumoniae infection by year, season, sex, and age group.</w:t>
      </w:r>
    </w:p>
    <w:p w14:paraId="20018345">
      <w:pPr>
        <w:snapToGrid w:val="0"/>
        <w:spacing w:line="480" w:lineRule="auto"/>
        <w:jc w:val="left"/>
        <w:rPr>
          <w:rFonts w:hint="eastAsia" w:ascii="Times New Roman Regular" w:hAnsi="Times New Roman Regular" w:cs="Times New Roman Regular"/>
          <w:b/>
          <w:szCs w:val="21"/>
        </w:rPr>
      </w:pPr>
      <w:r>
        <w:rPr>
          <w:rFonts w:ascii="Times New Roman Regular" w:hAnsi="Times New Roman Regular" w:cs="Times New Roman Regular"/>
          <w:b/>
          <w:szCs w:val="21"/>
        </w:rPr>
        <w:t>Supplementary Table</w:t>
      </w:r>
      <w:r>
        <w:rPr>
          <w:rFonts w:hint="eastAsia" w:ascii="Times New Roman Regular" w:hAnsi="Times New Roman Regular" w:cs="Times New Roman Regular"/>
          <w:b/>
          <w:szCs w:val="21"/>
        </w:rPr>
        <w:t>-</w:t>
      </w:r>
      <w:r>
        <w:rPr>
          <w:rFonts w:ascii="Times New Roman Regular" w:hAnsi="Times New Roman Regular" w:cs="Times New Roman Regular"/>
          <w:b/>
          <w:szCs w:val="21"/>
        </w:rPr>
        <w:t xml:space="preserve">2. </w:t>
      </w:r>
      <w:r>
        <w:rPr>
          <w:rFonts w:ascii="Times New Roman Regular" w:hAnsi="Times New Roman Regular" w:cs="Times New Roman Regular"/>
          <w:b/>
          <w:bCs/>
          <w:szCs w:val="21"/>
        </w:rPr>
        <w:t>Multivariable Logistic Regression Analysis for Mycoplasma pneumoniae Infection</w:t>
      </w:r>
      <w:r>
        <w:rPr>
          <w:rFonts w:ascii="Times New Roman Regular" w:hAnsi="Times New Roman Regular" w:cs="Times New Roman Regular"/>
          <w:b/>
          <w:szCs w:val="21"/>
        </w:rPr>
        <w:t>.</w:t>
      </w:r>
    </w:p>
    <w:p w14:paraId="28E1F4E6">
      <w:pPr>
        <w:snapToGrid w:val="0"/>
        <w:spacing w:line="480" w:lineRule="auto"/>
        <w:jc w:val="left"/>
        <w:rPr>
          <w:rFonts w:hint="eastAsia" w:ascii="Times New Roman Regular" w:hAnsi="Times New Roman Regular" w:cs="Times New Roman Regular"/>
          <w:b/>
          <w:szCs w:val="21"/>
        </w:rPr>
      </w:pPr>
      <w:r>
        <w:rPr>
          <w:rFonts w:ascii="Times New Roman Regular" w:hAnsi="Times New Roman Regular" w:cs="Times New Roman Regular"/>
          <w:b/>
          <w:szCs w:val="21"/>
        </w:rPr>
        <w:t>II</w:t>
      </w:r>
      <w:r>
        <w:rPr>
          <w:rFonts w:hint="eastAsia" w:ascii="Times New Roman Regular" w:hAnsi="Times New Roman Regular" w:cs="Times New Roman Regular"/>
          <w:b/>
          <w:szCs w:val="21"/>
        </w:rPr>
        <w:t>.</w:t>
      </w:r>
      <w:r>
        <w:rPr>
          <w:rFonts w:ascii="Times New Roman Regular" w:hAnsi="Times New Roman Regular" w:cs="Times New Roman Regular"/>
          <w:b/>
          <w:szCs w:val="21"/>
        </w:rPr>
        <w:t>. Supplementary Figures</w:t>
      </w:r>
    </w:p>
    <w:p w14:paraId="1C049DF5">
      <w:pPr>
        <w:snapToGrid w:val="0"/>
        <w:spacing w:line="480" w:lineRule="auto"/>
        <w:jc w:val="left"/>
        <w:rPr>
          <w:rFonts w:ascii="Times New Roman Regular" w:hAnsi="Times New Roman Regular" w:cs="Times New Roman Regular"/>
          <w:b/>
          <w:szCs w:val="21"/>
        </w:rPr>
      </w:pPr>
      <w:r>
        <w:rPr>
          <w:rFonts w:ascii="Times New Roman Regular" w:hAnsi="Times New Roman Regular" w:cs="Times New Roman Regular"/>
          <w:b/>
          <w:szCs w:val="21"/>
        </w:rPr>
        <w:t>Supplementary</w:t>
      </w:r>
      <w:r>
        <w:rPr>
          <w:rFonts w:ascii="Times New Roman Regular" w:hAnsi="Times New Roman Regular" w:cs="Times New Roman Regular"/>
          <w:b/>
          <w:bCs/>
          <w:szCs w:val="21"/>
        </w:rPr>
        <w:t xml:space="preserve"> Figure</w:t>
      </w:r>
      <w:r>
        <w:rPr>
          <w:rFonts w:hint="eastAsia" w:ascii="Times New Roman Regular" w:hAnsi="Times New Roman Regular" w:cs="Times New Roman Regular"/>
          <w:b/>
          <w:bCs/>
          <w:szCs w:val="21"/>
        </w:rPr>
        <w:t>-</w:t>
      </w:r>
      <w:r>
        <w:rPr>
          <w:rFonts w:ascii="Times New Roman Regular" w:hAnsi="Times New Roman Regular" w:cs="Times New Roman Regular"/>
          <w:b/>
          <w:bCs/>
          <w:szCs w:val="21"/>
        </w:rPr>
        <w:t>1. Sensitivity analyses of MP infection risk.</w:t>
      </w:r>
      <w:bookmarkStart w:id="0" w:name="_GoBack"/>
      <w:bookmarkEnd w:id="0"/>
    </w:p>
    <w:p w14:paraId="7471C364">
      <w:pPr>
        <w:snapToGrid w:val="0"/>
        <w:spacing w:line="480" w:lineRule="auto"/>
        <w:jc w:val="center"/>
        <w:rPr>
          <w:rFonts w:ascii="Times New Roman Regular" w:hAnsi="Times New Roman Regular" w:cs="Times New Roman Regular"/>
          <w:b/>
          <w:bCs/>
          <w:szCs w:val="21"/>
        </w:rPr>
      </w:pPr>
      <w:r>
        <w:rPr>
          <w:rFonts w:hint="eastAsia" w:ascii="Times New Roman Regular" w:hAnsi="Times New Roman Regular" w:cs="Times New Roman Regular"/>
          <w:b/>
          <w:szCs w:val="21"/>
        </w:rPr>
        <w:t>Supplementary</w:t>
      </w:r>
      <w:r>
        <w:rPr>
          <w:rFonts w:ascii="Times New Roman Regular" w:hAnsi="Times New Roman Regular" w:cs="Times New Roman Regular"/>
          <w:b/>
          <w:bCs/>
          <w:szCs w:val="21"/>
        </w:rPr>
        <w:t xml:space="preserve"> Table 1. Baseline characteristics and positivity rates of Mycoplasma pneumoniae infection by year, season, sex, and age group</w:t>
      </w:r>
    </w:p>
    <w:tbl>
      <w:tblPr>
        <w:tblStyle w:val="3"/>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76"/>
        <w:gridCol w:w="60"/>
        <w:gridCol w:w="2030"/>
        <w:gridCol w:w="2028"/>
        <w:gridCol w:w="2028"/>
      </w:tblGrid>
      <w:tr w14:paraId="7A9B8092">
        <w:trPr>
          <w:trHeight w:val="285" w:hRule="atLeast"/>
        </w:trPr>
        <w:tc>
          <w:tcPr>
            <w:tcW w:w="1429" w:type="pct"/>
            <w:gridSpan w:val="2"/>
            <w:tcBorders>
              <w:top w:val="single" w:color="auto" w:sz="12" w:space="0"/>
              <w:bottom w:val="single" w:color="auto" w:sz="4" w:space="0"/>
            </w:tcBorders>
            <w:noWrap/>
            <w:vAlign w:val="center"/>
          </w:tcPr>
          <w:p w14:paraId="5EB49FCA">
            <w:pPr>
              <w:widowControl/>
              <w:jc w:val="lef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Characteristic</w:t>
            </w:r>
          </w:p>
        </w:tc>
        <w:tc>
          <w:tcPr>
            <w:tcW w:w="1191" w:type="pct"/>
            <w:tcBorders>
              <w:top w:val="single" w:color="auto" w:sz="12" w:space="0"/>
              <w:bottom w:val="single" w:color="auto" w:sz="4" w:space="0"/>
            </w:tcBorders>
            <w:noWrap/>
            <w:vAlign w:val="center"/>
          </w:tcPr>
          <w:p w14:paraId="5262EEBC">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No. tested</w:t>
            </w:r>
          </w:p>
        </w:tc>
        <w:tc>
          <w:tcPr>
            <w:tcW w:w="1190" w:type="pct"/>
            <w:tcBorders>
              <w:top w:val="single" w:color="auto" w:sz="12" w:space="0"/>
              <w:bottom w:val="single" w:color="auto" w:sz="4" w:space="0"/>
            </w:tcBorders>
            <w:noWrap/>
            <w:vAlign w:val="center"/>
          </w:tcPr>
          <w:p w14:paraId="386D80C8">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No. positive</w:t>
            </w:r>
          </w:p>
        </w:tc>
        <w:tc>
          <w:tcPr>
            <w:tcW w:w="1190" w:type="pct"/>
            <w:tcBorders>
              <w:top w:val="single" w:color="auto" w:sz="12" w:space="0"/>
              <w:bottom w:val="single" w:color="auto" w:sz="4" w:space="0"/>
            </w:tcBorders>
            <w:noWrap/>
            <w:vAlign w:val="center"/>
          </w:tcPr>
          <w:p w14:paraId="5BF2545E">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Positivity rate, %</w:t>
            </w:r>
          </w:p>
        </w:tc>
      </w:tr>
      <w:tr w14:paraId="251EAAEB">
        <w:trPr>
          <w:trHeight w:val="285" w:hRule="atLeast"/>
        </w:trPr>
        <w:tc>
          <w:tcPr>
            <w:tcW w:w="1429" w:type="pct"/>
            <w:gridSpan w:val="2"/>
            <w:tcBorders>
              <w:top w:val="single" w:color="auto" w:sz="4" w:space="0"/>
            </w:tcBorders>
            <w:noWrap/>
            <w:vAlign w:val="center"/>
          </w:tcPr>
          <w:p w14:paraId="3AA06CDB">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Year</w:t>
            </w:r>
          </w:p>
        </w:tc>
        <w:tc>
          <w:tcPr>
            <w:tcW w:w="1191" w:type="pct"/>
            <w:tcBorders>
              <w:top w:val="single" w:color="auto" w:sz="4" w:space="0"/>
            </w:tcBorders>
            <w:noWrap/>
            <w:vAlign w:val="center"/>
          </w:tcPr>
          <w:p w14:paraId="377CE54D">
            <w:pPr>
              <w:widowControl/>
              <w:jc w:val="center"/>
              <w:rPr>
                <w:rFonts w:ascii="Times New Roman" w:hAnsi="Times New Roman" w:eastAsia="等线" w:cs="Times New Roman"/>
                <w:color w:val="000000"/>
                <w:kern w:val="0"/>
                <w:szCs w:val="21"/>
              </w:rPr>
            </w:pPr>
          </w:p>
        </w:tc>
        <w:tc>
          <w:tcPr>
            <w:tcW w:w="1190" w:type="pct"/>
            <w:tcBorders>
              <w:top w:val="single" w:color="auto" w:sz="4" w:space="0"/>
            </w:tcBorders>
            <w:noWrap/>
            <w:vAlign w:val="center"/>
          </w:tcPr>
          <w:p w14:paraId="4D758959">
            <w:pPr>
              <w:widowControl/>
              <w:jc w:val="center"/>
              <w:rPr>
                <w:rFonts w:ascii="Times New Roman" w:hAnsi="Times New Roman" w:eastAsia="Times New Roman" w:cs="Times New Roman"/>
                <w:kern w:val="0"/>
                <w:szCs w:val="21"/>
              </w:rPr>
            </w:pPr>
          </w:p>
        </w:tc>
        <w:tc>
          <w:tcPr>
            <w:tcW w:w="1190" w:type="pct"/>
            <w:tcBorders>
              <w:top w:val="single" w:color="auto" w:sz="4" w:space="0"/>
            </w:tcBorders>
            <w:noWrap/>
            <w:vAlign w:val="center"/>
          </w:tcPr>
          <w:p w14:paraId="3122F506">
            <w:pPr>
              <w:widowControl/>
              <w:jc w:val="center"/>
              <w:rPr>
                <w:rFonts w:ascii="Times New Roman" w:hAnsi="Times New Roman" w:eastAsia="Times New Roman" w:cs="Times New Roman"/>
                <w:kern w:val="0"/>
                <w:szCs w:val="21"/>
              </w:rPr>
            </w:pPr>
          </w:p>
        </w:tc>
      </w:tr>
      <w:tr w14:paraId="5923393B">
        <w:trPr>
          <w:trHeight w:val="285" w:hRule="atLeast"/>
        </w:trPr>
        <w:tc>
          <w:tcPr>
            <w:tcW w:w="1429" w:type="pct"/>
            <w:gridSpan w:val="2"/>
            <w:noWrap/>
            <w:vAlign w:val="center"/>
          </w:tcPr>
          <w:p w14:paraId="248FB4A4">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2023</w:t>
            </w:r>
          </w:p>
        </w:tc>
        <w:tc>
          <w:tcPr>
            <w:tcW w:w="1191" w:type="pct"/>
            <w:noWrap/>
            <w:vAlign w:val="center"/>
          </w:tcPr>
          <w:p w14:paraId="3811C50E">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89394</w:t>
            </w:r>
          </w:p>
        </w:tc>
        <w:tc>
          <w:tcPr>
            <w:tcW w:w="1190" w:type="pct"/>
            <w:noWrap/>
            <w:vAlign w:val="center"/>
          </w:tcPr>
          <w:p w14:paraId="1CC17CE2">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15800</w:t>
            </w:r>
          </w:p>
        </w:tc>
        <w:tc>
          <w:tcPr>
            <w:tcW w:w="1190" w:type="pct"/>
            <w:noWrap/>
            <w:vAlign w:val="center"/>
          </w:tcPr>
          <w:p w14:paraId="45E0B8ED">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17.67</w:t>
            </w:r>
          </w:p>
        </w:tc>
      </w:tr>
      <w:tr w14:paraId="4944A413">
        <w:trPr>
          <w:trHeight w:val="285" w:hRule="atLeast"/>
        </w:trPr>
        <w:tc>
          <w:tcPr>
            <w:tcW w:w="1429" w:type="pct"/>
            <w:gridSpan w:val="2"/>
            <w:noWrap/>
            <w:vAlign w:val="center"/>
          </w:tcPr>
          <w:p w14:paraId="3757842B">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2024</w:t>
            </w:r>
          </w:p>
        </w:tc>
        <w:tc>
          <w:tcPr>
            <w:tcW w:w="1191" w:type="pct"/>
            <w:noWrap/>
            <w:vAlign w:val="center"/>
          </w:tcPr>
          <w:p w14:paraId="33764980">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148788</w:t>
            </w:r>
          </w:p>
        </w:tc>
        <w:tc>
          <w:tcPr>
            <w:tcW w:w="1190" w:type="pct"/>
            <w:noWrap/>
            <w:vAlign w:val="center"/>
          </w:tcPr>
          <w:p w14:paraId="5BEE9235">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12911</w:t>
            </w:r>
          </w:p>
        </w:tc>
        <w:tc>
          <w:tcPr>
            <w:tcW w:w="1190" w:type="pct"/>
            <w:noWrap/>
            <w:vAlign w:val="center"/>
          </w:tcPr>
          <w:p w14:paraId="6A6BEBDE">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8.68</w:t>
            </w:r>
          </w:p>
        </w:tc>
      </w:tr>
      <w:tr w14:paraId="2B9A868C">
        <w:trPr>
          <w:trHeight w:val="285" w:hRule="atLeast"/>
        </w:trPr>
        <w:tc>
          <w:tcPr>
            <w:tcW w:w="1429" w:type="pct"/>
            <w:gridSpan w:val="2"/>
            <w:noWrap/>
            <w:vAlign w:val="center"/>
          </w:tcPr>
          <w:p w14:paraId="6957537A">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2025</w:t>
            </w:r>
          </w:p>
        </w:tc>
        <w:tc>
          <w:tcPr>
            <w:tcW w:w="1191" w:type="pct"/>
            <w:noWrap/>
            <w:vAlign w:val="center"/>
          </w:tcPr>
          <w:p w14:paraId="562A62B5">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61842</w:t>
            </w:r>
          </w:p>
        </w:tc>
        <w:tc>
          <w:tcPr>
            <w:tcW w:w="1190" w:type="pct"/>
            <w:noWrap/>
            <w:vAlign w:val="center"/>
          </w:tcPr>
          <w:p w14:paraId="3319AF78">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586</w:t>
            </w:r>
          </w:p>
        </w:tc>
        <w:tc>
          <w:tcPr>
            <w:tcW w:w="1190" w:type="pct"/>
            <w:noWrap/>
            <w:vAlign w:val="center"/>
          </w:tcPr>
          <w:p w14:paraId="7B6D4FC7">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0.95</w:t>
            </w:r>
          </w:p>
        </w:tc>
      </w:tr>
      <w:tr w14:paraId="2CFD4FA4">
        <w:trPr>
          <w:trHeight w:val="285" w:hRule="atLeast"/>
        </w:trPr>
        <w:tc>
          <w:tcPr>
            <w:tcW w:w="1429" w:type="pct"/>
            <w:gridSpan w:val="2"/>
            <w:noWrap/>
            <w:vAlign w:val="center"/>
          </w:tcPr>
          <w:p w14:paraId="62286912">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Season</w:t>
            </w:r>
          </w:p>
        </w:tc>
        <w:tc>
          <w:tcPr>
            <w:tcW w:w="1191" w:type="pct"/>
            <w:noWrap/>
            <w:vAlign w:val="center"/>
          </w:tcPr>
          <w:p w14:paraId="4353CAEE">
            <w:pPr>
              <w:widowControl/>
              <w:jc w:val="center"/>
              <w:rPr>
                <w:rFonts w:ascii="Times New Roman" w:hAnsi="Times New Roman" w:eastAsia="等线" w:cs="Times New Roman"/>
                <w:color w:val="000000"/>
                <w:kern w:val="0"/>
                <w:szCs w:val="21"/>
              </w:rPr>
            </w:pPr>
          </w:p>
        </w:tc>
        <w:tc>
          <w:tcPr>
            <w:tcW w:w="1190" w:type="pct"/>
            <w:noWrap/>
            <w:vAlign w:val="center"/>
          </w:tcPr>
          <w:p w14:paraId="009CDBD0">
            <w:pPr>
              <w:widowControl/>
              <w:jc w:val="center"/>
              <w:rPr>
                <w:rFonts w:ascii="Times New Roman" w:hAnsi="Times New Roman" w:eastAsia="Times New Roman" w:cs="Times New Roman"/>
                <w:kern w:val="0"/>
                <w:szCs w:val="21"/>
              </w:rPr>
            </w:pPr>
          </w:p>
        </w:tc>
        <w:tc>
          <w:tcPr>
            <w:tcW w:w="1190" w:type="pct"/>
            <w:noWrap/>
            <w:vAlign w:val="center"/>
          </w:tcPr>
          <w:p w14:paraId="1CA97BC1">
            <w:pPr>
              <w:widowControl/>
              <w:jc w:val="center"/>
              <w:rPr>
                <w:rFonts w:ascii="Times New Roman" w:hAnsi="Times New Roman" w:eastAsia="Times New Roman" w:cs="Times New Roman"/>
                <w:kern w:val="0"/>
                <w:szCs w:val="21"/>
              </w:rPr>
            </w:pPr>
          </w:p>
        </w:tc>
      </w:tr>
      <w:tr w14:paraId="3A3DF6B2">
        <w:trPr>
          <w:trHeight w:val="285" w:hRule="atLeast"/>
        </w:trPr>
        <w:tc>
          <w:tcPr>
            <w:tcW w:w="1429" w:type="pct"/>
            <w:gridSpan w:val="2"/>
            <w:noWrap/>
            <w:vAlign w:val="center"/>
          </w:tcPr>
          <w:p w14:paraId="0CE51239">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Spring</w:t>
            </w:r>
          </w:p>
        </w:tc>
        <w:tc>
          <w:tcPr>
            <w:tcW w:w="1191" w:type="pct"/>
            <w:noWrap/>
            <w:vAlign w:val="center"/>
          </w:tcPr>
          <w:p w14:paraId="4AF8C30D">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68918</w:t>
            </w:r>
          </w:p>
        </w:tc>
        <w:tc>
          <w:tcPr>
            <w:tcW w:w="1190" w:type="pct"/>
            <w:noWrap/>
            <w:vAlign w:val="center"/>
          </w:tcPr>
          <w:p w14:paraId="445F9D9B">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5041</w:t>
            </w:r>
          </w:p>
        </w:tc>
        <w:tc>
          <w:tcPr>
            <w:tcW w:w="1190" w:type="pct"/>
            <w:noWrap/>
            <w:vAlign w:val="center"/>
          </w:tcPr>
          <w:p w14:paraId="232E173B">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7.31</w:t>
            </w:r>
          </w:p>
        </w:tc>
      </w:tr>
      <w:tr w14:paraId="729FDEA4">
        <w:trPr>
          <w:trHeight w:val="285" w:hRule="atLeast"/>
        </w:trPr>
        <w:tc>
          <w:tcPr>
            <w:tcW w:w="1429" w:type="pct"/>
            <w:gridSpan w:val="2"/>
            <w:noWrap/>
            <w:vAlign w:val="center"/>
          </w:tcPr>
          <w:p w14:paraId="762DD058">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Summer</w:t>
            </w:r>
          </w:p>
        </w:tc>
        <w:tc>
          <w:tcPr>
            <w:tcW w:w="1191" w:type="pct"/>
            <w:noWrap/>
            <w:vAlign w:val="center"/>
          </w:tcPr>
          <w:p w14:paraId="569EBD53">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113720</w:t>
            </w:r>
          </w:p>
        </w:tc>
        <w:tc>
          <w:tcPr>
            <w:tcW w:w="1190" w:type="pct"/>
            <w:noWrap/>
            <w:vAlign w:val="center"/>
          </w:tcPr>
          <w:p w14:paraId="22D1EEA6">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8220</w:t>
            </w:r>
          </w:p>
        </w:tc>
        <w:tc>
          <w:tcPr>
            <w:tcW w:w="1190" w:type="pct"/>
            <w:noWrap/>
            <w:vAlign w:val="center"/>
          </w:tcPr>
          <w:p w14:paraId="6ABD1372">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7.23</w:t>
            </w:r>
          </w:p>
        </w:tc>
      </w:tr>
      <w:tr w14:paraId="1F775B00">
        <w:trPr>
          <w:trHeight w:val="285" w:hRule="atLeast"/>
        </w:trPr>
        <w:tc>
          <w:tcPr>
            <w:tcW w:w="1429" w:type="pct"/>
            <w:gridSpan w:val="2"/>
            <w:noWrap/>
            <w:vAlign w:val="center"/>
          </w:tcPr>
          <w:p w14:paraId="7A2D3ECC">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Autumn</w:t>
            </w:r>
          </w:p>
        </w:tc>
        <w:tc>
          <w:tcPr>
            <w:tcW w:w="1191" w:type="pct"/>
            <w:noWrap/>
            <w:vAlign w:val="center"/>
          </w:tcPr>
          <w:p w14:paraId="34CF16D0">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67950</w:t>
            </w:r>
          </w:p>
        </w:tc>
        <w:tc>
          <w:tcPr>
            <w:tcW w:w="1190" w:type="pct"/>
            <w:noWrap/>
            <w:vAlign w:val="center"/>
          </w:tcPr>
          <w:p w14:paraId="07AB0966">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10008</w:t>
            </w:r>
          </w:p>
        </w:tc>
        <w:tc>
          <w:tcPr>
            <w:tcW w:w="1190" w:type="pct"/>
            <w:noWrap/>
            <w:vAlign w:val="center"/>
          </w:tcPr>
          <w:p w14:paraId="47944DBE">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14.73</w:t>
            </w:r>
          </w:p>
        </w:tc>
      </w:tr>
      <w:tr w14:paraId="686A47B4">
        <w:trPr>
          <w:trHeight w:val="285" w:hRule="atLeast"/>
        </w:trPr>
        <w:tc>
          <w:tcPr>
            <w:tcW w:w="1429" w:type="pct"/>
            <w:gridSpan w:val="2"/>
            <w:noWrap/>
            <w:vAlign w:val="center"/>
          </w:tcPr>
          <w:p w14:paraId="40EAD4D5">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Winter</w:t>
            </w:r>
          </w:p>
        </w:tc>
        <w:tc>
          <w:tcPr>
            <w:tcW w:w="1191" w:type="pct"/>
            <w:noWrap/>
            <w:vAlign w:val="center"/>
          </w:tcPr>
          <w:p w14:paraId="0BF3D450">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49436</w:t>
            </w:r>
          </w:p>
        </w:tc>
        <w:tc>
          <w:tcPr>
            <w:tcW w:w="1190" w:type="pct"/>
            <w:noWrap/>
            <w:vAlign w:val="center"/>
          </w:tcPr>
          <w:p w14:paraId="2424A7E1">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6028</w:t>
            </w:r>
          </w:p>
        </w:tc>
        <w:tc>
          <w:tcPr>
            <w:tcW w:w="1190" w:type="pct"/>
            <w:noWrap/>
            <w:vAlign w:val="center"/>
          </w:tcPr>
          <w:p w14:paraId="2D4919AA">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12.19</w:t>
            </w:r>
          </w:p>
        </w:tc>
      </w:tr>
      <w:tr w14:paraId="76506AB8">
        <w:trPr>
          <w:trHeight w:val="285" w:hRule="atLeast"/>
        </w:trPr>
        <w:tc>
          <w:tcPr>
            <w:tcW w:w="1429" w:type="pct"/>
            <w:gridSpan w:val="2"/>
            <w:noWrap/>
            <w:vAlign w:val="center"/>
          </w:tcPr>
          <w:p w14:paraId="504DA007">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Sex</w:t>
            </w:r>
          </w:p>
        </w:tc>
        <w:tc>
          <w:tcPr>
            <w:tcW w:w="1191" w:type="pct"/>
            <w:noWrap/>
            <w:vAlign w:val="center"/>
          </w:tcPr>
          <w:p w14:paraId="4D010C00">
            <w:pPr>
              <w:widowControl/>
              <w:jc w:val="center"/>
              <w:rPr>
                <w:rFonts w:ascii="Times New Roman" w:hAnsi="Times New Roman" w:eastAsia="等线" w:cs="Times New Roman"/>
                <w:color w:val="000000"/>
                <w:kern w:val="0"/>
                <w:szCs w:val="21"/>
              </w:rPr>
            </w:pPr>
          </w:p>
        </w:tc>
        <w:tc>
          <w:tcPr>
            <w:tcW w:w="1190" w:type="pct"/>
            <w:noWrap/>
            <w:vAlign w:val="center"/>
          </w:tcPr>
          <w:p w14:paraId="3C364593">
            <w:pPr>
              <w:widowControl/>
              <w:jc w:val="center"/>
              <w:rPr>
                <w:rFonts w:ascii="Times New Roman" w:hAnsi="Times New Roman" w:eastAsia="Times New Roman" w:cs="Times New Roman"/>
                <w:kern w:val="0"/>
                <w:szCs w:val="21"/>
              </w:rPr>
            </w:pPr>
          </w:p>
        </w:tc>
        <w:tc>
          <w:tcPr>
            <w:tcW w:w="1190" w:type="pct"/>
            <w:noWrap/>
            <w:vAlign w:val="center"/>
          </w:tcPr>
          <w:p w14:paraId="0917EF9F">
            <w:pPr>
              <w:widowControl/>
              <w:jc w:val="center"/>
              <w:rPr>
                <w:rFonts w:ascii="Times New Roman" w:hAnsi="Times New Roman" w:eastAsia="Times New Roman" w:cs="Times New Roman"/>
                <w:kern w:val="0"/>
                <w:szCs w:val="21"/>
              </w:rPr>
            </w:pPr>
          </w:p>
        </w:tc>
      </w:tr>
      <w:tr w14:paraId="78F46B5F">
        <w:trPr>
          <w:trHeight w:val="285" w:hRule="atLeast"/>
        </w:trPr>
        <w:tc>
          <w:tcPr>
            <w:tcW w:w="1429" w:type="pct"/>
            <w:gridSpan w:val="2"/>
            <w:noWrap/>
            <w:vAlign w:val="center"/>
          </w:tcPr>
          <w:p w14:paraId="061B0B62">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Male</w:t>
            </w:r>
          </w:p>
        </w:tc>
        <w:tc>
          <w:tcPr>
            <w:tcW w:w="1191" w:type="pct"/>
            <w:noWrap/>
            <w:vAlign w:val="center"/>
          </w:tcPr>
          <w:p w14:paraId="56906FDD">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160025</w:t>
            </w:r>
          </w:p>
        </w:tc>
        <w:tc>
          <w:tcPr>
            <w:tcW w:w="1190" w:type="pct"/>
            <w:noWrap/>
            <w:vAlign w:val="center"/>
          </w:tcPr>
          <w:p w14:paraId="7E205323">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15182</w:t>
            </w:r>
          </w:p>
        </w:tc>
        <w:tc>
          <w:tcPr>
            <w:tcW w:w="1190" w:type="pct"/>
            <w:noWrap/>
            <w:vAlign w:val="center"/>
          </w:tcPr>
          <w:p w14:paraId="39226E76">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9.49</w:t>
            </w:r>
          </w:p>
        </w:tc>
      </w:tr>
      <w:tr w14:paraId="01B8C0B7">
        <w:trPr>
          <w:trHeight w:val="285" w:hRule="atLeast"/>
        </w:trPr>
        <w:tc>
          <w:tcPr>
            <w:tcW w:w="1429" w:type="pct"/>
            <w:gridSpan w:val="2"/>
            <w:noWrap/>
            <w:vAlign w:val="center"/>
          </w:tcPr>
          <w:p w14:paraId="53C818CA">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Female</w:t>
            </w:r>
          </w:p>
        </w:tc>
        <w:tc>
          <w:tcPr>
            <w:tcW w:w="1191" w:type="pct"/>
            <w:noWrap/>
            <w:vAlign w:val="center"/>
          </w:tcPr>
          <w:p w14:paraId="3E6BF232">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139999</w:t>
            </w:r>
          </w:p>
        </w:tc>
        <w:tc>
          <w:tcPr>
            <w:tcW w:w="1190" w:type="pct"/>
            <w:noWrap/>
            <w:vAlign w:val="center"/>
          </w:tcPr>
          <w:p w14:paraId="4E3748D2">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14115</w:t>
            </w:r>
          </w:p>
        </w:tc>
        <w:tc>
          <w:tcPr>
            <w:tcW w:w="1190" w:type="pct"/>
            <w:noWrap/>
            <w:vAlign w:val="center"/>
          </w:tcPr>
          <w:p w14:paraId="39F18644">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10.08</w:t>
            </w:r>
          </w:p>
        </w:tc>
      </w:tr>
      <w:tr w14:paraId="0F3110B3">
        <w:trPr>
          <w:trHeight w:val="285" w:hRule="atLeast"/>
        </w:trPr>
        <w:tc>
          <w:tcPr>
            <w:tcW w:w="1394" w:type="pct"/>
            <w:noWrap/>
            <w:vAlign w:val="center"/>
          </w:tcPr>
          <w:p w14:paraId="17F22D7E">
            <w:pPr>
              <w:widowControl/>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Age group</w:t>
            </w:r>
          </w:p>
        </w:tc>
        <w:tc>
          <w:tcPr>
            <w:tcW w:w="1226" w:type="pct"/>
            <w:gridSpan w:val="2"/>
            <w:vAlign w:val="center"/>
          </w:tcPr>
          <w:p w14:paraId="27C5D013">
            <w:pPr>
              <w:widowControl/>
              <w:jc w:val="center"/>
              <w:rPr>
                <w:rFonts w:ascii="Times New Roman" w:hAnsi="Times New Roman" w:eastAsia="等线" w:cs="Times New Roman"/>
                <w:color w:val="000000"/>
                <w:kern w:val="0"/>
                <w:szCs w:val="21"/>
              </w:rPr>
            </w:pPr>
          </w:p>
        </w:tc>
        <w:tc>
          <w:tcPr>
            <w:tcW w:w="1190" w:type="pct"/>
            <w:noWrap/>
            <w:vAlign w:val="center"/>
          </w:tcPr>
          <w:p w14:paraId="6ACC2718">
            <w:pPr>
              <w:widowControl/>
              <w:jc w:val="center"/>
              <w:rPr>
                <w:rFonts w:ascii="Times New Roman" w:hAnsi="Times New Roman" w:eastAsia="等线" w:cs="Times New Roman"/>
                <w:color w:val="000000"/>
                <w:kern w:val="0"/>
                <w:szCs w:val="21"/>
              </w:rPr>
            </w:pPr>
          </w:p>
        </w:tc>
        <w:tc>
          <w:tcPr>
            <w:tcW w:w="1190" w:type="pct"/>
            <w:noWrap/>
            <w:vAlign w:val="center"/>
          </w:tcPr>
          <w:p w14:paraId="3504AB6C">
            <w:pPr>
              <w:widowControl/>
              <w:jc w:val="center"/>
              <w:rPr>
                <w:rFonts w:ascii="Times New Roman" w:hAnsi="Times New Roman" w:eastAsia="Times New Roman" w:cs="Times New Roman"/>
                <w:kern w:val="0"/>
                <w:szCs w:val="21"/>
              </w:rPr>
            </w:pPr>
          </w:p>
        </w:tc>
      </w:tr>
      <w:tr w14:paraId="5A9477DC">
        <w:trPr>
          <w:trHeight w:val="285" w:hRule="atLeast"/>
        </w:trPr>
        <w:tc>
          <w:tcPr>
            <w:tcW w:w="1429" w:type="pct"/>
            <w:gridSpan w:val="2"/>
            <w:noWrap/>
            <w:vAlign w:val="center"/>
          </w:tcPr>
          <w:p w14:paraId="685A5AEC">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&lt;1 year</w:t>
            </w:r>
          </w:p>
        </w:tc>
        <w:tc>
          <w:tcPr>
            <w:tcW w:w="1191" w:type="pct"/>
            <w:noWrap/>
            <w:vAlign w:val="center"/>
          </w:tcPr>
          <w:p w14:paraId="6D5EFCE7">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15991</w:t>
            </w:r>
          </w:p>
        </w:tc>
        <w:tc>
          <w:tcPr>
            <w:tcW w:w="1190" w:type="pct"/>
            <w:noWrap/>
            <w:vAlign w:val="center"/>
          </w:tcPr>
          <w:p w14:paraId="70191CB5">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722</w:t>
            </w:r>
          </w:p>
        </w:tc>
        <w:tc>
          <w:tcPr>
            <w:tcW w:w="1190" w:type="pct"/>
            <w:noWrap/>
            <w:vAlign w:val="center"/>
          </w:tcPr>
          <w:p w14:paraId="0E6F3016">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4.52</w:t>
            </w:r>
          </w:p>
        </w:tc>
      </w:tr>
      <w:tr w14:paraId="22F08C9F">
        <w:trPr>
          <w:trHeight w:val="285" w:hRule="atLeast"/>
        </w:trPr>
        <w:tc>
          <w:tcPr>
            <w:tcW w:w="1429" w:type="pct"/>
            <w:gridSpan w:val="2"/>
            <w:noWrap/>
            <w:vAlign w:val="center"/>
          </w:tcPr>
          <w:p w14:paraId="0CC711C9">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1–2 years</w:t>
            </w:r>
          </w:p>
        </w:tc>
        <w:tc>
          <w:tcPr>
            <w:tcW w:w="1191" w:type="pct"/>
            <w:noWrap/>
            <w:vAlign w:val="center"/>
          </w:tcPr>
          <w:p w14:paraId="4C01FDD9">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31392</w:t>
            </w:r>
          </w:p>
        </w:tc>
        <w:tc>
          <w:tcPr>
            <w:tcW w:w="1190" w:type="pct"/>
            <w:noWrap/>
            <w:vAlign w:val="center"/>
          </w:tcPr>
          <w:p w14:paraId="03743FA8">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2453</w:t>
            </w:r>
          </w:p>
        </w:tc>
        <w:tc>
          <w:tcPr>
            <w:tcW w:w="1190" w:type="pct"/>
            <w:noWrap/>
            <w:vAlign w:val="center"/>
          </w:tcPr>
          <w:p w14:paraId="1DBAD0FF">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7.81</w:t>
            </w:r>
          </w:p>
        </w:tc>
      </w:tr>
      <w:tr w14:paraId="08C2A7F6">
        <w:trPr>
          <w:trHeight w:val="285" w:hRule="atLeast"/>
        </w:trPr>
        <w:tc>
          <w:tcPr>
            <w:tcW w:w="1429" w:type="pct"/>
            <w:gridSpan w:val="2"/>
            <w:noWrap/>
            <w:vAlign w:val="center"/>
          </w:tcPr>
          <w:p w14:paraId="014F7C45">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3–5 years</w:t>
            </w:r>
          </w:p>
        </w:tc>
        <w:tc>
          <w:tcPr>
            <w:tcW w:w="1191" w:type="pct"/>
            <w:noWrap/>
            <w:vAlign w:val="center"/>
          </w:tcPr>
          <w:p w14:paraId="615F01A3">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54223</w:t>
            </w:r>
          </w:p>
        </w:tc>
        <w:tc>
          <w:tcPr>
            <w:tcW w:w="1190" w:type="pct"/>
            <w:noWrap/>
            <w:vAlign w:val="center"/>
          </w:tcPr>
          <w:p w14:paraId="14CEA841">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8049</w:t>
            </w:r>
          </w:p>
        </w:tc>
        <w:tc>
          <w:tcPr>
            <w:tcW w:w="1190" w:type="pct"/>
            <w:noWrap/>
            <w:vAlign w:val="center"/>
          </w:tcPr>
          <w:p w14:paraId="571982FA">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14.84</w:t>
            </w:r>
          </w:p>
        </w:tc>
      </w:tr>
      <w:tr w14:paraId="13589FE2">
        <w:trPr>
          <w:trHeight w:val="285" w:hRule="atLeast"/>
        </w:trPr>
        <w:tc>
          <w:tcPr>
            <w:tcW w:w="1429" w:type="pct"/>
            <w:gridSpan w:val="2"/>
            <w:noWrap/>
            <w:vAlign w:val="center"/>
          </w:tcPr>
          <w:p w14:paraId="2EB23480">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6–11 years</w:t>
            </w:r>
          </w:p>
        </w:tc>
        <w:tc>
          <w:tcPr>
            <w:tcW w:w="1191" w:type="pct"/>
            <w:noWrap/>
            <w:vAlign w:val="center"/>
          </w:tcPr>
          <w:p w14:paraId="0594EBD2">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65330</w:t>
            </w:r>
          </w:p>
        </w:tc>
        <w:tc>
          <w:tcPr>
            <w:tcW w:w="1190" w:type="pct"/>
            <w:noWrap/>
            <w:vAlign w:val="center"/>
          </w:tcPr>
          <w:p w14:paraId="3D27782F">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14297</w:t>
            </w:r>
          </w:p>
        </w:tc>
        <w:tc>
          <w:tcPr>
            <w:tcW w:w="1190" w:type="pct"/>
            <w:noWrap/>
            <w:vAlign w:val="center"/>
          </w:tcPr>
          <w:p w14:paraId="2E3A72F3">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21.88</w:t>
            </w:r>
          </w:p>
        </w:tc>
      </w:tr>
      <w:tr w14:paraId="20D186A2">
        <w:trPr>
          <w:trHeight w:val="285" w:hRule="atLeast"/>
        </w:trPr>
        <w:tc>
          <w:tcPr>
            <w:tcW w:w="1429" w:type="pct"/>
            <w:gridSpan w:val="2"/>
            <w:noWrap/>
            <w:vAlign w:val="center"/>
          </w:tcPr>
          <w:p w14:paraId="49FA5F24">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12–17 years</w:t>
            </w:r>
          </w:p>
        </w:tc>
        <w:tc>
          <w:tcPr>
            <w:tcW w:w="1191" w:type="pct"/>
            <w:noWrap/>
            <w:vAlign w:val="center"/>
          </w:tcPr>
          <w:p w14:paraId="2520D134">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17419</w:t>
            </w:r>
          </w:p>
        </w:tc>
        <w:tc>
          <w:tcPr>
            <w:tcW w:w="1190" w:type="pct"/>
            <w:noWrap/>
            <w:vAlign w:val="center"/>
          </w:tcPr>
          <w:p w14:paraId="77068BA8">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1448</w:t>
            </w:r>
          </w:p>
        </w:tc>
        <w:tc>
          <w:tcPr>
            <w:tcW w:w="1190" w:type="pct"/>
            <w:noWrap/>
            <w:vAlign w:val="center"/>
          </w:tcPr>
          <w:p w14:paraId="5128AF15">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8.31</w:t>
            </w:r>
          </w:p>
        </w:tc>
      </w:tr>
      <w:tr w14:paraId="7D6362E1">
        <w:trPr>
          <w:trHeight w:val="285" w:hRule="atLeast"/>
        </w:trPr>
        <w:tc>
          <w:tcPr>
            <w:tcW w:w="1429" w:type="pct"/>
            <w:gridSpan w:val="2"/>
            <w:noWrap/>
            <w:vAlign w:val="center"/>
          </w:tcPr>
          <w:p w14:paraId="2126ABB4">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18–44 years</w:t>
            </w:r>
          </w:p>
        </w:tc>
        <w:tc>
          <w:tcPr>
            <w:tcW w:w="1191" w:type="pct"/>
            <w:noWrap/>
            <w:vAlign w:val="center"/>
          </w:tcPr>
          <w:p w14:paraId="6395CA5E">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34791</w:t>
            </w:r>
          </w:p>
        </w:tc>
        <w:tc>
          <w:tcPr>
            <w:tcW w:w="1190" w:type="pct"/>
            <w:noWrap/>
            <w:vAlign w:val="center"/>
          </w:tcPr>
          <w:p w14:paraId="048157E9">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1385</w:t>
            </w:r>
          </w:p>
        </w:tc>
        <w:tc>
          <w:tcPr>
            <w:tcW w:w="1190" w:type="pct"/>
            <w:noWrap/>
            <w:vAlign w:val="center"/>
          </w:tcPr>
          <w:p w14:paraId="71163E5D">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3.98</w:t>
            </w:r>
          </w:p>
        </w:tc>
      </w:tr>
      <w:tr w14:paraId="517BA749">
        <w:trPr>
          <w:trHeight w:val="285" w:hRule="atLeast"/>
        </w:trPr>
        <w:tc>
          <w:tcPr>
            <w:tcW w:w="1429" w:type="pct"/>
            <w:gridSpan w:val="2"/>
            <w:noWrap/>
            <w:vAlign w:val="center"/>
          </w:tcPr>
          <w:p w14:paraId="68D53D8F">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45–59 years</w:t>
            </w:r>
          </w:p>
        </w:tc>
        <w:tc>
          <w:tcPr>
            <w:tcW w:w="1191" w:type="pct"/>
            <w:noWrap/>
            <w:vAlign w:val="center"/>
          </w:tcPr>
          <w:p w14:paraId="57A77F79">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19697</w:t>
            </w:r>
          </w:p>
        </w:tc>
        <w:tc>
          <w:tcPr>
            <w:tcW w:w="1190" w:type="pct"/>
            <w:noWrap/>
            <w:vAlign w:val="center"/>
          </w:tcPr>
          <w:p w14:paraId="4FD22DB5">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382</w:t>
            </w:r>
          </w:p>
        </w:tc>
        <w:tc>
          <w:tcPr>
            <w:tcW w:w="1190" w:type="pct"/>
            <w:noWrap/>
            <w:vAlign w:val="center"/>
          </w:tcPr>
          <w:p w14:paraId="4D30500B">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1.94</w:t>
            </w:r>
          </w:p>
        </w:tc>
      </w:tr>
      <w:tr w14:paraId="28DD13D7">
        <w:trPr>
          <w:trHeight w:val="285" w:hRule="atLeast"/>
        </w:trPr>
        <w:tc>
          <w:tcPr>
            <w:tcW w:w="1429" w:type="pct"/>
            <w:gridSpan w:val="2"/>
            <w:noWrap/>
            <w:vAlign w:val="center"/>
          </w:tcPr>
          <w:p w14:paraId="0FCD8DF0">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60–74 years</w:t>
            </w:r>
          </w:p>
        </w:tc>
        <w:tc>
          <w:tcPr>
            <w:tcW w:w="1191" w:type="pct"/>
            <w:noWrap/>
            <w:vAlign w:val="center"/>
          </w:tcPr>
          <w:p w14:paraId="5BCAF1AC">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31548</w:t>
            </w:r>
          </w:p>
        </w:tc>
        <w:tc>
          <w:tcPr>
            <w:tcW w:w="1190" w:type="pct"/>
            <w:noWrap/>
            <w:vAlign w:val="center"/>
          </w:tcPr>
          <w:p w14:paraId="13A64A40">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336</w:t>
            </w:r>
          </w:p>
        </w:tc>
        <w:tc>
          <w:tcPr>
            <w:tcW w:w="1190" w:type="pct"/>
            <w:noWrap/>
            <w:vAlign w:val="center"/>
          </w:tcPr>
          <w:p w14:paraId="6D7B28E7">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1.07</w:t>
            </w:r>
          </w:p>
        </w:tc>
      </w:tr>
      <w:tr w14:paraId="675215E6">
        <w:trPr>
          <w:trHeight w:val="285" w:hRule="atLeast"/>
        </w:trPr>
        <w:tc>
          <w:tcPr>
            <w:tcW w:w="1429" w:type="pct"/>
            <w:gridSpan w:val="2"/>
            <w:noWrap/>
            <w:vAlign w:val="center"/>
          </w:tcPr>
          <w:p w14:paraId="444EE490">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75–89 years</w:t>
            </w:r>
          </w:p>
        </w:tc>
        <w:tc>
          <w:tcPr>
            <w:tcW w:w="1191" w:type="pct"/>
            <w:noWrap/>
            <w:vAlign w:val="center"/>
          </w:tcPr>
          <w:p w14:paraId="21A350C4">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26241</w:t>
            </w:r>
          </w:p>
        </w:tc>
        <w:tc>
          <w:tcPr>
            <w:tcW w:w="1190" w:type="pct"/>
            <w:noWrap/>
            <w:vAlign w:val="center"/>
          </w:tcPr>
          <w:p w14:paraId="115E2AA0">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168</w:t>
            </w:r>
          </w:p>
        </w:tc>
        <w:tc>
          <w:tcPr>
            <w:tcW w:w="1190" w:type="pct"/>
            <w:noWrap/>
            <w:vAlign w:val="center"/>
          </w:tcPr>
          <w:p w14:paraId="6495F12C">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0.64</w:t>
            </w:r>
          </w:p>
        </w:tc>
      </w:tr>
      <w:tr w14:paraId="1CDA5188">
        <w:trPr>
          <w:trHeight w:val="285" w:hRule="atLeast"/>
        </w:trPr>
        <w:tc>
          <w:tcPr>
            <w:tcW w:w="1429" w:type="pct"/>
            <w:gridSpan w:val="2"/>
            <w:noWrap/>
            <w:vAlign w:val="center"/>
          </w:tcPr>
          <w:p w14:paraId="531F0E7E">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≥90 years</w:t>
            </w:r>
          </w:p>
        </w:tc>
        <w:tc>
          <w:tcPr>
            <w:tcW w:w="1191" w:type="pct"/>
            <w:noWrap/>
            <w:vAlign w:val="center"/>
          </w:tcPr>
          <w:p w14:paraId="697BCDDD">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3392</w:t>
            </w:r>
          </w:p>
        </w:tc>
        <w:tc>
          <w:tcPr>
            <w:tcW w:w="1190" w:type="pct"/>
            <w:noWrap/>
            <w:vAlign w:val="center"/>
          </w:tcPr>
          <w:p w14:paraId="4D958C2C">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57</w:t>
            </w:r>
          </w:p>
        </w:tc>
        <w:tc>
          <w:tcPr>
            <w:tcW w:w="1190" w:type="pct"/>
            <w:noWrap/>
            <w:vAlign w:val="center"/>
          </w:tcPr>
          <w:p w14:paraId="7D2F5B9B">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1.68</w:t>
            </w:r>
          </w:p>
        </w:tc>
      </w:tr>
      <w:tr w14:paraId="4804B0CA">
        <w:trPr>
          <w:trHeight w:val="285" w:hRule="atLeast"/>
        </w:trPr>
        <w:tc>
          <w:tcPr>
            <w:tcW w:w="1429" w:type="pct"/>
            <w:gridSpan w:val="2"/>
            <w:noWrap/>
            <w:vAlign w:val="center"/>
          </w:tcPr>
          <w:p w14:paraId="7E768A92">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Overall</w:t>
            </w:r>
          </w:p>
        </w:tc>
        <w:tc>
          <w:tcPr>
            <w:tcW w:w="1191" w:type="pct"/>
            <w:noWrap/>
            <w:vAlign w:val="center"/>
          </w:tcPr>
          <w:p w14:paraId="24AEFDC6">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300024</w:t>
            </w:r>
          </w:p>
        </w:tc>
        <w:tc>
          <w:tcPr>
            <w:tcW w:w="1190" w:type="pct"/>
            <w:noWrap/>
            <w:vAlign w:val="center"/>
          </w:tcPr>
          <w:p w14:paraId="684A5CC9">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29297</w:t>
            </w:r>
          </w:p>
        </w:tc>
        <w:tc>
          <w:tcPr>
            <w:tcW w:w="1190" w:type="pct"/>
            <w:noWrap/>
            <w:vAlign w:val="center"/>
          </w:tcPr>
          <w:p w14:paraId="07D66C48">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9.76</w:t>
            </w:r>
          </w:p>
        </w:tc>
      </w:tr>
    </w:tbl>
    <w:p w14:paraId="037F0824">
      <w:pPr>
        <w:snapToGrid w:val="0"/>
        <w:spacing w:line="480" w:lineRule="auto"/>
        <w:rPr>
          <w:rFonts w:ascii="Times New Roman Regular" w:hAnsi="Times New Roman Regular" w:cs="Times New Roman Regular"/>
          <w:szCs w:val="21"/>
        </w:rPr>
      </w:pPr>
      <w:r>
        <w:rPr>
          <w:rFonts w:ascii="Times New Roman Regular" w:hAnsi="Times New Roman Regular" w:cs="Times New Roman Regular"/>
          <w:sz w:val="20"/>
          <w:szCs w:val="20"/>
        </w:rPr>
        <w:t>Abbreviation: No., number.</w:t>
      </w:r>
      <w:r>
        <w:rPr>
          <w:rFonts w:hint="eastAsia" w:ascii="Times New Roman Regular" w:hAnsi="Times New Roman Regular" w:cs="Times New Roman Regular"/>
          <w:sz w:val="20"/>
          <w:szCs w:val="20"/>
        </w:rPr>
        <w:t xml:space="preserve"> </w:t>
      </w:r>
      <w:r>
        <w:rPr>
          <w:rFonts w:ascii="Times New Roman Regular" w:hAnsi="Times New Roman Regular" w:cs="Times New Roman Regular"/>
          <w:sz w:val="20"/>
          <w:szCs w:val="20"/>
        </w:rPr>
        <w:t>Notes:</w:t>
      </w:r>
      <w:r>
        <w:rPr>
          <w:rFonts w:hint="eastAsia" w:ascii="Times New Roman Regular" w:hAnsi="Times New Roman Regular" w:cs="Times New Roman Regular"/>
          <w:sz w:val="20"/>
          <w:szCs w:val="20"/>
        </w:rPr>
        <w:t xml:space="preserve"> </w:t>
      </w:r>
      <w:r>
        <w:rPr>
          <w:rFonts w:ascii="Times New Roman Regular" w:hAnsi="Times New Roman Regular" w:cs="Times New Roman Regular"/>
          <w:sz w:val="20"/>
          <w:szCs w:val="20"/>
        </w:rPr>
        <w:t>Positivity rate (%) was calculated as positive cases divided by tested individuals.</w:t>
      </w:r>
      <w:r>
        <w:rPr>
          <w:rFonts w:hint="eastAsia" w:ascii="Times New Roman Regular" w:hAnsi="Times New Roman Regular" w:cs="Times New Roman Regular"/>
          <w:sz w:val="20"/>
          <w:szCs w:val="20"/>
        </w:rPr>
        <w:t xml:space="preserve"> </w:t>
      </w:r>
      <w:r>
        <w:rPr>
          <w:rFonts w:ascii="Times New Roman Regular" w:hAnsi="Times New Roman Regular" w:cs="Times New Roman Regular"/>
          <w:sz w:val="20"/>
          <w:szCs w:val="20"/>
        </w:rPr>
        <w:t>Data are presented as counts and percentages.</w:t>
      </w:r>
    </w:p>
    <w:p w14:paraId="3B67FC95">
      <w:pPr>
        <w:widowControl/>
        <w:snapToGrid w:val="0"/>
        <w:spacing w:line="480" w:lineRule="auto"/>
        <w:jc w:val="center"/>
        <w:rPr>
          <w:rFonts w:ascii="Times New Roman Regular" w:hAnsi="Times New Roman Regular" w:cs="Times New Roman Regular"/>
          <w:b/>
          <w:bCs/>
          <w:szCs w:val="21"/>
        </w:rPr>
      </w:pPr>
      <w:r>
        <w:rPr>
          <w:rFonts w:hint="eastAsia" w:ascii="Times New Roman Regular" w:hAnsi="Times New Roman Regular" w:cs="Times New Roman Regular"/>
          <w:b/>
          <w:szCs w:val="21"/>
        </w:rPr>
        <w:t>Supplementary</w:t>
      </w:r>
      <w:r>
        <w:rPr>
          <w:rFonts w:ascii="Times New Roman Regular" w:hAnsi="Times New Roman Regular" w:eastAsia="宋体" w:cs="Times New Roman Regular"/>
          <w:b/>
          <w:bCs/>
          <w:kern w:val="0"/>
          <w:szCs w:val="21"/>
          <w:lang w:bidi="ar"/>
        </w:rPr>
        <w:t xml:space="preserve"> Table 2. Multivariable Logistic Regression Analysis for Mycoplasma pneumoniae Infection</w:t>
      </w:r>
    </w:p>
    <w:tbl>
      <w:tblPr>
        <w:tblStyle w:val="3"/>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48"/>
        <w:gridCol w:w="680"/>
        <w:gridCol w:w="1669"/>
        <w:gridCol w:w="2156"/>
        <w:gridCol w:w="1669"/>
      </w:tblGrid>
      <w:tr w14:paraId="0A4A38EB">
        <w:trPr>
          <w:trHeight w:val="285" w:hRule="atLeast"/>
        </w:trPr>
        <w:tc>
          <w:tcPr>
            <w:tcW w:w="1777" w:type="pct"/>
            <w:gridSpan w:val="2"/>
            <w:tcBorders>
              <w:top w:val="single" w:color="auto" w:sz="12" w:space="0"/>
              <w:bottom w:val="single" w:color="auto" w:sz="4" w:space="0"/>
            </w:tcBorders>
            <w:noWrap/>
            <w:vAlign w:val="center"/>
          </w:tcPr>
          <w:p w14:paraId="7D1D5F61">
            <w:pPr>
              <w:widowControl/>
              <w:jc w:val="lef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Variable</w:t>
            </w:r>
          </w:p>
        </w:tc>
        <w:tc>
          <w:tcPr>
            <w:tcW w:w="979" w:type="pct"/>
            <w:tcBorders>
              <w:top w:val="single" w:color="auto" w:sz="12" w:space="0"/>
              <w:bottom w:val="single" w:color="auto" w:sz="4" w:space="0"/>
            </w:tcBorders>
            <w:noWrap/>
            <w:vAlign w:val="center"/>
          </w:tcPr>
          <w:p w14:paraId="6AE1058B">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OR</w:t>
            </w:r>
          </w:p>
        </w:tc>
        <w:tc>
          <w:tcPr>
            <w:tcW w:w="1265" w:type="pct"/>
            <w:tcBorders>
              <w:top w:val="single" w:color="auto" w:sz="12" w:space="0"/>
              <w:bottom w:val="single" w:color="auto" w:sz="4" w:space="0"/>
            </w:tcBorders>
            <w:noWrap/>
            <w:vAlign w:val="center"/>
          </w:tcPr>
          <w:p w14:paraId="559EA8B2">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95% CI</w:t>
            </w:r>
          </w:p>
        </w:tc>
        <w:tc>
          <w:tcPr>
            <w:tcW w:w="979" w:type="pct"/>
            <w:tcBorders>
              <w:top w:val="single" w:color="auto" w:sz="12" w:space="0"/>
              <w:bottom w:val="single" w:color="auto" w:sz="4" w:space="0"/>
            </w:tcBorders>
            <w:noWrap/>
            <w:vAlign w:val="center"/>
          </w:tcPr>
          <w:p w14:paraId="42BA909A">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i/>
                <w:iCs/>
                <w:color w:val="000000"/>
                <w:kern w:val="0"/>
                <w:szCs w:val="21"/>
              </w:rPr>
              <w:t>P</w:t>
            </w:r>
            <w:r>
              <w:rPr>
                <w:rFonts w:ascii="Times New Roman" w:hAnsi="Times New Roman" w:eastAsia="等线" w:cs="Times New Roman"/>
                <w:b/>
                <w:bCs/>
                <w:color w:val="000000"/>
                <w:kern w:val="0"/>
                <w:szCs w:val="21"/>
              </w:rPr>
              <w:t xml:space="preserve"> value</w:t>
            </w:r>
          </w:p>
        </w:tc>
      </w:tr>
      <w:tr w14:paraId="0F1DC72C">
        <w:trPr>
          <w:trHeight w:val="285" w:hRule="atLeast"/>
        </w:trPr>
        <w:tc>
          <w:tcPr>
            <w:tcW w:w="1777" w:type="pct"/>
            <w:gridSpan w:val="2"/>
            <w:tcBorders>
              <w:top w:val="single" w:color="auto" w:sz="4" w:space="0"/>
            </w:tcBorders>
            <w:noWrap/>
            <w:vAlign w:val="center"/>
          </w:tcPr>
          <w:p w14:paraId="5C764219">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Age (RCS term 1)</w:t>
            </w:r>
          </w:p>
        </w:tc>
        <w:tc>
          <w:tcPr>
            <w:tcW w:w="979" w:type="pct"/>
            <w:tcBorders>
              <w:top w:val="single" w:color="auto" w:sz="4" w:space="0"/>
            </w:tcBorders>
            <w:noWrap/>
            <w:vAlign w:val="center"/>
          </w:tcPr>
          <w:p w14:paraId="3FD291CC">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1.017</w:t>
            </w:r>
          </w:p>
        </w:tc>
        <w:tc>
          <w:tcPr>
            <w:tcW w:w="1265" w:type="pct"/>
            <w:tcBorders>
              <w:top w:val="single" w:color="auto" w:sz="4" w:space="0"/>
            </w:tcBorders>
            <w:noWrap/>
            <w:vAlign w:val="center"/>
          </w:tcPr>
          <w:p w14:paraId="0C301B59">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1.012–1.021</w:t>
            </w:r>
          </w:p>
        </w:tc>
        <w:tc>
          <w:tcPr>
            <w:tcW w:w="979" w:type="pct"/>
            <w:tcBorders>
              <w:top w:val="single" w:color="auto" w:sz="4" w:space="0"/>
            </w:tcBorders>
            <w:noWrap/>
            <w:vAlign w:val="center"/>
          </w:tcPr>
          <w:p w14:paraId="2C95EFD0">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&lt;0.001</w:t>
            </w:r>
          </w:p>
        </w:tc>
      </w:tr>
      <w:tr w14:paraId="780AD3E0">
        <w:trPr>
          <w:trHeight w:val="285" w:hRule="atLeast"/>
        </w:trPr>
        <w:tc>
          <w:tcPr>
            <w:tcW w:w="1777" w:type="pct"/>
            <w:gridSpan w:val="2"/>
            <w:noWrap/>
            <w:vAlign w:val="center"/>
          </w:tcPr>
          <w:p w14:paraId="046E96D7">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Age (RCS term 2)</w:t>
            </w:r>
          </w:p>
        </w:tc>
        <w:tc>
          <w:tcPr>
            <w:tcW w:w="979" w:type="pct"/>
            <w:noWrap/>
            <w:vAlign w:val="center"/>
          </w:tcPr>
          <w:p w14:paraId="219D5DE5">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1.019</w:t>
            </w:r>
          </w:p>
        </w:tc>
        <w:tc>
          <w:tcPr>
            <w:tcW w:w="1265" w:type="pct"/>
            <w:noWrap/>
            <w:vAlign w:val="center"/>
          </w:tcPr>
          <w:p w14:paraId="2D27DEFA">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1.016–1.023</w:t>
            </w:r>
          </w:p>
        </w:tc>
        <w:tc>
          <w:tcPr>
            <w:tcW w:w="979" w:type="pct"/>
            <w:noWrap/>
            <w:vAlign w:val="center"/>
          </w:tcPr>
          <w:p w14:paraId="6DA1ECEB">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&lt;0.001</w:t>
            </w:r>
          </w:p>
        </w:tc>
      </w:tr>
      <w:tr w14:paraId="4D9D2AF2">
        <w:trPr>
          <w:trHeight w:val="285" w:hRule="atLeast"/>
        </w:trPr>
        <w:tc>
          <w:tcPr>
            <w:tcW w:w="1777" w:type="pct"/>
            <w:gridSpan w:val="2"/>
            <w:noWrap/>
            <w:vAlign w:val="center"/>
          </w:tcPr>
          <w:p w14:paraId="526F36C7">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Sex: Female vs. Male</w:t>
            </w:r>
          </w:p>
        </w:tc>
        <w:tc>
          <w:tcPr>
            <w:tcW w:w="979" w:type="pct"/>
            <w:noWrap/>
            <w:vAlign w:val="center"/>
          </w:tcPr>
          <w:p w14:paraId="0F955A9F">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1.001</w:t>
            </w:r>
          </w:p>
        </w:tc>
        <w:tc>
          <w:tcPr>
            <w:tcW w:w="1265" w:type="pct"/>
            <w:noWrap/>
            <w:vAlign w:val="center"/>
          </w:tcPr>
          <w:p w14:paraId="6FC22F92">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0.847–1.182</w:t>
            </w:r>
          </w:p>
        </w:tc>
        <w:tc>
          <w:tcPr>
            <w:tcW w:w="979" w:type="pct"/>
            <w:noWrap/>
            <w:vAlign w:val="center"/>
          </w:tcPr>
          <w:p w14:paraId="07A7DB85">
            <w:pPr>
              <w:widowControl/>
              <w:jc w:val="center"/>
              <w:rPr>
                <w:rFonts w:hint="eastAsia" w:ascii="Times New Roman" w:hAnsi="Times New Roman" w:eastAsia="等线" w:cs="Times New Roman"/>
                <w:color w:val="000000"/>
                <w:kern w:val="0"/>
                <w:szCs w:val="21"/>
                <w:lang w:val="en-US" w:eastAsia="zh-CN"/>
              </w:rPr>
            </w:pPr>
            <w:r>
              <w:rPr>
                <w:rFonts w:ascii="Times New Roman" w:hAnsi="Times New Roman" w:eastAsia="等线" w:cs="Times New Roman"/>
                <w:color w:val="000000"/>
                <w:kern w:val="0"/>
                <w:szCs w:val="21"/>
              </w:rPr>
              <w:t>0.99</w:t>
            </w:r>
            <w:r>
              <w:rPr>
                <w:rFonts w:hint="eastAsia" w:ascii="Times New Roman" w:hAnsi="Times New Roman" w:eastAsia="等线" w:cs="Times New Roman"/>
                <w:color w:val="000000"/>
                <w:kern w:val="0"/>
                <w:szCs w:val="21"/>
                <w:lang w:val="en-US" w:eastAsia="zh-CN"/>
              </w:rPr>
              <w:t>0</w:t>
            </w:r>
          </w:p>
        </w:tc>
      </w:tr>
      <w:tr w14:paraId="4D88D23C">
        <w:trPr>
          <w:trHeight w:val="285" w:hRule="atLeast"/>
        </w:trPr>
        <w:tc>
          <w:tcPr>
            <w:tcW w:w="1777" w:type="pct"/>
            <w:gridSpan w:val="2"/>
            <w:noWrap/>
            <w:vAlign w:val="center"/>
          </w:tcPr>
          <w:p w14:paraId="21857782">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Year</w:t>
            </w:r>
          </w:p>
        </w:tc>
        <w:tc>
          <w:tcPr>
            <w:tcW w:w="979" w:type="pct"/>
            <w:noWrap/>
            <w:vAlign w:val="center"/>
          </w:tcPr>
          <w:p w14:paraId="184677CB">
            <w:pPr>
              <w:widowControl/>
              <w:jc w:val="center"/>
              <w:rPr>
                <w:rFonts w:ascii="Times New Roman" w:hAnsi="Times New Roman" w:eastAsia="等线" w:cs="Times New Roman"/>
                <w:color w:val="000000"/>
                <w:kern w:val="0"/>
                <w:szCs w:val="21"/>
              </w:rPr>
            </w:pPr>
          </w:p>
        </w:tc>
        <w:tc>
          <w:tcPr>
            <w:tcW w:w="1265" w:type="pct"/>
            <w:noWrap/>
            <w:vAlign w:val="center"/>
          </w:tcPr>
          <w:p w14:paraId="626E57BF">
            <w:pPr>
              <w:widowControl/>
              <w:jc w:val="center"/>
              <w:rPr>
                <w:rFonts w:ascii="Times New Roman" w:hAnsi="Times New Roman" w:eastAsia="Times New Roman" w:cs="Times New Roman"/>
                <w:kern w:val="0"/>
                <w:szCs w:val="21"/>
              </w:rPr>
            </w:pPr>
          </w:p>
        </w:tc>
        <w:tc>
          <w:tcPr>
            <w:tcW w:w="979" w:type="pct"/>
            <w:noWrap/>
            <w:vAlign w:val="center"/>
          </w:tcPr>
          <w:p w14:paraId="3E2932A6">
            <w:pPr>
              <w:widowControl/>
              <w:jc w:val="center"/>
              <w:rPr>
                <w:rFonts w:ascii="Times New Roman" w:hAnsi="Times New Roman" w:eastAsia="Times New Roman" w:cs="Times New Roman"/>
                <w:kern w:val="0"/>
                <w:szCs w:val="21"/>
              </w:rPr>
            </w:pPr>
          </w:p>
        </w:tc>
      </w:tr>
      <w:tr w14:paraId="0B4FE09F">
        <w:trPr>
          <w:trHeight w:val="285" w:hRule="atLeast"/>
        </w:trPr>
        <w:tc>
          <w:tcPr>
            <w:tcW w:w="1777" w:type="pct"/>
            <w:gridSpan w:val="2"/>
            <w:noWrap/>
            <w:vAlign w:val="center"/>
          </w:tcPr>
          <w:p w14:paraId="14F63006">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2023 vs. 2025</w:t>
            </w:r>
          </w:p>
        </w:tc>
        <w:tc>
          <w:tcPr>
            <w:tcW w:w="979" w:type="pct"/>
            <w:noWrap/>
            <w:vAlign w:val="center"/>
          </w:tcPr>
          <w:p w14:paraId="439D230E">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17.889</w:t>
            </w:r>
          </w:p>
        </w:tc>
        <w:tc>
          <w:tcPr>
            <w:tcW w:w="1265" w:type="pct"/>
            <w:noWrap/>
            <w:vAlign w:val="center"/>
          </w:tcPr>
          <w:p w14:paraId="7E56B7DC">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15.727–20.429</w:t>
            </w:r>
          </w:p>
        </w:tc>
        <w:tc>
          <w:tcPr>
            <w:tcW w:w="979" w:type="pct"/>
            <w:noWrap/>
            <w:vAlign w:val="center"/>
          </w:tcPr>
          <w:p w14:paraId="5FD862B7">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&lt;0.001</w:t>
            </w:r>
          </w:p>
        </w:tc>
      </w:tr>
      <w:tr w14:paraId="6A5FE48B">
        <w:trPr>
          <w:trHeight w:val="285" w:hRule="atLeast"/>
        </w:trPr>
        <w:tc>
          <w:tcPr>
            <w:tcW w:w="1777" w:type="pct"/>
            <w:gridSpan w:val="2"/>
            <w:noWrap/>
            <w:vAlign w:val="center"/>
          </w:tcPr>
          <w:p w14:paraId="1268FAF2">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2024 vs. 2025</w:t>
            </w:r>
          </w:p>
        </w:tc>
        <w:tc>
          <w:tcPr>
            <w:tcW w:w="979" w:type="pct"/>
            <w:noWrap/>
            <w:vAlign w:val="center"/>
          </w:tcPr>
          <w:p w14:paraId="606FDED1">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8.903</w:t>
            </w:r>
          </w:p>
        </w:tc>
        <w:tc>
          <w:tcPr>
            <w:tcW w:w="1265" w:type="pct"/>
            <w:noWrap/>
            <w:vAlign w:val="center"/>
          </w:tcPr>
          <w:p w14:paraId="3EC3EE03">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7.827–10.168</w:t>
            </w:r>
          </w:p>
        </w:tc>
        <w:tc>
          <w:tcPr>
            <w:tcW w:w="979" w:type="pct"/>
            <w:noWrap/>
            <w:vAlign w:val="center"/>
          </w:tcPr>
          <w:p w14:paraId="7D8ECD1E">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&lt;0.001</w:t>
            </w:r>
          </w:p>
        </w:tc>
      </w:tr>
      <w:tr w14:paraId="5A631EC3">
        <w:trPr>
          <w:trHeight w:val="285" w:hRule="atLeast"/>
        </w:trPr>
        <w:tc>
          <w:tcPr>
            <w:tcW w:w="1378" w:type="pct"/>
            <w:noWrap/>
            <w:vAlign w:val="center"/>
          </w:tcPr>
          <w:p w14:paraId="61F6682B">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Interactions</w:t>
            </w:r>
          </w:p>
        </w:tc>
        <w:tc>
          <w:tcPr>
            <w:tcW w:w="1378" w:type="pct"/>
            <w:gridSpan w:val="2"/>
            <w:vAlign w:val="center"/>
          </w:tcPr>
          <w:p w14:paraId="7BCF9105">
            <w:pPr>
              <w:widowControl/>
              <w:jc w:val="center"/>
              <w:rPr>
                <w:rFonts w:ascii="Times New Roman" w:hAnsi="Times New Roman" w:eastAsia="等线" w:cs="Times New Roman"/>
                <w:color w:val="000000"/>
                <w:kern w:val="0"/>
                <w:szCs w:val="21"/>
              </w:rPr>
            </w:pPr>
          </w:p>
        </w:tc>
        <w:tc>
          <w:tcPr>
            <w:tcW w:w="1265" w:type="pct"/>
            <w:noWrap/>
            <w:vAlign w:val="center"/>
          </w:tcPr>
          <w:p w14:paraId="64FB5590">
            <w:pPr>
              <w:widowControl/>
              <w:jc w:val="center"/>
              <w:rPr>
                <w:rFonts w:ascii="Times New Roman" w:hAnsi="Times New Roman" w:eastAsia="等线" w:cs="Times New Roman"/>
                <w:color w:val="000000"/>
                <w:kern w:val="0"/>
                <w:szCs w:val="21"/>
              </w:rPr>
            </w:pPr>
          </w:p>
        </w:tc>
        <w:tc>
          <w:tcPr>
            <w:tcW w:w="979" w:type="pct"/>
            <w:noWrap/>
            <w:vAlign w:val="center"/>
          </w:tcPr>
          <w:p w14:paraId="190E731F">
            <w:pPr>
              <w:widowControl/>
              <w:jc w:val="center"/>
              <w:rPr>
                <w:rFonts w:ascii="Times New Roman" w:hAnsi="Times New Roman" w:eastAsia="Times New Roman" w:cs="Times New Roman"/>
                <w:kern w:val="0"/>
                <w:szCs w:val="21"/>
              </w:rPr>
            </w:pPr>
          </w:p>
        </w:tc>
      </w:tr>
      <w:tr w14:paraId="38B3BD32">
        <w:trPr>
          <w:trHeight w:val="285" w:hRule="atLeast"/>
        </w:trPr>
        <w:tc>
          <w:tcPr>
            <w:tcW w:w="1777" w:type="pct"/>
            <w:gridSpan w:val="2"/>
            <w:noWrap/>
            <w:vAlign w:val="center"/>
          </w:tcPr>
          <w:p w14:paraId="27A00904">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Age × Sex</w:t>
            </w:r>
          </w:p>
        </w:tc>
        <w:tc>
          <w:tcPr>
            <w:tcW w:w="979" w:type="pct"/>
            <w:noWrap/>
            <w:vAlign w:val="center"/>
          </w:tcPr>
          <w:p w14:paraId="4186A0B1">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1.001</w:t>
            </w:r>
          </w:p>
        </w:tc>
        <w:tc>
          <w:tcPr>
            <w:tcW w:w="1265" w:type="pct"/>
            <w:noWrap/>
            <w:vAlign w:val="center"/>
          </w:tcPr>
          <w:p w14:paraId="64CF6FA7">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0.999–1.003</w:t>
            </w:r>
          </w:p>
        </w:tc>
        <w:tc>
          <w:tcPr>
            <w:tcW w:w="979" w:type="pct"/>
            <w:noWrap/>
            <w:vAlign w:val="center"/>
          </w:tcPr>
          <w:p w14:paraId="04FB5335">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0.341</w:t>
            </w:r>
          </w:p>
        </w:tc>
      </w:tr>
      <w:tr w14:paraId="7C083146">
        <w:trPr>
          <w:trHeight w:val="285" w:hRule="atLeast"/>
        </w:trPr>
        <w:tc>
          <w:tcPr>
            <w:tcW w:w="1777" w:type="pct"/>
            <w:gridSpan w:val="2"/>
            <w:noWrap/>
            <w:vAlign w:val="center"/>
          </w:tcPr>
          <w:p w14:paraId="626DEFB1">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Age × Year (2023)</w:t>
            </w:r>
          </w:p>
        </w:tc>
        <w:tc>
          <w:tcPr>
            <w:tcW w:w="979" w:type="pct"/>
            <w:noWrap/>
            <w:vAlign w:val="center"/>
          </w:tcPr>
          <w:p w14:paraId="2E9152E9">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1.013</w:t>
            </w:r>
          </w:p>
        </w:tc>
        <w:tc>
          <w:tcPr>
            <w:tcW w:w="1265" w:type="pct"/>
            <w:noWrap/>
            <w:vAlign w:val="center"/>
          </w:tcPr>
          <w:p w14:paraId="182686EB">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1.009–1.017</w:t>
            </w:r>
          </w:p>
        </w:tc>
        <w:tc>
          <w:tcPr>
            <w:tcW w:w="979" w:type="pct"/>
            <w:noWrap/>
            <w:vAlign w:val="center"/>
          </w:tcPr>
          <w:p w14:paraId="1912A9C9">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&lt;0.001</w:t>
            </w:r>
          </w:p>
        </w:tc>
      </w:tr>
      <w:tr w14:paraId="3B34F84A">
        <w:trPr>
          <w:trHeight w:val="285" w:hRule="atLeast"/>
        </w:trPr>
        <w:tc>
          <w:tcPr>
            <w:tcW w:w="1777" w:type="pct"/>
            <w:gridSpan w:val="2"/>
            <w:noWrap/>
            <w:vAlign w:val="center"/>
          </w:tcPr>
          <w:p w14:paraId="61573F8A">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Age × Year (2024)</w:t>
            </w:r>
          </w:p>
        </w:tc>
        <w:tc>
          <w:tcPr>
            <w:tcW w:w="979" w:type="pct"/>
            <w:noWrap/>
            <w:vAlign w:val="center"/>
          </w:tcPr>
          <w:p w14:paraId="6B2D8DBC">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1.01</w:t>
            </w:r>
          </w:p>
        </w:tc>
        <w:tc>
          <w:tcPr>
            <w:tcW w:w="1265" w:type="pct"/>
            <w:noWrap/>
            <w:vAlign w:val="center"/>
          </w:tcPr>
          <w:p w14:paraId="4DA3681F">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1.006–1.014</w:t>
            </w:r>
          </w:p>
        </w:tc>
        <w:tc>
          <w:tcPr>
            <w:tcW w:w="979" w:type="pct"/>
            <w:noWrap/>
            <w:vAlign w:val="center"/>
          </w:tcPr>
          <w:p w14:paraId="10DE4CCC">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&lt;0.001</w:t>
            </w:r>
          </w:p>
        </w:tc>
      </w:tr>
      <w:tr w14:paraId="1DF82587">
        <w:trPr>
          <w:trHeight w:val="285" w:hRule="atLeast"/>
        </w:trPr>
        <w:tc>
          <w:tcPr>
            <w:tcW w:w="1777" w:type="pct"/>
            <w:gridSpan w:val="2"/>
            <w:noWrap/>
            <w:vAlign w:val="center"/>
          </w:tcPr>
          <w:p w14:paraId="7A2601FA">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Sex × Year (2023)</w:t>
            </w:r>
          </w:p>
        </w:tc>
        <w:tc>
          <w:tcPr>
            <w:tcW w:w="979" w:type="pct"/>
            <w:noWrap/>
            <w:vAlign w:val="center"/>
          </w:tcPr>
          <w:p w14:paraId="1F26BE85">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1.069</w:t>
            </w:r>
          </w:p>
        </w:tc>
        <w:tc>
          <w:tcPr>
            <w:tcW w:w="1265" w:type="pct"/>
            <w:noWrap/>
            <w:vAlign w:val="center"/>
          </w:tcPr>
          <w:p w14:paraId="2C67C0F8">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0.904–1.265</w:t>
            </w:r>
          </w:p>
        </w:tc>
        <w:tc>
          <w:tcPr>
            <w:tcW w:w="979" w:type="pct"/>
            <w:noWrap/>
            <w:vAlign w:val="center"/>
          </w:tcPr>
          <w:p w14:paraId="2362BCF7">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0.435</w:t>
            </w:r>
          </w:p>
        </w:tc>
      </w:tr>
      <w:tr w14:paraId="684B8C38">
        <w:trPr>
          <w:trHeight w:val="285" w:hRule="atLeast"/>
        </w:trPr>
        <w:tc>
          <w:tcPr>
            <w:tcW w:w="1777" w:type="pct"/>
            <w:gridSpan w:val="2"/>
            <w:noWrap/>
            <w:vAlign w:val="center"/>
          </w:tcPr>
          <w:p w14:paraId="53C45EB2">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Sex × Year (2024)</w:t>
            </w:r>
          </w:p>
        </w:tc>
        <w:tc>
          <w:tcPr>
            <w:tcW w:w="979" w:type="pct"/>
            <w:noWrap/>
            <w:vAlign w:val="center"/>
          </w:tcPr>
          <w:p w14:paraId="2F71A46A">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1.085</w:t>
            </w:r>
          </w:p>
        </w:tc>
        <w:tc>
          <w:tcPr>
            <w:tcW w:w="1265" w:type="pct"/>
            <w:noWrap/>
            <w:vAlign w:val="center"/>
          </w:tcPr>
          <w:p w14:paraId="35BD3081">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0.917–1.283</w:t>
            </w:r>
          </w:p>
        </w:tc>
        <w:tc>
          <w:tcPr>
            <w:tcW w:w="979" w:type="pct"/>
            <w:noWrap/>
            <w:vAlign w:val="center"/>
          </w:tcPr>
          <w:p w14:paraId="35FA8EF8">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0.343</w:t>
            </w:r>
          </w:p>
        </w:tc>
      </w:tr>
    </w:tbl>
    <w:p w14:paraId="60B40711">
      <w:pPr>
        <w:snapToGrid w:val="0"/>
        <w:spacing w:line="480" w:lineRule="auto"/>
        <w:rPr>
          <w:rFonts w:ascii="Times New Roman Regular" w:hAnsi="Times New Roman Regular" w:cs="Times New Roman Regular"/>
          <w:sz w:val="20"/>
          <w:szCs w:val="20"/>
        </w:rPr>
      </w:pPr>
      <w:r>
        <w:rPr>
          <w:rFonts w:ascii="Times New Roman Regular" w:hAnsi="Times New Roman Regular" w:cs="Times New Roman Regular"/>
          <w:sz w:val="20"/>
          <w:szCs w:val="20"/>
        </w:rPr>
        <w:t>OR, odds ratio; CI, confidence interval; RCS, restricted cubic spline.</w:t>
      </w:r>
      <w:r>
        <w:rPr>
          <w:rFonts w:hint="eastAsia" w:ascii="Times New Roman Regular" w:hAnsi="Times New Roman Regular" w:cs="Times New Roman Regular"/>
          <w:sz w:val="20"/>
          <w:szCs w:val="20"/>
        </w:rPr>
        <w:t xml:space="preserve"> </w:t>
      </w:r>
      <w:r>
        <w:rPr>
          <w:rFonts w:ascii="Times New Roman Regular" w:hAnsi="Times New Roman Regular" w:cs="Times New Roman Regular"/>
          <w:sz w:val="20"/>
          <w:szCs w:val="20"/>
        </w:rPr>
        <w:t>Reference group: Male sex, 2025.</w:t>
      </w:r>
      <w:r>
        <w:rPr>
          <w:rFonts w:hint="eastAsia" w:ascii="Times New Roman Regular" w:hAnsi="Times New Roman Regular" w:cs="Times New Roman Regular"/>
          <w:sz w:val="20"/>
          <w:szCs w:val="20"/>
        </w:rPr>
        <w:t xml:space="preserve"> </w:t>
      </w:r>
      <w:r>
        <w:rPr>
          <w:rFonts w:ascii="Times New Roman Regular" w:hAnsi="Times New Roman Regular" w:cs="Times New Roman Regular"/>
          <w:sz w:val="20"/>
          <w:szCs w:val="20"/>
        </w:rPr>
        <w:t xml:space="preserve">Overall age effect (RCS): </w:t>
      </w:r>
      <w:r>
        <w:rPr>
          <w:rFonts w:ascii="Times New Roman Regular" w:hAnsi="Times New Roman Regular" w:cs="Times New Roman Regular"/>
          <w:i/>
          <w:iCs/>
          <w:sz w:val="20"/>
          <w:szCs w:val="20"/>
        </w:rPr>
        <w:t>P</w:t>
      </w:r>
      <w:r>
        <w:rPr>
          <w:rFonts w:ascii="Times New Roman Regular" w:hAnsi="Times New Roman Regular" w:cs="Times New Roman Regular"/>
          <w:sz w:val="20"/>
          <w:szCs w:val="20"/>
        </w:rPr>
        <w:t xml:space="preserve"> &lt; 0.001.</w:t>
      </w:r>
      <w:r>
        <w:rPr>
          <w:rFonts w:hint="eastAsia" w:ascii="Times New Roman Regular" w:hAnsi="Times New Roman Regular" w:cs="Times New Roman Regular"/>
          <w:sz w:val="20"/>
          <w:szCs w:val="20"/>
        </w:rPr>
        <w:t xml:space="preserve"> </w:t>
      </w:r>
      <w:r>
        <w:rPr>
          <w:rFonts w:ascii="Times New Roman Regular" w:hAnsi="Times New Roman Regular" w:cs="Times New Roman Regular"/>
          <w:sz w:val="20"/>
          <w:szCs w:val="20"/>
        </w:rPr>
        <w:t>ORs for RCS terms and age-year interaction terms were reciprocally transformed for better interpretability (all presented as &gt;1).</w:t>
      </w:r>
    </w:p>
    <w:p w14:paraId="797F7E30">
      <w:pPr>
        <w:snapToGrid w:val="0"/>
        <w:spacing w:line="480" w:lineRule="auto"/>
        <w:rPr>
          <w:rFonts w:ascii="Times New Roman Regular" w:hAnsi="Times New Roman Regular" w:cs="Times New Roman Regular"/>
          <w:szCs w:val="21"/>
        </w:rPr>
      </w:pPr>
      <w:r>
        <w:rPr>
          <w:rFonts w:ascii="Times New Roman Regular" w:hAnsi="Times New Roman Regular" w:cs="Times New Roman Regular"/>
          <w:szCs w:val="21"/>
        </w:rPr>
        <w:drawing>
          <wp:inline distT="0" distB="0" distL="114300" distR="114300">
            <wp:extent cx="5257800" cy="2628900"/>
            <wp:effectExtent l="0" t="0" r="0" b="12700"/>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5"/>
                    <a:stretch>
                      <a:fillRect/>
                    </a:stretch>
                  </pic:blipFill>
                  <pic:spPr>
                    <a:xfrm>
                      <a:off x="0" y="0"/>
                      <a:ext cx="5257800" cy="2628900"/>
                    </a:xfrm>
                    <a:prstGeom prst="rect">
                      <a:avLst/>
                    </a:prstGeom>
                    <a:noFill/>
                    <a:ln>
                      <a:noFill/>
                    </a:ln>
                  </pic:spPr>
                </pic:pic>
              </a:graphicData>
            </a:graphic>
          </wp:inline>
        </w:drawing>
      </w:r>
    </w:p>
    <w:p w14:paraId="2B18F039">
      <w:pPr>
        <w:snapToGrid w:val="0"/>
        <w:spacing w:line="480" w:lineRule="auto"/>
        <w:jc w:val="center"/>
        <w:rPr>
          <w:rFonts w:ascii="Times New Roman Regular" w:hAnsi="Times New Roman Regular" w:cs="Times New Roman Regular"/>
          <w:b/>
          <w:bCs/>
          <w:szCs w:val="21"/>
        </w:rPr>
      </w:pPr>
      <w:r>
        <w:rPr>
          <w:rFonts w:hint="eastAsia" w:ascii="Times New Roman Regular" w:hAnsi="Times New Roman Regular" w:cs="Times New Roman Regular"/>
          <w:b/>
          <w:szCs w:val="21"/>
        </w:rPr>
        <w:t>Supplementary</w:t>
      </w:r>
      <w:r>
        <w:rPr>
          <w:rFonts w:ascii="Times New Roman Regular" w:hAnsi="Times New Roman Regular" w:cs="Times New Roman Regular"/>
          <w:b/>
          <w:bCs/>
          <w:szCs w:val="21"/>
        </w:rPr>
        <w:t xml:space="preserve"> Figure 1. Sensitivity analyses of MP infection risk</w:t>
      </w:r>
    </w:p>
    <w:p w14:paraId="71ABEDDF">
      <w:pPr>
        <w:snapToGrid w:val="0"/>
        <w:spacing w:line="480" w:lineRule="auto"/>
        <w:rPr>
          <w:szCs w:val="21"/>
        </w:rPr>
      </w:pPr>
      <w:r>
        <w:rPr>
          <w:rFonts w:ascii="Times New Roman Regular" w:hAnsi="Times New Roman Regular" w:cs="Times New Roman Regular"/>
          <w:sz w:val="20"/>
          <w:szCs w:val="20"/>
        </w:rPr>
        <w:t>Age effects were estimated by comparing children aged 6–11 years with those aged 18–44 years (reference group). Year effects were estimated using 2025 as the reference group, with comparisons to 2023 and 2024.</w:t>
      </w:r>
      <w:r>
        <w:rPr>
          <w:rFonts w:hint="eastAsia" w:ascii="Times New Roman Regular" w:hAnsi="Times New Roman Regular" w:cs="Times New Roman Regular"/>
          <w:sz w:val="20"/>
          <w:szCs w:val="20"/>
        </w:rPr>
        <w:t xml:space="preserve"> </w:t>
      </w:r>
      <w:r>
        <w:rPr>
          <w:rFonts w:ascii="Times New Roman Regular" w:hAnsi="Times New Roman Regular" w:cs="Times New Roman Regular"/>
          <w:sz w:val="20"/>
          <w:szCs w:val="20"/>
        </w:rPr>
        <w:t>Results were defined as consistent if the significantly elevated risk in children aged 6–11 years and significant year effects remained stable across all analytic strategies.</w:t>
      </w:r>
      <w:r>
        <w:rPr>
          <w:rFonts w:hint="eastAsia" w:ascii="Times New Roman Regular" w:hAnsi="Times New Roman Regular" w:cs="Times New Roman Regular"/>
          <w:sz w:val="20"/>
          <w:szCs w:val="20"/>
        </w:rPr>
        <w:t xml:space="preserve"> </w:t>
      </w:r>
      <w:r>
        <w:rPr>
          <w:rFonts w:ascii="Times New Roman Regular" w:hAnsi="Times New Roman Regular" w:cs="Times New Roman Regular"/>
          <w:sz w:val="20"/>
          <w:szCs w:val="20"/>
        </w:rPr>
        <w:t>Footnotes: OR, odds ratio; CI, confidence interval; RCS, restricted cubic spline.</w:t>
      </w:r>
    </w:p>
    <w:sectPr>
      <w:footerReference r:id="rId3" w:type="default"/>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imes New Roman Regular">
    <w:panose1 w:val="02020503050405090304"/>
    <w:charset w:val="00"/>
    <w:family w:val="auto"/>
    <w:pitch w:val="default"/>
    <w:sig w:usb0="E0000AFF" w:usb1="00007843" w:usb2="00000001" w:usb3="00000000" w:csb0="400001BF" w:csb1="DFF70000"/>
  </w:font>
  <w:font w:name="等线">
    <w:altName w:val="汉仪中等线KW"/>
    <w:panose1 w:val="02010600030101010101"/>
    <w:charset w:val="86"/>
    <w:family w:val="auto"/>
    <w:pitch w:val="default"/>
    <w:sig w:usb0="00000000" w:usb1="00000000" w:usb2="00000016" w:usb3="00000000" w:csb0="0004000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6A52D">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BA5970">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0FBA597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13A5B"/>
    <w:rsid w:val="000000B3"/>
    <w:rsid w:val="00004C4A"/>
    <w:rsid w:val="008948E1"/>
    <w:rsid w:val="00AD10A6"/>
    <w:rsid w:val="00B6548D"/>
    <w:rsid w:val="00D36949"/>
    <w:rsid w:val="00FC3955"/>
    <w:rsid w:val="4BFBB163"/>
    <w:rsid w:val="7F7FA549"/>
    <w:rsid w:val="7FF13A5B"/>
    <w:rsid w:val="DA7D6794"/>
    <w:rsid w:val="FFAF76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character" w:styleId="5">
    <w:name w:val="Strong"/>
    <w:basedOn w:val="4"/>
    <w:qFormat/>
    <w:uiPriority w:val="0"/>
    <w:rPr>
      <w:b/>
    </w:rPr>
  </w:style>
  <w:style w:type="character" w:styleId="6">
    <w:name w:val="Emphasis"/>
    <w:basedOn w:val="4"/>
    <w:qFormat/>
    <w:uiPriority w:val="0"/>
    <w:rPr>
      <w:i/>
    </w:rPr>
  </w:style>
  <w:style w:type="character" w:styleId="7">
    <w:name w:val="lin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432</Words>
  <Characters>2463</Characters>
  <Lines>20</Lines>
  <Paragraphs>5</Paragraphs>
  <TotalTime>12</TotalTime>
  <ScaleCrop>false</ScaleCrop>
  <LinksUpToDate>false</LinksUpToDate>
  <CharactersWithSpaces>2890</CharactersWithSpaces>
  <Application>WPS Office_12.1.25869.25869_F1E327BC-269C-435d-A152-05C5408002CA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2026-05-05T06:42:00Z</dcterms:created>
  <dc:creator>wrq</dc:creator>
  <cp:lastModifiedBy>wrq</cp:lastModifiedBy>
  <dcterms:modified xsi:type="dcterms:W3CDTF">2026-05-09T21:13:24Z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D5992052A90DFA58E85EF76985EEB4B1_41</vt:lpwstr>
  </property>
</Properties>
</file>