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6993F" w14:textId="2D610A57" w:rsidR="00521BB6" w:rsidRPr="00F22EB1" w:rsidRDefault="00D901D4" w:rsidP="00521BB6">
      <w:pPr>
        <w:spacing w:after="0" w:line="360" w:lineRule="auto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SUPPLEMENTARY</w:t>
      </w:r>
      <w:r w:rsidR="00521BB6" w:rsidRPr="00F22EB1">
        <w:rPr>
          <w:rFonts w:ascii="Times New Roman" w:hAnsi="Times New Roman"/>
          <w:b/>
          <w:szCs w:val="24"/>
        </w:rPr>
        <w:t xml:space="preserve"> INFORMATION</w:t>
      </w:r>
    </w:p>
    <w:p w14:paraId="7A51C14D" w14:textId="77777777" w:rsidR="00521BB6" w:rsidRPr="00F22EB1" w:rsidRDefault="00521BB6" w:rsidP="00521BB6">
      <w:pPr>
        <w:pStyle w:val="BATitle"/>
      </w:pPr>
      <w:r w:rsidRPr="00F22EB1">
        <w:t xml:space="preserve">Gadolinium-oxide nanoparticles for cryogenic magnetocaloric application </w:t>
      </w:r>
    </w:p>
    <w:p w14:paraId="2D71A8C0" w14:textId="77777777" w:rsidR="00521BB6" w:rsidRPr="00F22EB1" w:rsidRDefault="00521BB6" w:rsidP="00521BB6">
      <w:pPr>
        <w:pStyle w:val="BBAuthorName"/>
      </w:pPr>
    </w:p>
    <w:p w14:paraId="75B96F0C" w14:textId="7587BBE3" w:rsidR="005A2C4E" w:rsidRPr="00F22EB1" w:rsidRDefault="005A2C4E" w:rsidP="005A2C4E">
      <w:pPr>
        <w:pStyle w:val="TAMainText"/>
      </w:pPr>
      <w:r w:rsidRPr="00F22EB1">
        <w:t>A. Zeleňáková</w:t>
      </w:r>
      <w:r w:rsidRPr="00F22EB1">
        <w:rPr>
          <w:vertAlign w:val="superscript"/>
        </w:rPr>
        <w:t>a</w:t>
      </w:r>
      <w:r w:rsidRPr="00F22EB1">
        <w:t>*, P. Hrubovčák</w:t>
      </w:r>
      <w:r w:rsidRPr="00F22EB1">
        <w:rPr>
          <w:vertAlign w:val="superscript"/>
        </w:rPr>
        <w:t>a,b</w:t>
      </w:r>
      <w:r w:rsidRPr="00F22EB1">
        <w:t>, A. Berkutova</w:t>
      </w:r>
      <w:r w:rsidRPr="00F22EB1">
        <w:rPr>
          <w:vertAlign w:val="superscript"/>
        </w:rPr>
        <w:t>a</w:t>
      </w:r>
      <w:r w:rsidRPr="00F22EB1">
        <w:t>, O. Šofranko</w:t>
      </w:r>
      <w:r w:rsidR="00ED7ED0">
        <w:rPr>
          <w:vertAlign w:val="superscript"/>
        </w:rPr>
        <w:t>a,c</w:t>
      </w:r>
      <w:r w:rsidRPr="00F22EB1">
        <w:t>, N. Kučerka</w:t>
      </w:r>
      <w:r w:rsidRPr="00F22EB1">
        <w:rPr>
          <w:vertAlign w:val="superscript"/>
        </w:rPr>
        <w:t>b,d</w:t>
      </w:r>
      <w:r w:rsidRPr="00F22EB1">
        <w:t>, O. Ivankov</w:t>
      </w:r>
      <w:r w:rsidRPr="00F22EB1">
        <w:rPr>
          <w:vertAlign w:val="superscript"/>
        </w:rPr>
        <w:t>b</w:t>
      </w:r>
      <w:r w:rsidRPr="00F22EB1">
        <w:t>, A. Kuklin</w:t>
      </w:r>
      <w:r w:rsidRPr="00F22EB1">
        <w:rPr>
          <w:vertAlign w:val="superscript"/>
        </w:rPr>
        <w:t>b,e</w:t>
      </w:r>
      <w:r w:rsidRPr="00F22EB1">
        <w:t xml:space="preserve">, </w:t>
      </w:r>
      <w:r w:rsidR="00DB3086">
        <w:t>V. Girman</w:t>
      </w:r>
      <w:bookmarkStart w:id="0" w:name="_GoBack"/>
      <w:bookmarkEnd w:id="0"/>
      <w:r w:rsidR="00DB3086" w:rsidRPr="00F22EB1">
        <w:rPr>
          <w:vertAlign w:val="superscript"/>
        </w:rPr>
        <w:t>a</w:t>
      </w:r>
      <w:r w:rsidR="00DB3086" w:rsidRPr="00F22EB1">
        <w:t xml:space="preserve">, </w:t>
      </w:r>
      <w:r w:rsidRPr="00F22EB1">
        <w:t>V. Zeleňák</w:t>
      </w:r>
      <w:r w:rsidRPr="00F22EB1">
        <w:rPr>
          <w:vertAlign w:val="superscript"/>
        </w:rPr>
        <w:t>f</w:t>
      </w:r>
    </w:p>
    <w:p w14:paraId="65E619DD" w14:textId="77777777" w:rsidR="005A2C4E" w:rsidRPr="00F22EB1" w:rsidRDefault="005A2C4E" w:rsidP="005A2C4E">
      <w:pPr>
        <w:pStyle w:val="TAMainText"/>
      </w:pPr>
    </w:p>
    <w:p w14:paraId="477B32E3" w14:textId="77777777" w:rsidR="005A2C4E" w:rsidRPr="00F22EB1" w:rsidRDefault="005A2C4E" w:rsidP="005A2C4E">
      <w:pPr>
        <w:pStyle w:val="TAMainText"/>
        <w:rPr>
          <w:i/>
          <w:iCs/>
        </w:rPr>
      </w:pPr>
      <w:r w:rsidRPr="00F22EB1">
        <w:rPr>
          <w:i/>
          <w:iCs/>
          <w:vertAlign w:val="superscript"/>
        </w:rPr>
        <w:t>a</w:t>
      </w:r>
      <w:r w:rsidRPr="00F22EB1">
        <w:rPr>
          <w:i/>
          <w:iCs/>
        </w:rPr>
        <w:t>Institute of Physics, P.J. Šafárik University, Park Angelinum 9, 04001 Košice, Slovakia</w:t>
      </w:r>
    </w:p>
    <w:p w14:paraId="5C5C151D" w14:textId="77777777" w:rsidR="005A2C4E" w:rsidRPr="00F22EB1" w:rsidRDefault="005A2C4E" w:rsidP="005A2C4E">
      <w:pPr>
        <w:pStyle w:val="TAMainText"/>
        <w:rPr>
          <w:i/>
          <w:iCs/>
        </w:rPr>
      </w:pPr>
      <w:r w:rsidRPr="00F22EB1">
        <w:rPr>
          <w:i/>
          <w:iCs/>
          <w:vertAlign w:val="superscript"/>
        </w:rPr>
        <w:t>b</w:t>
      </w:r>
      <w:r w:rsidRPr="00F22EB1">
        <w:rPr>
          <w:i/>
          <w:iCs/>
        </w:rPr>
        <w:t>Frank Laboratory of Neutron Physics, Joint Institute for Nuclear Research, Joliot-Curie 6, Dubna, 141980 Russia</w:t>
      </w:r>
    </w:p>
    <w:p w14:paraId="53A2F3E4" w14:textId="77777777" w:rsidR="005A2C4E" w:rsidRPr="00F22EB1" w:rsidRDefault="005A2C4E" w:rsidP="005A2C4E">
      <w:pPr>
        <w:pStyle w:val="TAMainText"/>
        <w:rPr>
          <w:i/>
          <w:iCs/>
        </w:rPr>
      </w:pPr>
      <w:r w:rsidRPr="00F22EB1">
        <w:rPr>
          <w:i/>
          <w:iCs/>
          <w:vertAlign w:val="superscript"/>
        </w:rPr>
        <w:t>c</w:t>
      </w:r>
      <w:r w:rsidRPr="00F22EB1">
        <w:rPr>
          <w:i/>
          <w:iCs/>
        </w:rPr>
        <w:t>Institute of Experimental Physics, Slovak Academy of Science, Watsonova 47, 04001 Košice, Slovakia</w:t>
      </w:r>
    </w:p>
    <w:p w14:paraId="2D73636C" w14:textId="77777777" w:rsidR="005A2C4E" w:rsidRPr="00F22EB1" w:rsidRDefault="005A2C4E" w:rsidP="005A2C4E">
      <w:pPr>
        <w:pStyle w:val="TAMainText"/>
        <w:rPr>
          <w:i/>
          <w:iCs/>
        </w:rPr>
      </w:pPr>
      <w:r w:rsidRPr="00F22EB1">
        <w:rPr>
          <w:i/>
          <w:iCs/>
          <w:vertAlign w:val="superscript"/>
        </w:rPr>
        <w:t>d</w:t>
      </w:r>
      <w:r w:rsidRPr="00F22EB1">
        <w:rPr>
          <w:i/>
          <w:iCs/>
        </w:rPr>
        <w:t>Comenius University in Bratislava, Department of Physical Chemistry of Drugs, Mlynská dolina, 832 32 Bratislava, Slovakia</w:t>
      </w:r>
    </w:p>
    <w:p w14:paraId="3EB9E7CC" w14:textId="77777777" w:rsidR="005A2C4E" w:rsidRPr="00F22EB1" w:rsidRDefault="005A2C4E" w:rsidP="005A2C4E">
      <w:pPr>
        <w:pStyle w:val="TAMainText"/>
        <w:rPr>
          <w:i/>
          <w:iCs/>
          <w:highlight w:val="green"/>
        </w:rPr>
      </w:pPr>
      <w:r w:rsidRPr="00F22EB1">
        <w:rPr>
          <w:i/>
          <w:iCs/>
          <w:vertAlign w:val="superscript"/>
        </w:rPr>
        <w:t>e</w:t>
      </w:r>
      <w:r w:rsidRPr="00F22EB1">
        <w:rPr>
          <w:i/>
          <w:iCs/>
        </w:rPr>
        <w:t>Moscow Institute of Physics and Technology, Institutsky per. 9, Dolgoprudny, Moscow Region, 141700, Russia</w:t>
      </w:r>
    </w:p>
    <w:p w14:paraId="7CFE5479" w14:textId="77777777" w:rsidR="005A2C4E" w:rsidRPr="00F22EB1" w:rsidRDefault="005A2C4E" w:rsidP="005A2C4E">
      <w:pPr>
        <w:pStyle w:val="TAMainText"/>
        <w:rPr>
          <w:i/>
          <w:iCs/>
        </w:rPr>
      </w:pPr>
      <w:r w:rsidRPr="00F22EB1">
        <w:rPr>
          <w:i/>
          <w:iCs/>
          <w:vertAlign w:val="superscript"/>
        </w:rPr>
        <w:t>f</w:t>
      </w:r>
      <w:r w:rsidRPr="00F22EB1">
        <w:rPr>
          <w:i/>
          <w:iCs/>
        </w:rPr>
        <w:t>Institute of Chemistry, Faculty of Science, P.J. Šafárik University, Moyzesova 11, 041 54 Košice, Slovakia</w:t>
      </w:r>
    </w:p>
    <w:p w14:paraId="56BFF3F1" w14:textId="77777777" w:rsidR="00521BB6" w:rsidRPr="00F22EB1" w:rsidRDefault="00521BB6" w:rsidP="00521BB6">
      <w:pPr>
        <w:pStyle w:val="TAMainText"/>
      </w:pPr>
    </w:p>
    <w:p w14:paraId="1CFE3A45" w14:textId="77777777" w:rsidR="00521BB6" w:rsidRPr="00F22EB1" w:rsidRDefault="00521BB6" w:rsidP="00521BB6">
      <w:pPr>
        <w:pStyle w:val="TAMainText"/>
      </w:pPr>
    </w:p>
    <w:p w14:paraId="600E3B1C" w14:textId="77777777" w:rsidR="00521BB6" w:rsidRPr="00F22EB1" w:rsidRDefault="00521BB6" w:rsidP="00521BB6">
      <w:pPr>
        <w:pStyle w:val="TAMainText"/>
      </w:pPr>
      <w:r w:rsidRPr="00F22EB1">
        <w:rPr>
          <w:noProof/>
          <w:lang w:val="en-GB" w:eastAsia="en-GB"/>
        </w:rPr>
        <w:lastRenderedPageBreak/>
        <w:drawing>
          <wp:inline distT="0" distB="0" distL="0" distR="0" wp14:anchorId="288CC7BB" wp14:editId="3BD71784">
            <wp:extent cx="5972810" cy="4570730"/>
            <wp:effectExtent l="0" t="0" r="8890" b="127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ok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57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E9D68" w14:textId="4B0A3D8C" w:rsidR="00521BB6" w:rsidRPr="00F22EB1" w:rsidRDefault="001A07E9" w:rsidP="00521BB6">
      <w:pPr>
        <w:pStyle w:val="TAMainText"/>
      </w:pPr>
      <w:r>
        <w:rPr>
          <w:b/>
          <w:bCs/>
        </w:rPr>
        <w:t xml:space="preserve">Supplementary </w:t>
      </w:r>
      <w:r w:rsidR="00521BB6" w:rsidRPr="005A2C4E">
        <w:rPr>
          <w:b/>
          <w:bCs/>
        </w:rPr>
        <w:t>Fig. 1</w:t>
      </w:r>
      <w:r w:rsidR="00521BB6" w:rsidRPr="00F22EB1">
        <w:t xml:space="preserve"> Susceptibility (black squares) of the systems SBA15/Gd</w:t>
      </w:r>
      <w:r w:rsidR="00521BB6" w:rsidRPr="00F22EB1">
        <w:rPr>
          <w:vertAlign w:val="subscript"/>
        </w:rPr>
        <w:t>2</w:t>
      </w:r>
      <w:r w:rsidR="00521BB6" w:rsidRPr="00F22EB1">
        <w:t>O</w:t>
      </w:r>
      <w:r w:rsidR="00521BB6" w:rsidRPr="00F22EB1">
        <w:rPr>
          <w:vertAlign w:val="subscript"/>
        </w:rPr>
        <w:t>3</w:t>
      </w:r>
      <w:r w:rsidR="00521BB6" w:rsidRPr="00F22EB1">
        <w:t>-0.5M; 4M and SBA16/Gd</w:t>
      </w:r>
      <w:r w:rsidR="00521BB6" w:rsidRPr="00F22EB1">
        <w:rPr>
          <w:vertAlign w:val="subscript"/>
        </w:rPr>
        <w:t>2</w:t>
      </w:r>
      <w:r w:rsidR="00521BB6" w:rsidRPr="00F22EB1">
        <w:t>O</w:t>
      </w:r>
      <w:r w:rsidR="00521BB6" w:rsidRPr="00F22EB1">
        <w:rPr>
          <w:vertAlign w:val="subscript"/>
        </w:rPr>
        <w:t>3</w:t>
      </w:r>
      <w:r w:rsidR="00521BB6" w:rsidRPr="00F22EB1">
        <w:t xml:space="preserve">-0.5M; 4M calculated from the magnetization obtained in ZFC regime in the applied static field 100 Oe. Red lines represent the best fits to the experimental data according to the Curie-Weiss law </w:t>
      </w:r>
      <w:r w:rsidR="00521BB6" w:rsidRPr="00F22EB1">
        <w:rPr>
          <w:rFonts w:ascii="Cambria Math" w:hAnsi="Cambria Math"/>
          <w:i/>
          <w:iCs/>
        </w:rPr>
        <w:t>χ=C/(T-T</w:t>
      </w:r>
      <w:r w:rsidR="00521BB6" w:rsidRPr="00F22EB1">
        <w:rPr>
          <w:rFonts w:ascii="Cambria Math" w:hAnsi="Cambria Math"/>
          <w:i/>
          <w:iCs/>
          <w:vertAlign w:val="subscript"/>
        </w:rPr>
        <w:t>CW</w:t>
      </w:r>
      <w:r w:rsidR="00521BB6" w:rsidRPr="00F22EB1">
        <w:rPr>
          <w:rFonts w:ascii="Cambria Math" w:hAnsi="Cambria Math"/>
          <w:i/>
          <w:iCs/>
        </w:rPr>
        <w:t>)</w:t>
      </w:r>
      <w:r w:rsidR="00521BB6" w:rsidRPr="00F22EB1">
        <w:rPr>
          <w:rFonts w:ascii="Cambria Math" w:hAnsi="Cambria Math"/>
          <w:i/>
          <w:iCs/>
          <w:vertAlign w:val="superscript"/>
        </w:rPr>
        <w:t>γ</w:t>
      </w:r>
      <w:r w:rsidR="00521BB6" w:rsidRPr="00F22EB1">
        <w:t xml:space="preserve">, where </w:t>
      </w:r>
      <w:r w:rsidR="00521BB6" w:rsidRPr="00F22EB1">
        <w:rPr>
          <w:i/>
          <w:iCs/>
        </w:rPr>
        <w:t>C</w:t>
      </w:r>
      <w:r w:rsidR="00521BB6" w:rsidRPr="00F22EB1">
        <w:t xml:space="preserve"> and </w:t>
      </w:r>
      <w:r w:rsidR="00521BB6" w:rsidRPr="00F22EB1">
        <w:rPr>
          <w:i/>
          <w:iCs/>
        </w:rPr>
        <w:t>T</w:t>
      </w:r>
      <w:r w:rsidR="00521BB6" w:rsidRPr="00F22EB1">
        <w:rPr>
          <w:i/>
          <w:iCs/>
          <w:vertAlign w:val="subscript"/>
        </w:rPr>
        <w:t>CW</w:t>
      </w:r>
      <w:r w:rsidR="00521BB6" w:rsidRPr="00F22EB1">
        <w:t xml:space="preserve"> is Curie-Weiss constant and temperature, respectively. </w:t>
      </w:r>
    </w:p>
    <w:p w14:paraId="6EE95866" w14:textId="77777777" w:rsidR="00521BB6" w:rsidRPr="00F22EB1" w:rsidRDefault="00521BB6" w:rsidP="00521BB6">
      <w:pPr>
        <w:pStyle w:val="TAMainText"/>
        <w:jc w:val="center"/>
      </w:pPr>
      <w:r w:rsidRPr="00F22EB1">
        <w:rPr>
          <w:noProof/>
          <w:lang w:val="en-GB" w:eastAsia="en-GB"/>
        </w:rPr>
        <w:lastRenderedPageBreak/>
        <w:drawing>
          <wp:inline distT="0" distB="0" distL="0" distR="0" wp14:anchorId="45AE00D7" wp14:editId="707C5DDA">
            <wp:extent cx="5169055" cy="3955473"/>
            <wp:effectExtent l="0" t="0" r="0" b="6985"/>
            <wp:docPr id="13" name="Obrázok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ázok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137" cy="396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1350C" w14:textId="56407434" w:rsidR="00521BB6" w:rsidRPr="00F22EB1" w:rsidRDefault="001A07E9" w:rsidP="00521BB6">
      <w:pPr>
        <w:pStyle w:val="Standard"/>
        <w:tabs>
          <w:tab w:val="left" w:pos="3500"/>
          <w:tab w:val="right" w:pos="907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521BB6" w:rsidRPr="005A2C4E">
        <w:rPr>
          <w:rFonts w:ascii="Times New Roman" w:hAnsi="Times New Roman" w:cs="Times New Roman"/>
          <w:b/>
          <w:bCs/>
          <w:sz w:val="24"/>
          <w:szCs w:val="24"/>
        </w:rPr>
        <w:t>Fig. 2</w:t>
      </w:r>
      <w:r w:rsidR="00521BB6" w:rsidRPr="00F22EB1">
        <w:rPr>
          <w:rFonts w:ascii="Times New Roman" w:hAnsi="Times New Roman" w:cs="Times New Roman"/>
          <w:sz w:val="24"/>
          <w:szCs w:val="24"/>
        </w:rPr>
        <w:t xml:space="preserve"> Temperature and applied field change dependence of the exponent </w:t>
      </w:r>
      <w:r w:rsidR="00521BB6" w:rsidRPr="00F22EB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521BB6" w:rsidRPr="00F22EB1">
        <w:rPr>
          <w:rFonts w:ascii="Times New Roman" w:hAnsi="Times New Roman" w:cs="Times New Roman"/>
          <w:sz w:val="24"/>
          <w:szCs w:val="24"/>
        </w:rPr>
        <w:t xml:space="preserve"> calculated for the system SBA16/Gd</w:t>
      </w:r>
      <w:r w:rsidR="00521BB6" w:rsidRPr="00F22EB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21BB6" w:rsidRPr="00F22EB1">
        <w:rPr>
          <w:rFonts w:ascii="Times New Roman" w:hAnsi="Times New Roman" w:cs="Times New Roman"/>
          <w:sz w:val="24"/>
          <w:szCs w:val="24"/>
        </w:rPr>
        <w:t>O</w:t>
      </w:r>
      <w:r w:rsidR="00521BB6" w:rsidRPr="00F22E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21BB6" w:rsidRPr="00F22EB1">
        <w:rPr>
          <w:rFonts w:ascii="Times New Roman" w:hAnsi="Times New Roman" w:cs="Times New Roman"/>
          <w:sz w:val="24"/>
          <w:szCs w:val="24"/>
        </w:rPr>
        <w:t xml:space="preserve">-4M. The reference temperatures </w:t>
      </w:r>
      <w:r w:rsidR="00521BB6" w:rsidRPr="00F22EB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521BB6" w:rsidRPr="00F22EB1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r</w:t>
      </w:r>
      <w:r w:rsidR="00521BB6" w:rsidRPr="00F22EB1">
        <w:rPr>
          <w:rFonts w:ascii="Times New Roman" w:hAnsi="Times New Roman" w:cs="Times New Roman"/>
          <w:sz w:val="24"/>
          <w:szCs w:val="24"/>
        </w:rPr>
        <w:t xml:space="preserve"> have been determined as the temperatures corresponding to the value </w:t>
      </w:r>
      <w:r w:rsidR="00521BB6" w:rsidRPr="00F22EB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521BB6" w:rsidRPr="00F22EB1">
        <w:rPr>
          <w:rFonts w:ascii="Times New Roman" w:hAnsi="Times New Roman" w:cs="Times New Roman"/>
          <w:sz w:val="24"/>
          <w:szCs w:val="24"/>
        </w:rPr>
        <w:t xml:space="preserve"> = 1.55 (dashed line) of each </w:t>
      </w:r>
      <w:r w:rsidR="00521BB6" w:rsidRPr="00F22EB1">
        <w:rPr>
          <w:rFonts w:ascii="Times New Roman" w:hAnsi="Times New Roman" w:cs="Times New Roman"/>
          <w:i/>
          <w:iCs/>
          <w:sz w:val="24"/>
          <w:szCs w:val="24"/>
        </w:rPr>
        <w:t>n(T)</w:t>
      </w:r>
      <w:r w:rsidR="00521BB6" w:rsidRPr="00F22EB1">
        <w:rPr>
          <w:rFonts w:ascii="Times New Roman" w:hAnsi="Times New Roman" w:cs="Times New Roman"/>
          <w:sz w:val="24"/>
          <w:szCs w:val="24"/>
        </w:rPr>
        <w:t xml:space="preserve"> curve. Black arrow indicates applied field change dependence of </w:t>
      </w:r>
      <w:r w:rsidR="00521BB6" w:rsidRPr="00F22EB1">
        <w:rPr>
          <w:rFonts w:ascii="Times New Roman" w:hAnsi="Times New Roman" w:cs="Times New Roman"/>
          <w:i/>
          <w:iCs/>
          <w:sz w:val="24"/>
          <w:szCs w:val="24"/>
        </w:rPr>
        <w:t>n(T)</w:t>
      </w:r>
      <w:r w:rsidR="00521BB6" w:rsidRPr="00F22EB1">
        <w:rPr>
          <w:rFonts w:ascii="Times New Roman" w:hAnsi="Times New Roman" w:cs="Times New Roman"/>
          <w:sz w:val="24"/>
          <w:szCs w:val="24"/>
        </w:rPr>
        <w:t xml:space="preserve"> local minimum.</w:t>
      </w:r>
    </w:p>
    <w:p w14:paraId="05056F1A" w14:textId="77777777" w:rsidR="00303458" w:rsidRDefault="00303458"/>
    <w:sectPr w:rsidR="00303458">
      <w:footerReference w:type="default" r:id="rId9"/>
      <w:pgSz w:w="12240" w:h="15840"/>
      <w:pgMar w:top="1417" w:right="1417" w:bottom="1417" w:left="1417" w:header="0" w:footer="0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6663C3" w14:textId="77777777" w:rsidR="00D25F35" w:rsidRDefault="00D25F35">
      <w:pPr>
        <w:spacing w:after="0"/>
      </w:pPr>
      <w:r>
        <w:separator/>
      </w:r>
    </w:p>
  </w:endnote>
  <w:endnote w:type="continuationSeparator" w:id="0">
    <w:p w14:paraId="16452AFA" w14:textId="77777777" w:rsidR="00D25F35" w:rsidRDefault="00D25F3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no Pro">
    <w:altName w:val="Times New Roman"/>
    <w:charset w:val="EE"/>
    <w:family w:val="roman"/>
    <w:pitch w:val="variable"/>
  </w:font>
  <w:font w:name="F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E2CB5A" w14:textId="77777777" w:rsidR="00B95F6D" w:rsidRDefault="00A729D6">
    <w:pPr>
      <w:pStyle w:val="Pta"/>
      <w:ind w:right="360"/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00708E9" wp14:editId="28ED812D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4305" cy="174625"/>
              <wp:effectExtent l="0" t="0" r="0" b="0"/>
              <wp:wrapSquare wrapText="largest"/>
              <wp:docPr id="14" name="Rámec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720" cy="173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4613D5B" w14:textId="77777777" w:rsidR="00B95F6D" w:rsidRDefault="00A729D6">
                          <w:pPr>
                            <w:pStyle w:val="Pta"/>
                          </w:pPr>
                          <w:r>
                            <w:rPr>
                              <w:rStyle w:val="slostrany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slostrany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slostrany"/>
                              <w:color w:val="000000"/>
                            </w:rPr>
                            <w:fldChar w:fldCharType="separate"/>
                          </w:r>
                          <w:r w:rsidR="00DB3086">
                            <w:rPr>
                              <w:rStyle w:val="slostrany"/>
                              <w:noProof/>
                              <w:color w:val="000000"/>
                            </w:rPr>
                            <w:t>2</w:t>
                          </w:r>
                          <w:r>
                            <w:rPr>
                              <w:rStyle w:val="slostrany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Rámec1" o:spid="_x0000_s1026" style="position:absolute;left:0;text-align:left;margin-left:-39.05pt;margin-top:.05pt;width:12.15pt;height:13.75pt;z-index:-251657216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QnK2wEAAA0EAAAOAAAAZHJzL2Uyb0RvYy54bWysU9tu2zAMfR+wfxD0vihOtzUw4hTFig4D&#10;hq1otw+QZSkWoBsoNXY+Z9+yHxslO+4uTx36IlMUD8lzSO+uRmvIUULU3jW0Wq0pkU74TrtDQ79/&#10;u32zpSQm7jpuvJMNPclIr/avX+2GUMuN773pJBBM4mI9hIb2KYWasSh6aXlc+SAdPioPlie8woF1&#10;wAfMbg3brNfv2eChC+CFjBG9N9Mj3Zf8SkmRvioVZSKmodhbKieUs80n2+94fQAeei3mNvh/dGG5&#10;dlh0SXXDEyePoP9JZbUAH71KK+Et80ppIQsHZFOt/2Lz0PMgCxcUJ4ZFpvhyacWX4x0Q3eHs3lLi&#10;uMUZ3f/8YaWosjZDiDWGPIQ7mG8RzUx0VGDzFymQseh5WvSUYyICndW7i8sNqi7wqbq82G6L3uwJ&#10;HCCmj9Jbko2GAo6rqMiPn2PCghh6Dsm1nL/VxpSRGfeHAwOzh+V+pw6LlU5G5jjj7qVClqXR7IgC&#10;Du0HA2RaBdxVbPO8ECUZAnKgwoLPxM6QjJZlA5+JX0ClvndpwVvtPOSxTDwndploGttxnk/ruxNO&#10;1HxyuCV5488GnI12NooO4foxoapF7Jxpgs8VcOfKDOb/Iy/17/cS9fQX738BAAD//wMAUEsDBBQA&#10;BgAIAAAAIQDaEhe42gAAAAMBAAAPAAAAZHJzL2Rvd25yZXYueG1sTI9BT8MwDIXvSPyHyEhcEEsp&#10;aIzSdEJIuyGhFQ5w8xrTFBqnarK18OvxTnCynp/13udyPfteHWiMXWADV4sMFHETbMetgdeXzeUK&#10;VEzIFvvAZOCbIqyr05MSCxsm3tKhTq2SEI4FGnApDYXWsXHkMS7CQCzeRxg9JpFjq+2Ik4T7XudZ&#10;ttQeO5YGhwM9Omq+6r03sHl+64h/9PbibjWFzyZ/r93TYMz52fxwDyrRnP6O4Ygv6FAJ0y7s2UbV&#10;G5BH0nGrxMtvrkHtZN4uQVel/s9e/QIAAP//AwBQSwECLQAUAAYACAAAACEAtoM4kv4AAADhAQAA&#10;EwAAAAAAAAAAAAAAAAAAAAAAW0NvbnRlbnRfVHlwZXNdLnhtbFBLAQItABQABgAIAAAAIQA4/SH/&#10;1gAAAJQBAAALAAAAAAAAAAAAAAAAAC8BAABfcmVscy8ucmVsc1BLAQItABQABgAIAAAAIQBCBQnK&#10;2wEAAA0EAAAOAAAAAAAAAAAAAAAAAC4CAABkcnMvZTJvRG9jLnhtbFBLAQItABQABgAIAAAAIQDa&#10;Ehe42gAAAAMBAAAPAAAAAAAAAAAAAAAAADUEAABkcnMvZG93bnJldi54bWxQSwUGAAAAAAQABADz&#10;AAAAPAUAAAAA&#10;" filled="f" stroked="f">
              <v:textbox style="mso-fit-shape-to-text:t" inset="0,0,0,0">
                <w:txbxContent>
                  <w:p w14:paraId="54613D5B" w14:textId="77777777" w:rsidR="00B95F6D" w:rsidRDefault="00A729D6">
                    <w:pPr>
                      <w:pStyle w:val="Pta"/>
                    </w:pPr>
                    <w:r>
                      <w:rPr>
                        <w:rStyle w:val="slostrany"/>
                        <w:color w:val="000000"/>
                      </w:rPr>
                      <w:fldChar w:fldCharType="begin"/>
                    </w:r>
                    <w:r>
                      <w:rPr>
                        <w:rStyle w:val="slostrany"/>
                        <w:color w:val="000000"/>
                      </w:rPr>
                      <w:instrText>PAGE</w:instrText>
                    </w:r>
                    <w:r>
                      <w:rPr>
                        <w:rStyle w:val="slostrany"/>
                        <w:color w:val="000000"/>
                      </w:rPr>
                      <w:fldChar w:fldCharType="separate"/>
                    </w:r>
                    <w:r w:rsidR="00DB3086">
                      <w:rPr>
                        <w:rStyle w:val="slostrany"/>
                        <w:noProof/>
                        <w:color w:val="000000"/>
                      </w:rPr>
                      <w:t>2</w:t>
                    </w:r>
                    <w:r>
                      <w:rPr>
                        <w:rStyle w:val="slostrany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rect>
          </w:pict>
        </mc:Fallback>
      </mc:AlternateContent>
    </w:r>
  </w:p>
  <w:p w14:paraId="47A02DE3" w14:textId="77777777" w:rsidR="00B95F6D" w:rsidRDefault="00D25F3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26D74C" w14:textId="77777777" w:rsidR="00D25F35" w:rsidRDefault="00D25F35">
      <w:pPr>
        <w:spacing w:after="0"/>
      </w:pPr>
      <w:r>
        <w:separator/>
      </w:r>
    </w:p>
  </w:footnote>
  <w:footnote w:type="continuationSeparator" w:id="0">
    <w:p w14:paraId="494D8D44" w14:textId="77777777" w:rsidR="00D25F35" w:rsidRDefault="00D25F3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B6"/>
    <w:rsid w:val="001A07E9"/>
    <w:rsid w:val="00303458"/>
    <w:rsid w:val="00341F62"/>
    <w:rsid w:val="00356167"/>
    <w:rsid w:val="00521BB6"/>
    <w:rsid w:val="00593B7D"/>
    <w:rsid w:val="005A2C4E"/>
    <w:rsid w:val="007A6456"/>
    <w:rsid w:val="00A729D6"/>
    <w:rsid w:val="00A80CE6"/>
    <w:rsid w:val="00D25F35"/>
    <w:rsid w:val="00D901D4"/>
    <w:rsid w:val="00DB3086"/>
    <w:rsid w:val="00ED7ED0"/>
    <w:rsid w:val="00EE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7FE8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21BB6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lostrany">
    <w:name w:val="page number"/>
    <w:basedOn w:val="Predvolenpsmoodseku"/>
    <w:qFormat/>
    <w:rsid w:val="00521BB6"/>
  </w:style>
  <w:style w:type="paragraph" w:customStyle="1" w:styleId="TAMainText">
    <w:name w:val="TA_Main_Text"/>
    <w:basedOn w:val="Normlny"/>
    <w:autoRedefine/>
    <w:qFormat/>
    <w:rsid w:val="00521BB6"/>
    <w:pPr>
      <w:tabs>
        <w:tab w:val="left" w:pos="0"/>
      </w:tabs>
      <w:spacing w:after="0" w:line="360" w:lineRule="auto"/>
    </w:pPr>
    <w:rPr>
      <w:rFonts w:ascii="Times New Roman" w:hAnsi="Times New Roman"/>
      <w:kern w:val="2"/>
      <w:szCs w:val="24"/>
    </w:rPr>
  </w:style>
  <w:style w:type="paragraph" w:customStyle="1" w:styleId="BATitle">
    <w:name w:val="BA_Title"/>
    <w:basedOn w:val="Normlny"/>
    <w:next w:val="BBAuthorName"/>
    <w:autoRedefine/>
    <w:qFormat/>
    <w:rsid w:val="00521BB6"/>
    <w:pPr>
      <w:spacing w:after="0" w:line="360" w:lineRule="auto"/>
      <w:jc w:val="center"/>
    </w:pPr>
    <w:rPr>
      <w:rFonts w:ascii="Times New Roman" w:hAnsi="Times New Roman"/>
      <w:b/>
      <w:kern w:val="2"/>
      <w:szCs w:val="24"/>
    </w:rPr>
  </w:style>
  <w:style w:type="paragraph" w:customStyle="1" w:styleId="BBAuthorName">
    <w:name w:val="BB_Author_Name"/>
    <w:basedOn w:val="Normlny"/>
    <w:next w:val="Normlny"/>
    <w:autoRedefine/>
    <w:qFormat/>
    <w:rsid w:val="00521BB6"/>
    <w:pPr>
      <w:spacing w:after="180"/>
    </w:pPr>
    <w:rPr>
      <w:rFonts w:ascii="Arno Pro" w:hAnsi="Arno Pro"/>
      <w:kern w:val="2"/>
      <w:sz w:val="22"/>
      <w:szCs w:val="22"/>
    </w:rPr>
  </w:style>
  <w:style w:type="paragraph" w:styleId="Pta">
    <w:name w:val="footer"/>
    <w:basedOn w:val="Normlny"/>
    <w:link w:val="PtaChar"/>
    <w:rsid w:val="00521BB6"/>
    <w:pPr>
      <w:tabs>
        <w:tab w:val="center" w:pos="4320"/>
        <w:tab w:val="right" w:pos="8640"/>
      </w:tabs>
    </w:pPr>
  </w:style>
  <w:style w:type="character" w:customStyle="1" w:styleId="PtaChar">
    <w:name w:val="Päta Char"/>
    <w:basedOn w:val="Predvolenpsmoodseku"/>
    <w:link w:val="Pta"/>
    <w:rsid w:val="00521BB6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Standard">
    <w:name w:val="Standard"/>
    <w:qFormat/>
    <w:rsid w:val="00521BB6"/>
    <w:pPr>
      <w:suppressAutoHyphens/>
      <w:textAlignment w:val="baseline"/>
    </w:pPr>
    <w:rPr>
      <w:rFonts w:ascii="Calibri" w:eastAsia="Calibri" w:hAnsi="Calibri" w:cs="F"/>
      <w:lang w:val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D7ED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D7ED0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21BB6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lostrany">
    <w:name w:val="page number"/>
    <w:basedOn w:val="Predvolenpsmoodseku"/>
    <w:qFormat/>
    <w:rsid w:val="00521BB6"/>
  </w:style>
  <w:style w:type="paragraph" w:customStyle="1" w:styleId="TAMainText">
    <w:name w:val="TA_Main_Text"/>
    <w:basedOn w:val="Normlny"/>
    <w:autoRedefine/>
    <w:qFormat/>
    <w:rsid w:val="00521BB6"/>
    <w:pPr>
      <w:tabs>
        <w:tab w:val="left" w:pos="0"/>
      </w:tabs>
      <w:spacing w:after="0" w:line="360" w:lineRule="auto"/>
    </w:pPr>
    <w:rPr>
      <w:rFonts w:ascii="Times New Roman" w:hAnsi="Times New Roman"/>
      <w:kern w:val="2"/>
      <w:szCs w:val="24"/>
    </w:rPr>
  </w:style>
  <w:style w:type="paragraph" w:customStyle="1" w:styleId="BATitle">
    <w:name w:val="BA_Title"/>
    <w:basedOn w:val="Normlny"/>
    <w:next w:val="BBAuthorName"/>
    <w:autoRedefine/>
    <w:qFormat/>
    <w:rsid w:val="00521BB6"/>
    <w:pPr>
      <w:spacing w:after="0" w:line="360" w:lineRule="auto"/>
      <w:jc w:val="center"/>
    </w:pPr>
    <w:rPr>
      <w:rFonts w:ascii="Times New Roman" w:hAnsi="Times New Roman"/>
      <w:b/>
      <w:kern w:val="2"/>
      <w:szCs w:val="24"/>
    </w:rPr>
  </w:style>
  <w:style w:type="paragraph" w:customStyle="1" w:styleId="BBAuthorName">
    <w:name w:val="BB_Author_Name"/>
    <w:basedOn w:val="Normlny"/>
    <w:next w:val="Normlny"/>
    <w:autoRedefine/>
    <w:qFormat/>
    <w:rsid w:val="00521BB6"/>
    <w:pPr>
      <w:spacing w:after="180"/>
    </w:pPr>
    <w:rPr>
      <w:rFonts w:ascii="Arno Pro" w:hAnsi="Arno Pro"/>
      <w:kern w:val="2"/>
      <w:sz w:val="22"/>
      <w:szCs w:val="22"/>
    </w:rPr>
  </w:style>
  <w:style w:type="paragraph" w:styleId="Pta">
    <w:name w:val="footer"/>
    <w:basedOn w:val="Normlny"/>
    <w:link w:val="PtaChar"/>
    <w:rsid w:val="00521BB6"/>
    <w:pPr>
      <w:tabs>
        <w:tab w:val="center" w:pos="4320"/>
        <w:tab w:val="right" w:pos="8640"/>
      </w:tabs>
    </w:pPr>
  </w:style>
  <w:style w:type="character" w:customStyle="1" w:styleId="PtaChar">
    <w:name w:val="Päta Char"/>
    <w:basedOn w:val="Predvolenpsmoodseku"/>
    <w:link w:val="Pta"/>
    <w:rsid w:val="00521BB6"/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Standard">
    <w:name w:val="Standard"/>
    <w:qFormat/>
    <w:rsid w:val="00521BB6"/>
    <w:pPr>
      <w:suppressAutoHyphens/>
      <w:textAlignment w:val="baseline"/>
    </w:pPr>
    <w:rPr>
      <w:rFonts w:ascii="Calibri" w:eastAsia="Calibri" w:hAnsi="Calibri" w:cs="F"/>
      <w:lang w:val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D7ED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D7ED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UPJS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Pavol Hrubovcak</dc:creator>
  <cp:lastModifiedBy>Vladimir Zelenak</cp:lastModifiedBy>
  <cp:revision>2</cp:revision>
  <dcterms:created xsi:type="dcterms:W3CDTF">2021-10-13T08:19:00Z</dcterms:created>
  <dcterms:modified xsi:type="dcterms:W3CDTF">2021-10-13T08:19:00Z</dcterms:modified>
</cp:coreProperties>
</file>