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9284" w14:textId="77777777" w:rsidR="00E46EB4" w:rsidRDefault="00E46EB4" w:rsidP="00E46EB4">
      <w:pPr>
        <w:pStyle w:val="Heading1"/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Supplementary Data</w:t>
      </w:r>
    </w:p>
    <w:p w14:paraId="3AF2D1CA" w14:textId="77777777" w:rsidR="00E46EB4" w:rsidRDefault="00E46EB4" w:rsidP="00E46EB4">
      <w:pPr>
        <w:spacing w:before="200" w:after="60"/>
      </w:pPr>
      <w:r>
        <w:rPr>
          <w:b/>
          <w:bCs/>
        </w:rPr>
        <w:t>Table S1</w:t>
      </w:r>
    </w:p>
    <w:p w14:paraId="10671152" w14:textId="77777777" w:rsidR="00E46EB4" w:rsidRDefault="00E46EB4" w:rsidP="00E46EB4">
      <w:pPr>
        <w:spacing w:after="80"/>
      </w:pPr>
      <w:r>
        <w:t>Mean Seed Cotton Yield (Kentar Feddan⁻¹) per Genotype per Environment (n = 3 Replicates)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0"/>
        <w:gridCol w:w="1050"/>
        <w:gridCol w:w="1050"/>
        <w:gridCol w:w="1050"/>
        <w:gridCol w:w="1050"/>
        <w:gridCol w:w="1050"/>
        <w:gridCol w:w="1050"/>
        <w:gridCol w:w="1910"/>
      </w:tblGrid>
      <w:tr w:rsidR="00E46EB4" w14:paraId="484674D6" w14:textId="77777777" w:rsidTr="00DD397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D102F9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Genotype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0FE5B3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E1 Kafr El-Sheikh 2023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8FD4E8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E2 Kafr El-Sheikh 2024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8B96D5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E3 Damietta 2023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CA3E76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E4 Damietta 2024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6F1945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E5 El-Sharkia 2023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CD3B3D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E6 El-Sharkia 2024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0A7968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5"/>
                <w:szCs w:val="15"/>
              </w:rPr>
              <w:t>Grand Mean ± SE</w:t>
            </w:r>
          </w:p>
        </w:tc>
      </w:tr>
      <w:tr w:rsidR="00E46EB4" w14:paraId="481B354B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1FD0DA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Stress level →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400DC2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Low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00B08B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Low–Mod.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259CC5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Moderate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9FFFA9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Moderate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C3E6C4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High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1CC69FC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High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A0AB6F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</w:tr>
      <w:tr w:rsidR="00E46EB4" w14:paraId="4ADC2582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6D8643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Line 1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689C0B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14.82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DB2F67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14.05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5A4E4E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13.47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1ED5C6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12.94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A00003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12.62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D151B6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11.90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DC99EC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13.30 ± 0.31</w:t>
            </w:r>
          </w:p>
        </w:tc>
      </w:tr>
      <w:tr w:rsidR="00E46EB4" w14:paraId="16BF0A4B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A97CC6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Line 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C8AA0D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12.14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D49C60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11.88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23DE30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10.42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B3BC5D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9.87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F21561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11.74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CEFB44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11.03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2E3C31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11.18 ± 0.38</w:t>
            </w:r>
          </w:p>
        </w:tc>
      </w:tr>
      <w:tr w:rsidR="00E46EB4" w14:paraId="54E37083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9FA8BA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Line 3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BCD610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11.40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110736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10.78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F282E2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9.52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37F723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8.94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B4CD4D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8.62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D8CF19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7.80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31C6F3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9.51 ± 0.52</w:t>
            </w:r>
          </w:p>
        </w:tc>
      </w:tr>
      <w:tr w:rsidR="00E46EB4" w14:paraId="445CE159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460422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Line 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BD5E57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13.21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7D0311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12.88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8F8F23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12.74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16FEE4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12.17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E16227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13.18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23614C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12.26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FC85B2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12.74 ± 0.28</w:t>
            </w:r>
          </w:p>
        </w:tc>
      </w:tr>
      <w:tr w:rsidR="00E46EB4" w14:paraId="1AF2716D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A3DDD9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Giza 86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26A9D8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13.08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F2B372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12.46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7F0135C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11.12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02386D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10.55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DF7C3F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10.44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5258B8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10.87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C65DD9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11.42 ± 0.42</w:t>
            </w:r>
          </w:p>
        </w:tc>
      </w:tr>
      <w:tr w:rsidR="00E46EB4" w14:paraId="23E604FF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1F6236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Giza 94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AB9518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11.72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27A895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11.35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1F3461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12.08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CD3B90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11.64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16E9DA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12.44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BA40F6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12.47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FEEB6C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11.95 ± 0.35</w:t>
            </w:r>
          </w:p>
        </w:tc>
      </w:tr>
      <w:tr w:rsidR="00E46EB4" w14:paraId="10D6C07A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A5A804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Giza 96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CF8153D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13.22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45378C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12.57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14D96A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10.44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8986FA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9.78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AFF8F3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9.21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9250F8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9.68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DD0DDB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10.87 ± 0.44</w:t>
            </w:r>
          </w:p>
        </w:tc>
      </w:tr>
      <w:tr w:rsidR="00E46EB4" w14:paraId="1DD597FE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9A2B9A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Environment mean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2B7F68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12.87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6799D3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12.34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29130B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11.47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7064E8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10.90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8000CB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11.28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4F51A6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10.86</w:t>
            </w:r>
          </w:p>
        </w:tc>
        <w:tc>
          <w:tcPr>
            <w:tcW w:w="19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8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A03C62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5"/>
                <w:szCs w:val="15"/>
              </w:rPr>
              <w:t>11.62 ± 0.19</w:t>
            </w:r>
          </w:p>
        </w:tc>
      </w:tr>
    </w:tbl>
    <w:p w14:paraId="2634AC3D" w14:textId="77777777" w:rsidR="00E46EB4" w:rsidRDefault="00E46EB4" w:rsidP="00E46EB4">
      <w:pPr>
        <w:spacing w:before="60" w:after="180"/>
        <w:jc w:val="both"/>
      </w:pPr>
      <w:r>
        <w:rPr>
          <w:b/>
          <w:bCs/>
          <w:sz w:val="17"/>
          <w:szCs w:val="17"/>
        </w:rPr>
        <w:t xml:space="preserve">Note. </w:t>
      </w:r>
      <w:r>
        <w:rPr>
          <w:sz w:val="17"/>
          <w:szCs w:val="17"/>
        </w:rPr>
        <w:t>Values are means of three replications. SE = standard error of the grand mean across all 18 plots (6 environments × 3 replicates). E1 = Kafr El-Sheikh 2023; E2 = Kafr El-Sheikh 2024; E3 = Damietta 2023; E4 = Damietta 2024; E5 = El-Sharkia 2023; E6 = El-Sharkia 2024. Shaded rows (Line 1, Line 4) indicate genotypes classified as Highly Stable with superior mean yield (WAASB/GY index ≥ 0.80). Kentar = 157.5 kg; Feddan = 0.42 ha.</w:t>
      </w:r>
    </w:p>
    <w:p w14:paraId="4DC06625" w14:textId="77777777" w:rsidR="00E46EB4" w:rsidRDefault="00E46EB4" w:rsidP="00E46EB4">
      <w:pPr>
        <w:spacing w:before="200" w:after="60"/>
      </w:pPr>
      <w:r>
        <w:rPr>
          <w:b/>
          <w:bCs/>
        </w:rPr>
        <w:t>Table S2</w:t>
      </w:r>
    </w:p>
    <w:p w14:paraId="691B65F1" w14:textId="77777777" w:rsidR="00E46EB4" w:rsidRDefault="00E46EB4" w:rsidP="00E46EB4">
      <w:pPr>
        <w:spacing w:after="80"/>
      </w:pPr>
      <w:r>
        <w:t>AMMI Model Parameters: IPCA Axis Statistics, Genotype Scores, and Stability Indices</w:t>
      </w:r>
    </w:p>
    <w:p w14:paraId="5B22B9D9" w14:textId="77777777" w:rsidR="00E46EB4" w:rsidRDefault="00E46EB4" w:rsidP="00E46EB4">
      <w:pPr>
        <w:spacing w:after="60"/>
      </w:pPr>
      <w:r>
        <w:rPr>
          <w:b/>
          <w:bCs/>
          <w:sz w:val="18"/>
          <w:szCs w:val="18"/>
        </w:rPr>
        <w:t>Part A. IPCA Axis Eigenvalues, Explained Variance, and Significance Tests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200"/>
        <w:gridCol w:w="1500"/>
        <w:gridCol w:w="900"/>
        <w:gridCol w:w="2760"/>
      </w:tblGrid>
      <w:tr w:rsidR="00E46EB4" w14:paraId="104F8CF9" w14:textId="77777777" w:rsidTr="00DD397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E4097D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IPCA Axis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F0EF7E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Eigenvalue (SS)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C49A4CD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SS (%)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044096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Cumulative SS (%)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D290EA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F</w:t>
            </w:r>
          </w:p>
        </w:tc>
        <w:tc>
          <w:tcPr>
            <w:tcW w:w="2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B2407E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p</w:t>
            </w:r>
          </w:p>
        </w:tc>
      </w:tr>
      <w:tr w:rsidR="00E46EB4" w14:paraId="68186A33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6DFE97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IPCA1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70BB51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196.7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72E5AA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58.3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8581D0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58.3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75E21A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6.95</w:t>
            </w:r>
          </w:p>
        </w:tc>
        <w:tc>
          <w:tcPr>
            <w:tcW w:w="2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13EFA6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&lt; .001</w:t>
            </w:r>
          </w:p>
        </w:tc>
      </w:tr>
      <w:tr w:rsidR="00E46EB4" w14:paraId="41D59B36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BAF164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IPCA2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6F54D8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92.5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BABD0F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27.4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97C71E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85.7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62B043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4.08</w:t>
            </w:r>
          </w:p>
        </w:tc>
        <w:tc>
          <w:tcPr>
            <w:tcW w:w="2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B4D5C2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&lt; .001</w:t>
            </w:r>
          </w:p>
        </w:tc>
      </w:tr>
      <w:tr w:rsidR="00E46EB4" w14:paraId="278CCFDC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AB04C4C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IPCA3–5 (residual)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86BC5B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48.2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98DE47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14.3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38265EC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100.0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C8CEDA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1.42</w:t>
            </w:r>
          </w:p>
        </w:tc>
        <w:tc>
          <w:tcPr>
            <w:tcW w:w="2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586984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.155 (ns)</w:t>
            </w:r>
          </w:p>
        </w:tc>
      </w:tr>
    </w:tbl>
    <w:p w14:paraId="600EEC42" w14:textId="77777777" w:rsidR="00E46EB4" w:rsidRDefault="00E46EB4" w:rsidP="00E46EB4">
      <w:pPr>
        <w:spacing w:before="60" w:after="180"/>
        <w:jc w:val="both"/>
      </w:pPr>
      <w:r>
        <w:rPr>
          <w:b/>
          <w:bCs/>
          <w:sz w:val="17"/>
          <w:szCs w:val="17"/>
        </w:rPr>
        <w:t xml:space="preserve">Note. </w:t>
      </w:r>
      <w:r>
        <w:rPr>
          <w:sz w:val="17"/>
          <w:szCs w:val="17"/>
        </w:rPr>
        <w:t>SS = sum of squares. F-ratios tested against the error MS (df = 126, MS = 2.83). IPCA3–5 residual was non-significant (p = .155) and excluded from stability calculations. Bartlett's test: χ² = 11.8, df = 5, p = .067; Levene's test: F₅,₁₆₁ = 1.94, p = .092 (homogeneity confirmed). ns = non-significant.</w:t>
      </w:r>
    </w:p>
    <w:p w14:paraId="378A88CD" w14:textId="77777777" w:rsidR="00E46EB4" w:rsidRDefault="00E46EB4" w:rsidP="00E46EB4">
      <w:pPr>
        <w:spacing w:before="120" w:after="60"/>
      </w:pPr>
      <w:r>
        <w:rPr>
          <w:b/>
          <w:bCs/>
          <w:sz w:val="18"/>
          <w:szCs w:val="18"/>
        </w:rPr>
        <w:t>Part B. Genotype IPCA Scores, AMMI Stability Value (ASV), and WAAS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1115"/>
        <w:gridCol w:w="1115"/>
        <w:gridCol w:w="922"/>
        <w:gridCol w:w="951"/>
        <w:gridCol w:w="3860"/>
      </w:tblGrid>
      <w:tr w:rsidR="00E46EB4" w14:paraId="29A2C32C" w14:textId="77777777" w:rsidTr="00DD397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8AEFEB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Genotype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C6F391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IPCA1 Score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1EE8D3C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IPCA2 Score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7AD1B2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ASV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6F67CC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WAAS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AEEF3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91DDC8D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b/>
                <w:bCs/>
                <w:sz w:val="17"/>
                <w:szCs w:val="17"/>
              </w:rPr>
              <w:t>Stability Class</w:t>
            </w:r>
          </w:p>
        </w:tc>
      </w:tr>
      <w:tr w:rsidR="00E46EB4" w14:paraId="2F46838E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426406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Line 1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A82A6C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−0.18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1462DC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C57690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0646EA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0.24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7F50ED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Highly stable</w:t>
            </w:r>
          </w:p>
        </w:tc>
      </w:tr>
      <w:tr w:rsidR="00E46EB4" w14:paraId="255AC173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F319C5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Line 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D470FC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0.42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A34B67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−0.52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34881D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FA9FF0D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0.59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7AA8FC8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Moderately stable</w:t>
            </w:r>
          </w:p>
        </w:tc>
      </w:tr>
      <w:tr w:rsidR="00E46EB4" w14:paraId="2E8617FA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5BC31CB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Line 3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FCF0A7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0.98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4D2642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1.22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6583675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2.18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12DF2A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1.94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DECEA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AC1F94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Unstable</w:t>
            </w:r>
          </w:p>
        </w:tc>
      </w:tr>
      <w:tr w:rsidR="00E46EB4" w14:paraId="5D7194A5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952A83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Line 4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30C0A0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0.15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FE91299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0.24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4B7B349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0.27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09CBFB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872F6C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Highly stable</w:t>
            </w:r>
          </w:p>
        </w:tc>
      </w:tr>
      <w:tr w:rsidR="00E46EB4" w14:paraId="66AEC2A8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96056C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Giza 86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FEF070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−0.27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FECC05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89B1FD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222814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0.53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70C5933F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Moderately stable</w:t>
            </w:r>
          </w:p>
        </w:tc>
      </w:tr>
      <w:tr w:rsidR="00E46EB4" w14:paraId="15089071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96EA117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Giza 94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426C514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0.08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5E633BF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−0.41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1FFFAF26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0.28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EEEFE6D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0.26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5E0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1A3693A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Highly stable</w:t>
            </w:r>
          </w:p>
        </w:tc>
      </w:tr>
      <w:tr w:rsidR="00E46EB4" w14:paraId="61B7CED0" w14:textId="77777777" w:rsidTr="00DD397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49A05A3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lastRenderedPageBreak/>
              <w:t>Giza 96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3D6F5BD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−0.35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089E1DFE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34F153F1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292E2702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44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72" w:type="dxa"/>
              <w:left w:w="100" w:type="dxa"/>
              <w:bottom w:w="72" w:type="dxa"/>
              <w:right w:w="100" w:type="dxa"/>
            </w:tcMar>
            <w:vAlign w:val="center"/>
          </w:tcPr>
          <w:p w14:paraId="6A9B4520" w14:textId="77777777" w:rsidR="00E46EB4" w:rsidRDefault="00E46EB4" w:rsidP="00DD397B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Moderately stable</w:t>
            </w:r>
          </w:p>
        </w:tc>
      </w:tr>
    </w:tbl>
    <w:p w14:paraId="6385FADF" w14:textId="77777777" w:rsidR="00E46EB4" w:rsidRDefault="00E46EB4" w:rsidP="00E46EB4">
      <w:pPr>
        <w:spacing w:before="60" w:after="180"/>
        <w:jc w:val="both"/>
      </w:pPr>
      <w:r>
        <w:rPr>
          <w:b/>
          <w:bCs/>
          <w:sz w:val="17"/>
          <w:szCs w:val="17"/>
        </w:rPr>
        <w:t xml:space="preserve">Note. </w:t>
      </w:r>
      <w:r>
        <w:rPr>
          <w:sz w:val="17"/>
          <w:szCs w:val="17"/>
        </w:rPr>
        <w:t>IPCA1 and IPCA2 = interaction principal component axis scores from the AMMI model. ASV = AMMI Stability Value (Purchase et al., 2000): ASV = √[(SS_IPCA1/SS_IPCA2 × IPCA1 score)² + IPCA2 score²]. WAAS = Weighted Average of Absolute Scores across significant IPCA axes (Olivoto et al., 2019). Stability classes: ASV &lt; 0.50 = Highly stable; 0.50–1.00 = Moderately stable; &gt; 1.00 = Unstable.</w:t>
      </w:r>
    </w:p>
    <w:p w14:paraId="475F9F8F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B4"/>
    <w:rsid w:val="003C2EF4"/>
    <w:rsid w:val="00446799"/>
    <w:rsid w:val="006A7E07"/>
    <w:rsid w:val="00701021"/>
    <w:rsid w:val="00987C65"/>
    <w:rsid w:val="00B74216"/>
    <w:rsid w:val="00D62F8C"/>
    <w:rsid w:val="00E46EB4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212D"/>
  <w15:chartTrackingRefBased/>
  <w15:docId w15:val="{FBBA7686-F619-4174-8593-A0C1F825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E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E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E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E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E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E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E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E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E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6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E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6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E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6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E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6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E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>Springer Nature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2026-05-25T13:32:00Z</dcterms:created>
  <dcterms:modified xsi:type="dcterms:W3CDTF">2026-05-25T13:32:00Z</dcterms:modified>
</cp:coreProperties>
</file>