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81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196"/>
        <w:gridCol w:w="1257"/>
        <w:gridCol w:w="1033"/>
        <w:gridCol w:w="974"/>
      </w:tblGrid>
      <w:tr w14:paraId="3701F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6A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Table 2. The associations between seven independent variables and the super-efficiency scores of PHC fever clinics.</w:t>
            </w:r>
          </w:p>
        </w:tc>
      </w:tr>
      <w:tr w14:paraId="3083D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24DBB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Variable</w:t>
            </w:r>
          </w:p>
        </w:tc>
        <w:tc>
          <w:tcPr>
            <w:tcW w:w="1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343A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Coefficient</w:t>
            </w:r>
          </w:p>
        </w:tc>
        <w:tc>
          <w:tcPr>
            <w:tcW w:w="133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7C59A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Std. Error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D4DB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z-value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44AE3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 w14:paraId="476FE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8BE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intercept:1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25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0.3882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75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-0.1368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E2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2.8372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EB7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0.0046*</w:t>
            </w:r>
          </w:p>
        </w:tc>
      </w:tr>
      <w:tr w14:paraId="6C9DE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EDA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intercept:2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4E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-1.2732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98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-0.0612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6FF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-20.8159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5A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&lt;0.001*</w:t>
            </w:r>
          </w:p>
        </w:tc>
      </w:tr>
      <w:tr w14:paraId="1387D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783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region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29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-0.0077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CF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-0.0569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DD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-0.1345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2A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0.893</w:t>
            </w:r>
          </w:p>
        </w:tc>
      </w:tr>
      <w:tr w14:paraId="6A71B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E3A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permanent population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1D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-0.0037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5F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-0.0041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A4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-0.9046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88A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0.3657</w:t>
            </w:r>
          </w:p>
        </w:tc>
      </w:tr>
      <w:tr w14:paraId="3808E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02B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PHC area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A8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-0.0012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5A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C4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-1.2124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8CF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0.2253</w:t>
            </w:r>
          </w:p>
        </w:tc>
      </w:tr>
      <w:tr w14:paraId="1B0C7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629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building area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AC9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5E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C9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1B1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0.8913</w:t>
            </w:r>
          </w:p>
        </w:tc>
      </w:tr>
      <w:tr w14:paraId="13E97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863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clinic maintenance cost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53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-0.0009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08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0C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-0.6403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18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0.522</w:t>
            </w:r>
          </w:p>
        </w:tc>
      </w:tr>
      <w:tr w14:paraId="3496F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EE9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clinic staff replenishment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8F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-0.0006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01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-0.0039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97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-0.142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508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0.8871</w:t>
            </w:r>
          </w:p>
        </w:tc>
      </w:tr>
      <w:tr w14:paraId="25E28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286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X-ray machine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434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-0.0355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70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-0.11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5A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-0.3231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9D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0.7467</w:t>
            </w:r>
          </w:p>
        </w:tc>
      </w:tr>
      <w:tr w14:paraId="60C9E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B7C23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CT machine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03DB9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-0.0143</w:t>
            </w:r>
          </w:p>
        </w:tc>
        <w:tc>
          <w:tcPr>
            <w:tcW w:w="13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31A88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-0.0464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10E5B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-0.3073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vAlign w:val="center"/>
          </w:tcPr>
          <w:p w14:paraId="5684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0.7586</w:t>
            </w:r>
          </w:p>
        </w:tc>
      </w:tr>
      <w:tr w14:paraId="70453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72F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Note: *p &lt; 0.05. The model includes two intercepts corresponding to the cut points of the ordinal outcome.</w:t>
            </w:r>
          </w:p>
        </w:tc>
      </w:tr>
    </w:tbl>
    <w:p w14:paraId="17118A9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D0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2026-05-09T07:36:24Z</dcterms:created>
  <dc:creator>Yun</dc:creator>
  <cp:lastModifiedBy>荣儿</cp:lastModifiedBy>
  <dcterms:modified xsi:type="dcterms:W3CDTF">2026-05-09T07:36:37Z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eyJoZGlkIjoiOTMzMWUzMzk4OGYyMDM2NTkyN2UzZjY2ZGFjMjJiNWMiLCJ1c2VySWQiOiI3MDY3MDU2NTkifQ==</vt:lpwstr>
  </property>
  <property fmtid="{D5CDD505-2E9C-101B-9397-08002B2CF9AE}" pid="4" name="ICV">
    <vt:lpwstr>B82FB0D70B2B4E71ACC2C7A5562AF367_12</vt:lpwstr>
  </property>
</Properties>
</file>