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336F">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 xml:space="preserve">Efficiency of Fever Clinics in Shanghai's Primary Healthcare Centers: </w:t>
      </w:r>
    </w:p>
    <w:p w14:paraId="4E9BE19D">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A DEA-Tobit Analysis</w:t>
      </w:r>
    </w:p>
    <w:p w14:paraId="384FD9C7">
      <w:pPr>
        <w:jc w:val="center"/>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A</w:t>
      </w:r>
      <w:r>
        <w:rPr>
          <w:rFonts w:hint="default" w:ascii="Times New Roman" w:hAnsi="Times New Roman" w:cs="Times New Roman"/>
          <w:b/>
          <w:bCs/>
          <w:color w:val="auto"/>
          <w:sz w:val="21"/>
          <w:szCs w:val="21"/>
          <w:highlight w:val="none"/>
          <w:lang w:eastAsia="zh-CN"/>
        </w:rPr>
        <w:t>ttached file</w:t>
      </w:r>
    </w:p>
    <w:p w14:paraId="48E0C053">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Methods</w:t>
      </w:r>
    </w:p>
    <w:p w14:paraId="144629C5">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Questionnaire development and preliminary validation</w:t>
      </w:r>
    </w:p>
    <w:p w14:paraId="0E506E4A">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Reliability was assessed using Cronbach's α, with a value of ≥ 0.70 considered acceptable. Validity was evaluated using the Kaiser-Meyer-Olkin (KMO) measure of sampling adequacy (acceptable threshold: &gt; 0.60) and Bartlett's test of sphericity (p &lt; 0.05 required). Items with low factor loadings (&lt; 0.40) or poor contributions to the measurement structure were considered for removal in futher alalysis. After item deletion, reliability and validity were re-assessed.</w:t>
      </w:r>
    </w:p>
    <w:p w14:paraId="180514B8">
      <w:pPr>
        <w:rPr>
          <w:rFonts w:hint="default" w:ascii="Times New Roman" w:hAnsi="Times New Roman" w:cs="Times New Roman"/>
          <w:b/>
          <w:bCs/>
          <w:color w:val="auto"/>
          <w:sz w:val="21"/>
          <w:szCs w:val="21"/>
          <w:highlight w:val="none"/>
        </w:rPr>
      </w:pPr>
      <w:bookmarkStart w:id="0" w:name="_Hlk77839368"/>
      <w:r>
        <w:rPr>
          <w:rFonts w:hint="default" w:ascii="Times New Roman" w:hAnsi="Times New Roman" w:cs="Times New Roman"/>
          <w:b/>
          <w:bCs/>
          <w:color w:val="auto"/>
          <w:sz w:val="21"/>
          <w:szCs w:val="21"/>
          <w:highlight w:val="none"/>
        </w:rPr>
        <w:t>Sample size estimation</w:t>
      </w:r>
      <w:bookmarkEnd w:id="0"/>
    </w:p>
    <w:p w14:paraId="1A21CC57">
      <w:pPr>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T</w:t>
      </w:r>
      <w:r>
        <w:rPr>
          <w:rFonts w:hint="default" w:ascii="Times New Roman" w:hAnsi="Times New Roman" w:cs="Times New Roman"/>
          <w:b w:val="0"/>
          <w:bCs w:val="0"/>
          <w:color w:val="auto"/>
          <w:kern w:val="0"/>
          <w:sz w:val="21"/>
          <w:szCs w:val="21"/>
          <w:highlight w:val="none"/>
        </w:rPr>
        <w:t>he formula for calculating the sample size in a finite population sampling survey</w:t>
      </w:r>
      <w:r>
        <w:rPr>
          <w:rFonts w:hint="default" w:ascii="Times New Roman" w:hAnsi="Times New Roman" w:cs="Times New Roman"/>
          <w:b w:val="0"/>
          <w:bCs w:val="0"/>
          <w:color w:val="auto"/>
          <w:kern w:val="0"/>
          <w:sz w:val="21"/>
          <w:szCs w:val="21"/>
          <w:highlight w:val="none"/>
          <w:lang w:val="en-US" w:eastAsia="zh-CN"/>
        </w:rPr>
        <w:t xml:space="preserve"> is </w:t>
      </w:r>
      <w:r>
        <w:rPr>
          <w:rFonts w:hint="default" w:ascii="Times New Roman" w:hAnsi="Times New Roman" w:cs="Times New Roman"/>
          <w:b w:val="0"/>
          <w:bCs w:val="0"/>
          <w:color w:val="auto"/>
          <w:kern w:val="0"/>
          <w:sz w:val="21"/>
          <w:szCs w:val="21"/>
          <w:highlight w:val="none"/>
        </w:rPr>
        <w:t>n=P(1-P)/</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cs="Times New Roman"/>
          <w:b w:val="0"/>
          <w:bCs w:val="0"/>
          <w:color w:val="auto"/>
          <w:kern w:val="0"/>
          <w:sz w:val="21"/>
          <w:szCs w:val="21"/>
          <w:highlight w:val="none"/>
        </w:rPr>
        <w:t>e</w:t>
      </w:r>
      <w:r>
        <w:rPr>
          <w:rFonts w:hint="default" w:ascii="Times New Roman" w:hAnsi="Times New Roman" w:cs="Times New Roman"/>
          <w:b w:val="0"/>
          <w:bCs w:val="0"/>
          <w:color w:val="auto"/>
          <w:kern w:val="0"/>
          <w:sz w:val="21"/>
          <w:szCs w:val="21"/>
          <w:highlight w:val="none"/>
          <w:vertAlign w:val="superscript"/>
        </w:rPr>
        <w:t>2</w:t>
      </w:r>
      <w:r>
        <w:rPr>
          <w:rFonts w:hint="default" w:ascii="Times New Roman" w:hAnsi="Times New Roman" w:cs="Times New Roman"/>
          <w:b w:val="0"/>
          <w:bCs w:val="0"/>
          <w:color w:val="auto"/>
          <w:kern w:val="0"/>
          <w:sz w:val="21"/>
          <w:szCs w:val="21"/>
          <w:highlight w:val="none"/>
        </w:rPr>
        <w:t>/Z</w:t>
      </w:r>
      <w:r>
        <w:rPr>
          <w:rFonts w:hint="default" w:ascii="Times New Roman" w:hAnsi="Times New Roman" w:cs="Times New Roman"/>
          <w:b w:val="0"/>
          <w:bCs w:val="0"/>
          <w:color w:val="auto"/>
          <w:kern w:val="0"/>
          <w:sz w:val="21"/>
          <w:szCs w:val="21"/>
          <w:highlight w:val="none"/>
          <w:vertAlign w:val="superscript"/>
        </w:rPr>
        <w:t>2</w:t>
      </w:r>
      <w:r>
        <w:rPr>
          <w:rFonts w:hint="default" w:ascii="Times New Roman" w:hAnsi="Times New Roman" w:cs="Times New Roman"/>
          <w:b w:val="0"/>
          <w:bCs w:val="0"/>
          <w:color w:val="auto"/>
          <w:kern w:val="0"/>
          <w:sz w:val="21"/>
          <w:szCs w:val="21"/>
          <w:highlight w:val="none"/>
        </w:rPr>
        <w:t>+ P(1-P)/N</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19</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kern w:val="0"/>
          <w:sz w:val="21"/>
          <w:szCs w:val="21"/>
          <w:highlight w:val="none"/>
          <w:lang w:val="en-US" w:eastAsia="zh-CN"/>
        </w:rPr>
        <w:t>. The total number of PHC in Shanghai was 249 and all PHCs had fever clinics. The value of P was taken as 0.5 when its sample variation degree was the maximum. The error of the survey results was within ±0.05, and the survey results were within the 95% confidence range. The statistical quantity of Z was 1.96. At the same time, considering that there might be 15% invalid questionnaires, the sample size was expanded based on this, and the final sample size was 177.</w:t>
      </w:r>
    </w:p>
    <w:p w14:paraId="085B48B5">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DEA</w:t>
      </w:r>
    </w:p>
    <w:p w14:paraId="5A14329F">
      <w:pP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 xml:space="preserve">The </w:t>
      </w:r>
      <w:r>
        <w:rPr>
          <w:rFonts w:hint="eastAsia" w:ascii="Times New Roman" w:hAnsi="Times New Roman" w:cs="Times New Roman"/>
          <w:color w:val="auto"/>
          <w:sz w:val="21"/>
          <w:szCs w:val="21"/>
          <w:highlight w:val="none"/>
          <w:lang w:val="en-US" w:eastAsia="zh-CN"/>
        </w:rPr>
        <w:t>IRS</w:t>
      </w:r>
      <w:r>
        <w:rPr>
          <w:rFonts w:hint="default" w:ascii="Times New Roman" w:hAnsi="Times New Roman" w:cs="Times New Roman"/>
          <w:color w:val="auto"/>
          <w:sz w:val="21"/>
          <w:szCs w:val="21"/>
          <w:highlight w:val="none"/>
          <w:lang w:val="en-US" w:eastAsia="zh-CN"/>
        </w:rPr>
        <w:t xml:space="preserve"> indicates that a proportional increase in inputs leads to a more than proportional increase in outputs, suggesting the DMU operates at a suboptimal scale. The </w:t>
      </w:r>
      <w:r>
        <w:rPr>
          <w:rFonts w:hint="eastAsia" w:ascii="Times New Roman" w:hAnsi="Times New Roman" w:cs="Times New Roman"/>
          <w:color w:val="auto"/>
          <w:sz w:val="21"/>
          <w:szCs w:val="21"/>
          <w:highlight w:val="none"/>
          <w:lang w:val="en-US" w:eastAsia="zh-CN"/>
        </w:rPr>
        <w:t>DRS</w:t>
      </w:r>
      <w:r>
        <w:rPr>
          <w:rFonts w:hint="default" w:ascii="Times New Roman" w:hAnsi="Times New Roman" w:cs="Times New Roman"/>
          <w:color w:val="auto"/>
          <w:sz w:val="21"/>
          <w:szCs w:val="21"/>
          <w:highlight w:val="none"/>
          <w:lang w:val="en-US" w:eastAsia="zh-CN"/>
        </w:rPr>
        <w:t xml:space="preserve"> indicates that a proportional increase in inputs leads to a less than proportional increase in outputs, suggesting the DMU operates at a superoptimal scale. The </w:t>
      </w:r>
      <w:r>
        <w:rPr>
          <w:rFonts w:hint="eastAsia" w:ascii="Times New Roman" w:hAnsi="Times New Roman" w:cs="Times New Roman"/>
          <w:color w:val="auto"/>
          <w:sz w:val="21"/>
          <w:szCs w:val="21"/>
          <w:highlight w:val="none"/>
          <w:lang w:val="en-US" w:eastAsia="zh-CN"/>
        </w:rPr>
        <w:t>CRS</w:t>
      </w:r>
      <w:r>
        <w:rPr>
          <w:rFonts w:hint="default" w:ascii="Times New Roman" w:hAnsi="Times New Roman" w:cs="Times New Roman"/>
          <w:color w:val="auto"/>
          <w:sz w:val="21"/>
          <w:szCs w:val="21"/>
          <w:highlight w:val="none"/>
          <w:lang w:val="en-US" w:eastAsia="zh-CN"/>
        </w:rPr>
        <w:t xml:space="preserve"> represents the optimal scale where output changes proportionally with input changes</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22</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w:t>
      </w:r>
    </w:p>
    <w:p w14:paraId="7BD67CD5">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J</w:t>
      </w:r>
      <w:r>
        <w:rPr>
          <w:rFonts w:hint="default" w:ascii="Times New Roman" w:hAnsi="Times New Roman" w:cs="Times New Roman"/>
          <w:b/>
          <w:bCs/>
          <w:color w:val="auto"/>
          <w:sz w:val="21"/>
          <w:szCs w:val="21"/>
          <w:highlight w:val="none"/>
          <w:lang w:eastAsia="zh-CN"/>
        </w:rPr>
        <w:t>ackknife procedure</w:t>
      </w:r>
    </w:p>
    <w:p w14:paraId="117A8E55">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eastAsia="zh-CN"/>
        </w:rPr>
        <w:t>To assess the robustness of the DEA efficiency scores to the exclusion of individual DMUs, a leave-one-out (jackknife) procedure was applied</w:t>
      </w:r>
      <w:r>
        <w:rPr>
          <w:rFonts w:hint="default" w:ascii="Times New Roman" w:hAnsi="Times New Roman" w:eastAsia="宋体" w:cs="Times New Roman"/>
          <w:b w:val="0"/>
          <w:bCs w:val="0"/>
          <w:color w:val="auto"/>
          <w:sz w:val="21"/>
          <w:szCs w:val="21"/>
          <w:highlight w:val="none"/>
          <w:lang w:val="en-US" w:eastAsia="zh-CN"/>
        </w:rPr>
        <w:t>[2</w:t>
      </w:r>
      <w:r>
        <w:rPr>
          <w:rFonts w:hint="eastAsia" w:ascii="Times New Roman" w:hAnsi="Times New Roman"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 For each DMU</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eastAsia="zh-CN"/>
        </w:rPr>
        <w:t>k(k=1,…,nk=1,…,n)</w:t>
      </w:r>
      <w:r>
        <w:rPr>
          <w:rFonts w:hint="default" w:ascii="Times New Roman" w:hAnsi="Times New Roman" w:cs="Times New Roman"/>
          <w:color w:val="auto"/>
          <w:sz w:val="21"/>
          <w:szCs w:val="21"/>
          <w:highlight w:val="none"/>
          <w:lang w:eastAsia="zh-CN"/>
        </w:rPr>
        <w:t>, the DEA model was re-estimated on the reduced sample excluding DMU</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k, generating a set of efficiency scores</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eastAsia="zh-CN"/>
        </w:rPr>
        <w:t>θ</w:t>
      </w:r>
      <w:r>
        <w:rPr>
          <w:rFonts w:hint="default" w:ascii="Times New Roman" w:hAnsi="Times New Roman" w:cs="Times New Roman"/>
          <w:i/>
          <w:iCs/>
          <w:color w:val="auto"/>
          <w:sz w:val="21"/>
          <w:szCs w:val="21"/>
          <w:highlight w:val="none"/>
          <w:vertAlign w:val="subscript"/>
          <w:lang w:eastAsia="zh-CN"/>
        </w:rPr>
        <w:t>i</w:t>
      </w:r>
      <w:r>
        <w:rPr>
          <w:rFonts w:hint="default" w:ascii="Times New Roman" w:hAnsi="Times New Roman" w:cs="Times New Roman"/>
          <w:i/>
          <w:iCs/>
          <w:color w:val="auto"/>
          <w:sz w:val="21"/>
          <w:szCs w:val="21"/>
          <w:highlight w:val="none"/>
          <w:vertAlign w:val="superscript"/>
          <w:lang w:eastAsia="zh-CN"/>
        </w:rPr>
        <w:t>(−k)</w:t>
      </w:r>
      <w:r>
        <w:rPr>
          <w:rFonts w:hint="default" w:ascii="Times New Roman" w:hAnsi="Times New Roman" w:cs="Times New Roman"/>
          <w:i/>
          <w:iCs/>
          <w:color w:val="auto"/>
          <w:sz w:val="21"/>
          <w:szCs w:val="21"/>
          <w:highlight w:val="none"/>
          <w:vertAlign w:val="superscript"/>
          <w:lang w:val="en-US" w:eastAsia="zh-CN"/>
        </w:rPr>
        <w:t xml:space="preserve"> </w:t>
      </w:r>
      <w:r>
        <w:rPr>
          <w:rFonts w:hint="default" w:ascii="Times New Roman" w:hAnsi="Times New Roman" w:cs="Times New Roman"/>
          <w:color w:val="auto"/>
          <w:sz w:val="21"/>
          <w:szCs w:val="21"/>
          <w:highlight w:val="none"/>
          <w:lang w:eastAsia="zh-CN"/>
        </w:rPr>
        <w:t>for all remaining DMUs. The stability of the efficiency estimates was evaluated by calculating the standard deviation of the efficiency scores for each DMU across the</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eastAsia="zh-CN"/>
        </w:rPr>
        <w:t>n</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jackknife replicates. Low standard deviations indicate that the efficiency rankings are not driven by a single observation.</w:t>
      </w:r>
    </w:p>
    <w:p w14:paraId="64FB2D6C">
      <w:pP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lang w:eastAsia="zh-CN"/>
        </w:rPr>
        <w:t>Tobit model specification</w:t>
      </w:r>
    </w:p>
    <w:p w14:paraId="1D4010F2">
      <w:pP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The Tobit model is specified as follows</w:t>
      </w:r>
      <w:r>
        <w:rPr>
          <w:rFonts w:hint="default" w:ascii="Times New Roman" w:hAnsi="Times New Roman" w:eastAsia="宋体" w:cs="Times New Roman"/>
          <w:b w:val="0"/>
          <w:bCs w:val="0"/>
          <w:color w:val="auto"/>
          <w:sz w:val="21"/>
          <w:szCs w:val="21"/>
          <w:highlight w:val="none"/>
          <w:lang w:val="en-US" w:eastAsia="zh-CN"/>
        </w:rPr>
        <w:t>[2</w:t>
      </w:r>
      <w:r>
        <w:rPr>
          <w:rFonts w:hint="eastAsia" w:ascii="Times New Roman" w:hAnsi="Times New Roman"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p w14:paraId="1B5D4932">
      <w:pP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Let</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y</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vertAlign w:val="superscript"/>
          <w:lang w:val="en-US" w:eastAsia="zh-CN"/>
        </w:rPr>
        <w:t>∗</w:t>
      </w:r>
      <w:r>
        <w:rPr>
          <w:rFonts w:hint="default" w:ascii="Times New Roman" w:hAnsi="Times New Roman" w:cs="Times New Roman"/>
          <w:color w:val="auto"/>
          <w:sz w:val="21"/>
          <w:szCs w:val="21"/>
          <w:highlight w:val="none"/>
          <w:lang w:eastAsia="zh-CN"/>
        </w:rPr>
        <w:t xml:space="preserve">be a latent variable representing the underlying efficiency for </w:t>
      </w:r>
      <w:r>
        <w:rPr>
          <w:rFonts w:hint="default" w:ascii="Times New Roman" w:hAnsi="Times New Roman" w:cs="Times New Roman"/>
          <w:color w:val="auto"/>
          <w:sz w:val="21"/>
          <w:szCs w:val="21"/>
          <w:highlight w:val="none"/>
          <w:lang w:val="en-US" w:eastAsia="zh-CN"/>
        </w:rPr>
        <w:t>DMU</w:t>
      </w:r>
      <w:r>
        <w:rPr>
          <w:rFonts w:hint="default" w:ascii="Times New Roman" w:hAnsi="Times New Roman" w:cs="Times New Roman"/>
          <w:i/>
          <w:iCs/>
          <w:color w:val="auto"/>
          <w:sz w:val="21"/>
          <w:szCs w:val="21"/>
          <w:highlight w:val="none"/>
          <w:lang w:eastAsia="zh-CN"/>
        </w:rPr>
        <w:t>i</w:t>
      </w:r>
      <w:r>
        <w:rPr>
          <w:rFonts w:hint="default" w:ascii="Times New Roman" w:hAnsi="Times New Roman" w:cs="Times New Roman"/>
          <w:color w:val="auto"/>
          <w:sz w:val="21"/>
          <w:szCs w:val="21"/>
          <w:highlight w:val="none"/>
          <w:lang w:eastAsia="zh-CN"/>
        </w:rPr>
        <w:t>, and let</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y</w:t>
      </w:r>
      <w:r>
        <w:rPr>
          <w:rFonts w:hint="default" w:ascii="Times New Roman" w:hAnsi="Times New Roman" w:cs="Times New Roman"/>
          <w:i/>
          <w:iCs/>
          <w:color w:val="auto"/>
          <w:sz w:val="21"/>
          <w:szCs w:val="21"/>
          <w:highlight w:val="none"/>
          <w:vertAlign w:val="subscript"/>
          <w:lang w:val="en-US" w:eastAsia="zh-CN"/>
        </w:rPr>
        <w:t xml:space="preserve">i </w:t>
      </w:r>
      <w:r>
        <w:rPr>
          <w:rFonts w:hint="default" w:ascii="Times New Roman" w:hAnsi="Times New Roman" w:cs="Times New Roman"/>
          <w:color w:val="auto"/>
          <w:sz w:val="21"/>
          <w:szCs w:val="21"/>
          <w:highlight w:val="none"/>
          <w:lang w:eastAsia="zh-CN"/>
        </w:rPr>
        <w:t xml:space="preserve">be the observed </w:t>
      </w:r>
      <w:r>
        <w:rPr>
          <w:rFonts w:hint="default" w:ascii="Times New Roman" w:hAnsi="Times New Roman" w:cs="Times New Roman"/>
          <w:color w:val="auto"/>
          <w:sz w:val="21"/>
          <w:szCs w:val="21"/>
          <w:highlight w:val="none"/>
          <w:lang w:val="en-US" w:eastAsia="zh-CN"/>
        </w:rPr>
        <w:t>OTE</w:t>
      </w:r>
      <w:r>
        <w:rPr>
          <w:rFonts w:hint="default" w:ascii="Times New Roman" w:hAnsi="Times New Roman" w:cs="Times New Roman"/>
          <w:color w:val="auto"/>
          <w:sz w:val="21"/>
          <w:szCs w:val="21"/>
          <w:highlight w:val="none"/>
          <w:lang w:eastAsia="zh-CN"/>
        </w:rPr>
        <w:t xml:space="preserve"> score.</w:t>
      </w:r>
      <w:r>
        <w:rPr>
          <w:rFonts w:hint="default" w:ascii="Times New Roman" w:hAnsi="Times New Roman" w:cs="Times New Roman"/>
          <w:color w:val="auto"/>
          <w:sz w:val="21"/>
          <w:szCs w:val="21"/>
          <w:highlight w:val="none"/>
          <w:lang w:val="en-US" w:eastAsia="zh-CN"/>
        </w:rPr>
        <w:t>And</w:t>
      </w:r>
      <w:r>
        <w:rPr>
          <w:rFonts w:hint="default" w:ascii="Times New Roman" w:hAnsi="Times New Roman" w:cs="Times New Roman"/>
          <w:color w:val="auto"/>
          <w:sz w:val="21"/>
          <w:szCs w:val="21"/>
          <w:highlight w:val="none"/>
          <w:lang w:eastAsia="zh-CN"/>
        </w:rPr>
        <w:t xml:space="preserve"> yi</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 xml:space="preserve">is the observed super-efficiency score for </w:t>
      </w:r>
      <w:r>
        <w:rPr>
          <w:rFonts w:hint="default" w:ascii="Times New Roman" w:hAnsi="Times New Roman" w:cs="Times New Roman"/>
          <w:color w:val="auto"/>
          <w:sz w:val="21"/>
          <w:szCs w:val="21"/>
          <w:highlight w:val="none"/>
          <w:lang w:val="en-US" w:eastAsia="zh-CN"/>
        </w:rPr>
        <w:t>DMU</w:t>
      </w:r>
      <w:r>
        <w:rPr>
          <w:rFonts w:hint="default" w:ascii="Times New Roman" w:hAnsi="Times New Roman" w:cs="Times New Roman"/>
          <w:i/>
          <w:iCs/>
          <w:color w:val="auto"/>
          <w:sz w:val="21"/>
          <w:szCs w:val="21"/>
          <w:highlight w:val="none"/>
          <w:lang w:eastAsia="zh-CN"/>
        </w:rPr>
        <w:t>i</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(dependent variable)</w:t>
      </w:r>
      <w:r>
        <w:rPr>
          <w:rFonts w:hint="default" w:ascii="Times New Roman" w:hAnsi="Times New Roman" w:cs="Times New Roman"/>
          <w:color w:val="auto"/>
          <w:sz w:val="21"/>
          <w:szCs w:val="21"/>
          <w:highlight w:val="none"/>
          <w:lang w:val="en-US" w:eastAsia="zh-CN"/>
        </w:rPr>
        <w:t xml:space="preserve">, </w:t>
      </w:r>
    </w:p>
    <w:p w14:paraId="668AE802">
      <w:pPr>
        <w:rPr>
          <w:rFonts w:hint="default" w:ascii="Times New Roman" w:hAnsi="Times New Roman" w:cs="Times New Roman"/>
          <w:color w:val="auto"/>
          <w:sz w:val="21"/>
          <w:szCs w:val="21"/>
          <w:highlight w:val="none"/>
          <w:lang w:eastAsia="zh-CN"/>
        </w:rPr>
      </w:pPr>
      <w:r>
        <w:rPr>
          <w:rFonts w:hint="default" w:ascii="Times New Roman" w:hAnsi="Times New Roman" w:cs="Times New Roman"/>
          <w:i/>
          <w:iCs/>
          <w:color w:val="auto"/>
          <w:sz w:val="21"/>
          <w:szCs w:val="21"/>
          <w:highlight w:val="none"/>
          <w:lang w:val="en-US" w:eastAsia="zh-CN"/>
        </w:rPr>
        <w:t>X</w:t>
      </w:r>
      <w:r>
        <w:rPr>
          <w:rFonts w:hint="default" w:ascii="Times New Roman" w:hAnsi="Times New Roman" w:cs="Times New Roman"/>
          <w:i/>
          <w:iCs/>
          <w:color w:val="auto"/>
          <w:sz w:val="21"/>
          <w:szCs w:val="21"/>
          <w:highlight w:val="none"/>
          <w:vertAlign w:val="subscript"/>
          <w:lang w:val="en-US" w:eastAsia="zh-CN"/>
        </w:rPr>
        <w:t>1i</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to</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X</w:t>
      </w:r>
      <w:r>
        <w:rPr>
          <w:rFonts w:hint="default" w:ascii="Times New Roman" w:hAnsi="Times New Roman" w:cs="Times New Roman"/>
          <w:i/>
          <w:iCs/>
          <w:color w:val="auto"/>
          <w:sz w:val="21"/>
          <w:szCs w:val="21"/>
          <w:highlight w:val="none"/>
          <w:vertAlign w:val="subscript"/>
          <w:lang w:val="en-US" w:eastAsia="zh-CN"/>
        </w:rPr>
        <w:t>8i</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are the eight independent variables</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 xml:space="preserve">0 </w:t>
      </w:r>
      <w:r>
        <w:rPr>
          <w:rFonts w:hint="default" w:ascii="Times New Roman" w:hAnsi="Times New Roman" w:cs="Times New Roman"/>
          <w:color w:val="auto"/>
          <w:sz w:val="21"/>
          <w:szCs w:val="21"/>
          <w:highlight w:val="none"/>
          <w:lang w:eastAsia="zh-CN"/>
        </w:rPr>
        <w:t>to</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8</w:t>
      </w:r>
      <w:r>
        <w:rPr>
          <w:rFonts w:hint="default" w:ascii="Times New Roman" w:hAnsi="Times New Roman" w:cs="Times New Roman"/>
          <w:color w:val="auto"/>
          <w:sz w:val="21"/>
          <w:szCs w:val="21"/>
          <w:highlight w:val="none"/>
          <w:lang w:eastAsia="zh-CN"/>
        </w:rPr>
        <w:t xml:space="preserve"> are the coefficients to be estimated</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lang w:val="en-US" w:eastAsia="zh-CN"/>
        </w:rPr>
        <w:t>ε</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color w:val="auto"/>
          <w:sz w:val="21"/>
          <w:szCs w:val="21"/>
          <w:highlight w:val="none"/>
          <w:lang w:eastAsia="zh-CN"/>
        </w:rPr>
        <w:t xml:space="preserve"> is the independently and identically distributed error term with mean zero and constant variance</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i/>
          <w:iCs/>
          <w:color w:val="auto"/>
          <w:sz w:val="21"/>
          <w:szCs w:val="21"/>
          <w:highlight w:val="none"/>
          <w:vertAlign w:val="baseline"/>
          <w:lang w:val="en-US" w:eastAsia="zh-CN"/>
        </w:rPr>
        <w:t>σ</w:t>
      </w:r>
      <w:r>
        <w:rPr>
          <w:rFonts w:hint="default" w:ascii="Times New Roman" w:hAnsi="Times New Roman" w:cs="Times New Roman"/>
          <w:i/>
          <w:iCs/>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The model can be written as:</w:t>
      </w:r>
    </w:p>
    <w:p w14:paraId="398CCD31">
      <w:pPr>
        <w:rPr>
          <w:rFonts w:hint="default" w:ascii="Times New Roman" w:hAnsi="Times New Roman" w:cs="Times New Roman"/>
          <w:i/>
          <w:iCs/>
          <w:color w:val="auto"/>
          <w:sz w:val="21"/>
          <w:szCs w:val="21"/>
          <w:highlight w:val="none"/>
          <w:vertAlign w:val="baseline"/>
          <w:lang w:val="en-US" w:eastAsia="zh-CN"/>
        </w:rPr>
      </w:pPr>
      <w:r>
        <w:rPr>
          <w:rFonts w:hint="default" w:ascii="Times New Roman" w:hAnsi="Times New Roman" w:cs="Times New Roman"/>
          <w:i/>
          <w:iCs/>
          <w:color w:val="auto"/>
          <w:sz w:val="21"/>
          <w:szCs w:val="21"/>
          <w:highlight w:val="none"/>
          <w:lang w:val="en-US" w:eastAsia="zh-CN"/>
        </w:rPr>
        <w:t>y</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vertAlign w:val="superscript"/>
          <w:lang w:val="en-US" w:eastAsia="zh-CN"/>
        </w:rPr>
        <w:t>∗</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0</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1</w:t>
      </w:r>
      <w:r>
        <w:rPr>
          <w:rFonts w:hint="default" w:ascii="Times New Roman" w:hAnsi="Times New Roman" w:cs="Times New Roman"/>
          <w:i/>
          <w:iCs/>
          <w:color w:val="auto"/>
          <w:sz w:val="21"/>
          <w:szCs w:val="21"/>
          <w:highlight w:val="none"/>
          <w:lang w:val="en-US" w:eastAsia="zh-CN"/>
        </w:rPr>
        <w:t>X</w:t>
      </w:r>
      <w:r>
        <w:rPr>
          <w:rFonts w:hint="default" w:ascii="Times New Roman" w:hAnsi="Times New Roman" w:cs="Times New Roman"/>
          <w:i/>
          <w:iCs/>
          <w:color w:val="auto"/>
          <w:sz w:val="21"/>
          <w:szCs w:val="21"/>
          <w:highlight w:val="none"/>
          <w:vertAlign w:val="subscript"/>
          <w:lang w:val="en-US" w:eastAsia="zh-CN"/>
        </w:rPr>
        <w:t>1i</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2</w:t>
      </w:r>
      <w:r>
        <w:rPr>
          <w:rFonts w:hint="default" w:ascii="Times New Roman" w:hAnsi="Times New Roman" w:cs="Times New Roman"/>
          <w:i/>
          <w:iCs/>
          <w:color w:val="auto"/>
          <w:sz w:val="21"/>
          <w:szCs w:val="21"/>
          <w:highlight w:val="none"/>
          <w:lang w:val="en-US" w:eastAsia="zh-CN"/>
        </w:rPr>
        <w:t>X</w:t>
      </w:r>
      <w:r>
        <w:rPr>
          <w:rFonts w:hint="default" w:ascii="Times New Roman" w:hAnsi="Times New Roman" w:cs="Times New Roman"/>
          <w:i/>
          <w:iCs/>
          <w:color w:val="auto"/>
          <w:sz w:val="21"/>
          <w:szCs w:val="21"/>
          <w:highlight w:val="none"/>
          <w:vertAlign w:val="subscript"/>
          <w:lang w:val="en-US" w:eastAsia="zh-CN"/>
        </w:rPr>
        <w:t>2i</w:t>
      </w:r>
      <w:r>
        <w:rPr>
          <w:rFonts w:hint="default" w:ascii="Times New Roman" w:hAnsi="Times New Roman" w:cs="Times New Roman"/>
          <w:i/>
          <w:iCs/>
          <w:color w:val="auto"/>
          <w:sz w:val="21"/>
          <w:szCs w:val="21"/>
          <w:highlight w:val="none"/>
          <w:lang w:val="en-US" w:eastAsia="zh-CN"/>
        </w:rPr>
        <w:t>+⋯+β</w:t>
      </w:r>
      <w:r>
        <w:rPr>
          <w:rFonts w:hint="default" w:ascii="Times New Roman" w:hAnsi="Times New Roman" w:cs="Times New Roman"/>
          <w:i/>
          <w:iCs/>
          <w:color w:val="auto"/>
          <w:sz w:val="21"/>
          <w:szCs w:val="21"/>
          <w:highlight w:val="none"/>
          <w:vertAlign w:val="subscript"/>
          <w:lang w:val="en-US" w:eastAsia="zh-CN"/>
        </w:rPr>
        <w:t>8</w:t>
      </w:r>
      <w:r>
        <w:rPr>
          <w:rFonts w:hint="default" w:ascii="Times New Roman" w:hAnsi="Times New Roman" w:cs="Times New Roman"/>
          <w:i/>
          <w:iCs/>
          <w:color w:val="auto"/>
          <w:sz w:val="21"/>
          <w:szCs w:val="21"/>
          <w:highlight w:val="none"/>
          <w:lang w:val="en-US" w:eastAsia="zh-CN"/>
        </w:rPr>
        <w:t>X</w:t>
      </w:r>
      <w:r>
        <w:rPr>
          <w:rFonts w:hint="default" w:ascii="Times New Roman" w:hAnsi="Times New Roman" w:cs="Times New Roman"/>
          <w:i/>
          <w:iCs/>
          <w:color w:val="auto"/>
          <w:sz w:val="21"/>
          <w:szCs w:val="21"/>
          <w:highlight w:val="none"/>
          <w:vertAlign w:val="subscript"/>
          <w:lang w:val="en-US" w:eastAsia="zh-CN"/>
        </w:rPr>
        <w:t>8i</w:t>
      </w:r>
      <w:r>
        <w:rPr>
          <w:rFonts w:hint="default" w:ascii="Times New Roman" w:hAnsi="Times New Roman" w:cs="Times New Roman"/>
          <w:i/>
          <w:iCs/>
          <w:color w:val="auto"/>
          <w:sz w:val="21"/>
          <w:szCs w:val="21"/>
          <w:highlight w:val="none"/>
          <w:lang w:val="en-US" w:eastAsia="zh-CN"/>
        </w:rPr>
        <w:t>+ε</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vertAlign w:val="baseline"/>
          <w:lang w:val="en-US" w:eastAsia="zh-CN"/>
        </w:rPr>
        <w:t xml:space="preserve"> </w:t>
      </w:r>
      <w:r>
        <w:rPr>
          <w:rFonts w:hint="default" w:ascii="Times New Roman" w:hAnsi="Times New Roman" w:cs="Times New Roman"/>
          <w:i/>
          <w:iCs/>
          <w:color w:val="auto"/>
          <w:sz w:val="21"/>
          <w:szCs w:val="21"/>
          <w:highlight w:val="none"/>
          <w:lang w:val="en-US" w:eastAsia="zh-CN"/>
        </w:rPr>
        <w:t>ε</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vertAlign w:val="baseline"/>
          <w:lang w:val="en-US" w:eastAsia="zh-CN"/>
        </w:rPr>
        <w:t>∼N(0,σ</w:t>
      </w:r>
      <w:r>
        <w:rPr>
          <w:rFonts w:hint="default" w:ascii="Times New Roman" w:hAnsi="Times New Roman" w:cs="Times New Roman"/>
          <w:i/>
          <w:iCs/>
          <w:color w:val="auto"/>
          <w:sz w:val="21"/>
          <w:szCs w:val="21"/>
          <w:highlight w:val="none"/>
          <w:vertAlign w:val="superscript"/>
          <w:lang w:val="en-US" w:eastAsia="zh-CN"/>
        </w:rPr>
        <w:t>2</w:t>
      </w:r>
      <w:r>
        <w:rPr>
          <w:rFonts w:hint="default" w:ascii="Times New Roman" w:hAnsi="Times New Roman" w:cs="Times New Roman"/>
          <w:i/>
          <w:iCs/>
          <w:color w:val="auto"/>
          <w:sz w:val="21"/>
          <w:szCs w:val="21"/>
          <w:highlight w:val="none"/>
          <w:vertAlign w:val="baseline"/>
          <w:lang w:val="en-US" w:eastAsia="zh-CN"/>
        </w:rPr>
        <w:t>)</w:t>
      </w:r>
    </w:p>
    <w:p w14:paraId="23681D02">
      <w:pPr>
        <w:rPr>
          <w:rFonts w:hint="default" w:ascii="Times New Roman" w:hAnsi="Times New Roman" w:cs="Times New Roman"/>
          <w:i/>
          <w:iCs/>
          <w:color w:val="auto"/>
          <w:sz w:val="21"/>
          <w:szCs w:val="21"/>
          <w:highlight w:val="none"/>
          <w:lang w:val="en-US" w:eastAsia="zh-CN"/>
        </w:rPr>
      </w:pPr>
      <w:r>
        <w:rPr>
          <w:rFonts w:hint="default" w:ascii="Times New Roman" w:hAnsi="Times New Roman" w:cs="Times New Roman"/>
          <w:i/>
          <w:iCs/>
          <w:color w:val="auto"/>
          <w:sz w:val="21"/>
          <w:szCs w:val="21"/>
          <w:highlight w:val="none"/>
          <w:lang w:val="en-US" w:eastAsia="zh-CN"/>
        </w:rPr>
        <w:t>y</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lang w:val="en-US" w:eastAsia="zh-CN"/>
        </w:rPr>
        <w:t>=max(0, y</w:t>
      </w:r>
      <w:r>
        <w:rPr>
          <w:rFonts w:hint="default" w:ascii="Times New Roman" w:hAnsi="Times New Roman" w:cs="Times New Roman"/>
          <w:i/>
          <w:iCs/>
          <w:color w:val="auto"/>
          <w:sz w:val="21"/>
          <w:szCs w:val="21"/>
          <w:highlight w:val="none"/>
          <w:vertAlign w:val="subscript"/>
          <w:lang w:val="en-US" w:eastAsia="zh-CN"/>
        </w:rPr>
        <w:t>i</w:t>
      </w:r>
      <w:r>
        <w:rPr>
          <w:rFonts w:hint="default" w:ascii="Times New Roman" w:hAnsi="Times New Roman" w:cs="Times New Roman"/>
          <w:i/>
          <w:iCs/>
          <w:color w:val="auto"/>
          <w:sz w:val="21"/>
          <w:szCs w:val="21"/>
          <w:highlight w:val="none"/>
          <w:vertAlign w:val="superscript"/>
          <w:lang w:val="en-US" w:eastAsia="zh-CN"/>
        </w:rPr>
        <w:t>∗</w:t>
      </w:r>
      <w:r>
        <w:rPr>
          <w:rFonts w:hint="default" w:ascii="Times New Roman" w:hAnsi="Times New Roman" w:cs="Times New Roman"/>
          <w:i/>
          <w:iCs/>
          <w:color w:val="auto"/>
          <w:sz w:val="21"/>
          <w:szCs w:val="21"/>
          <w:highlight w:val="none"/>
          <w:lang w:val="en-US" w:eastAsia="zh-CN"/>
        </w:rPr>
        <w:t>)</w:t>
      </w:r>
    </w:p>
    <w:p w14:paraId="20192D3C">
      <w:pP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The model will be estimated using maximum likelihood estimation. The statistical significance of each coefficient will be assessed using z-tests, with p-values &lt; 0.05 considered statistically significant.</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eastAsia="zh-CN"/>
        </w:rPr>
        <w:t>Model fit will be evaluated using the log-likelihood, Akaike Information Criterion (AIC), and Bayesian Information Criterion (BIC). The absence of a Hauck-Donner effect will be verified to ensure the reliability of the standard error estimates.</w:t>
      </w:r>
    </w:p>
    <w:p w14:paraId="3408DD63">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Results</w:t>
      </w:r>
    </w:p>
    <w:p w14:paraId="21B3B763">
      <w:pPr>
        <w:keepNext w:val="0"/>
        <w:keepLines w:val="0"/>
        <w:pageBreakBefore w:val="0"/>
        <w:kinsoku/>
        <w:wordWrap/>
        <w:overflowPunct/>
        <w:topLinePunct w:val="0"/>
        <w:autoSpaceDE/>
        <w:autoSpaceDN/>
        <w:bidi w:val="0"/>
        <w:snapToGrid/>
        <w:spacing w:before="157" w:beforeLines="50" w:beforeAutospacing="0" w:after="120" w:afterAutospacing="0"/>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Questionnaire response</w:t>
      </w:r>
    </w:p>
    <w:p w14:paraId="536C13B9">
      <w:pPr>
        <w:keepNext w:val="0"/>
        <w:keepLines w:val="0"/>
        <w:pageBreakBefore w:val="0"/>
        <w:kinsoku/>
        <w:wordWrap/>
        <w:overflowPunct/>
        <w:topLinePunct w:val="0"/>
        <w:autoSpaceDE/>
        <w:autoSpaceDN/>
        <w:bidi w:val="0"/>
        <w:snapToGrid/>
        <w:spacing w:before="157" w:beforeLines="50" w:beforeAutospacing="0" w:after="120" w:afterAutospacing="0"/>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Utilizing a stratified sampling strategy, the collected responses encompassed all 16 administrative districts of Shanghai, as detailed in Table S1. Table S1 also presents the target number of questionnaires for each district alongside the actual number of responses received. Baseline demographic information of the respondents is provided in Table S2.</w:t>
      </w:r>
    </w:p>
    <w:p w14:paraId="156D5832">
      <w:pPr>
        <w:numPr>
          <w:ilvl w:val="0"/>
          <w:numId w:val="0"/>
        </w:num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Two rounds of factor analysis and indicator screening</w:t>
      </w:r>
    </w:p>
    <w:p w14:paraId="45240BB1">
      <w:pPr>
        <w:numPr>
          <w:ilvl w:val="0"/>
          <w:numId w:val="0"/>
        </w:num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 preliminary analysis was conducted on 60 responses (approximately one-third of the target sample size) to evaluate the psychometric properties of the questionnaire.</w:t>
      </w:r>
    </w:p>
    <w:p w14:paraId="551FD28D">
      <w:pP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A preliminary analysis was performed on 60 responses to assess the psychometric properties of the questionnaire. The initial analysis produced a KMO value of 0.503, a Bartlett's test of sphericity with an approximate chi-square value of 340.88 (p &lt; 0.001), and a Cronbach's alpha coefficient of 0.371. The results suggest inadequate sampling adequacy and insufficient internal consistency.</w:t>
      </w:r>
    </w:p>
    <w:p w14:paraId="414F744A">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Based on factor analysis results, </w:t>
      </w:r>
      <w:r>
        <w:rPr>
          <w:rFonts w:hint="default" w:ascii="Times New Roman" w:hAnsi="Times New Roman" w:cs="Times New Roman"/>
          <w:color w:val="auto"/>
          <w:sz w:val="21"/>
          <w:szCs w:val="21"/>
          <w:highlight w:val="none"/>
          <w:lang w:val="en-US" w:eastAsia="zh-CN"/>
        </w:rPr>
        <w:t>four</w:t>
      </w:r>
      <w:r>
        <w:rPr>
          <w:rFonts w:hint="default" w:ascii="Times New Roman" w:hAnsi="Times New Roman" w:cs="Times New Roman"/>
          <w:color w:val="auto"/>
          <w:sz w:val="21"/>
          <w:szCs w:val="21"/>
          <w:highlight w:val="none"/>
        </w:rPr>
        <w:t xml:space="preserve"> indicators </w:t>
      </w:r>
      <w:r>
        <w:rPr>
          <w:rFonts w:hint="default" w:ascii="Times New Roman" w:hAnsi="Times New Roman" w:cs="Times New Roman"/>
          <w:color w:val="auto"/>
          <w:sz w:val="21"/>
          <w:szCs w:val="21"/>
          <w:highlight w:val="none"/>
          <w:lang w:val="en-US" w:eastAsia="zh-CN"/>
        </w:rPr>
        <w:t xml:space="preserve">including </w:t>
      </w:r>
      <w:r>
        <w:rPr>
          <w:rFonts w:hint="default" w:ascii="Times New Roman" w:hAnsi="Times New Roman" w:cs="Times New Roman"/>
          <w:color w:val="auto"/>
          <w:sz w:val="21"/>
          <w:szCs w:val="21"/>
          <w:highlight w:val="none"/>
        </w:rPr>
        <w:t>total confirmed SARS-CoV infection numbers, total confirmed Flu A/Flu B infection numbers, total referral numbers</w:t>
      </w:r>
      <w:r>
        <w:rPr>
          <w:rFonts w:hint="default" w:ascii="Times New Roman" w:hAnsi="Times New Roman" w:cs="Times New Roman"/>
          <w:color w:val="auto"/>
          <w:sz w:val="21"/>
          <w:szCs w:val="21"/>
          <w:highlight w:val="none"/>
          <w:lang w:val="en-US" w:eastAsia="zh-CN"/>
        </w:rPr>
        <w:t xml:space="preserve"> and</w:t>
      </w:r>
      <w:r>
        <w:rPr>
          <w:rFonts w:hint="default" w:ascii="Times New Roman" w:hAnsi="Times New Roman" w:cs="Times New Roman"/>
          <w:color w:val="auto"/>
          <w:sz w:val="21"/>
          <w:szCs w:val="21"/>
          <w:highlight w:val="none"/>
        </w:rPr>
        <w:t xml:space="preserve"> </w:t>
      </w:r>
      <w:r>
        <w:rPr>
          <w:rFonts w:hint="default" w:ascii="Times New Roman" w:hAnsi="Times New Roman" w:cs="Times New Roman"/>
          <w:color w:val="auto"/>
          <w:sz w:val="21"/>
          <w:szCs w:val="21"/>
          <w:highlight w:val="none"/>
          <w:lang w:val="en-US" w:eastAsia="zh-CN"/>
        </w:rPr>
        <w:t>CT machine possession were excluded</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Re-evaluated reliability and validity.</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After removal of the aforementioned indicators, the reliability and validity analyses were re-conducted. The revised analysis yielded a KMO value of 0.609, a Bartlett's test of sphericity with an approximate chi-square value of 435.36 (p &lt; 0.001), and a Cronbach's α coefficient of 0.64. These values indicated improved but still modest psychometric properties.</w:t>
      </w:r>
    </w:p>
    <w:p w14:paraId="5ADDBEB2">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 xml:space="preserve">The final set of indicators for the cross-sectional survey comprised. Output indicator (1): total visit numbers.Input indicators (7): room usable area of fever clinic, hardware configuration amount, total clinic operating days, aggregate doctor working days, aggregate nurse working days, number of pathogen antigen detection types, number of pathogen antibody detection types. </w:t>
      </w:r>
      <w:r>
        <w:rPr>
          <w:rFonts w:hint="default" w:ascii="Times New Roman" w:hAnsi="Times New Roman" w:cs="Times New Roman"/>
          <w:color w:val="auto"/>
          <w:sz w:val="21"/>
          <w:szCs w:val="21"/>
          <w:highlight w:val="none"/>
        </w:rPr>
        <w:t xml:space="preserve">The reliability of the </w:t>
      </w:r>
      <w:r>
        <w:rPr>
          <w:rFonts w:hint="default" w:ascii="Times New Roman" w:hAnsi="Times New Roman" w:cs="Times New Roman"/>
          <w:color w:val="auto"/>
          <w:sz w:val="21"/>
          <w:szCs w:val="21"/>
          <w:highlight w:val="none"/>
          <w:lang w:val="en-US" w:eastAsia="zh-CN"/>
        </w:rPr>
        <w:t>q</w:t>
      </w:r>
      <w:r>
        <w:rPr>
          <w:rFonts w:hint="default" w:ascii="Times New Roman" w:hAnsi="Times New Roman" w:cs="Times New Roman"/>
          <w:color w:val="auto"/>
          <w:sz w:val="21"/>
          <w:szCs w:val="21"/>
          <w:highlight w:val="none"/>
        </w:rPr>
        <w:t xml:space="preserve">uestionnaire was good that the internal consistency reliability (Cronbach alpha coefficient) was </w:t>
      </w:r>
      <w:bookmarkStart w:id="1" w:name="_Hlk96343391"/>
      <w:r>
        <w:rPr>
          <w:rFonts w:hint="default" w:ascii="Times New Roman" w:hAnsi="Times New Roman" w:cs="Times New Roman"/>
          <w:color w:val="auto"/>
          <w:sz w:val="21"/>
          <w:szCs w:val="21"/>
          <w:highlight w:val="none"/>
          <w:lang w:val="en-US" w:eastAsia="zh-CN"/>
        </w:rPr>
        <w:t>0.647</w:t>
      </w:r>
      <w:bookmarkEnd w:id="1"/>
      <w:r>
        <w:rPr>
          <w:rFonts w:hint="default" w:ascii="Times New Roman" w:hAnsi="Times New Roman" w:cs="Times New Roman"/>
          <w:color w:val="auto"/>
          <w:sz w:val="21"/>
          <w:szCs w:val="21"/>
          <w:highlight w:val="none"/>
        </w:rPr>
        <w:t xml:space="preserve">. The Bartlett test of sphericity and KMO measure verified the sampling adequacy for the analysis (KMO = </w:t>
      </w:r>
      <w:r>
        <w:rPr>
          <w:rFonts w:hint="default" w:ascii="Times New Roman" w:hAnsi="Times New Roman" w:cs="Times New Roman"/>
          <w:color w:val="auto"/>
          <w:sz w:val="21"/>
          <w:szCs w:val="21"/>
          <w:highlight w:val="none"/>
          <w:lang w:val="en-US" w:eastAsia="zh-CN"/>
        </w:rPr>
        <w:t>0.689</w:t>
      </w:r>
      <w:r>
        <w:rPr>
          <w:rFonts w:hint="default" w:ascii="Times New Roman" w:hAnsi="Times New Roman" w:cs="Times New Roman"/>
          <w:color w:val="auto"/>
          <w:sz w:val="21"/>
          <w:szCs w:val="21"/>
          <w:highlight w:val="none"/>
        </w:rPr>
        <w:t xml:space="preserve">, Bartlett test of sphericity p&lt;0.001). </w:t>
      </w:r>
    </w:p>
    <w:p w14:paraId="1F29733A">
      <w:pPr>
        <w:keepNext w:val="0"/>
        <w:keepLines w:val="0"/>
        <w:pageBreakBefore w:val="0"/>
        <w:numPr>
          <w:ilvl w:val="0"/>
          <w:numId w:val="0"/>
        </w:numPr>
        <w:kinsoku/>
        <w:wordWrap/>
        <w:overflowPunct/>
        <w:topLinePunct w:val="0"/>
        <w:autoSpaceDE/>
        <w:autoSpaceDN/>
        <w:bidi w:val="0"/>
        <w:snapToGrid/>
        <w:spacing w:before="157" w:beforeLines="50" w:beforeAutospacing="0" w:after="120" w:afterAutospacing="0"/>
        <w:ind w:left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Correlation analysis heatmap matrix</w:t>
      </w:r>
    </w:p>
    <w:p w14:paraId="0920C562">
      <w:pPr>
        <w:keepNext w:val="0"/>
        <w:keepLines w:val="0"/>
        <w:pageBreakBefore w:val="0"/>
        <w:kinsoku/>
        <w:wordWrap/>
        <w:overflowPunct/>
        <w:topLinePunct w:val="0"/>
        <w:autoSpaceDE/>
        <w:autoSpaceDN/>
        <w:bidi w:val="0"/>
        <w:snapToGrid/>
        <w:spacing w:before="157" w:beforeLines="50" w:beforeAutospacing="0" w:after="120" w:afterAutospacing="0"/>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val="0"/>
          <w:bCs w:val="0"/>
          <w:color w:val="auto"/>
          <w:highlight w:val="none"/>
          <w:lang w:val="en-US" w:eastAsia="zh-CN"/>
        </w:rPr>
        <w:t>Table 2 delineates the findings of the Tobit regression analysis, which investigates the relationships between seven independent variables and the super-efficiency scores of primary healthcare (PHC) fever clinics. Notably, all independent variables exhibited a VIF value of less than 2, as illustrated in Figure S1.</w:t>
      </w:r>
    </w:p>
    <w:p w14:paraId="389C833F">
      <w:pP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Tobit diagnostic plot (see Figure S</w:t>
      </w:r>
      <w:r>
        <w:rPr>
          <w:rFonts w:hint="eastAsia" w:ascii="Times New Roman" w:hAnsi="Times New Roman" w:cs="Times New Roman"/>
          <w:b/>
          <w:bCs/>
          <w:color w:val="auto"/>
          <w:sz w:val="21"/>
          <w:szCs w:val="21"/>
          <w:highlight w:val="none"/>
          <w:lang w:val="en-US" w:eastAsia="zh-CN"/>
        </w:rPr>
        <w:t>2</w:t>
      </w:r>
      <w:r>
        <w:rPr>
          <w:rFonts w:hint="default" w:ascii="Times New Roman" w:hAnsi="Times New Roman" w:cs="Times New Roman"/>
          <w:b/>
          <w:bCs/>
          <w:color w:val="auto"/>
          <w:sz w:val="21"/>
          <w:szCs w:val="21"/>
          <w:highlight w:val="none"/>
        </w:rPr>
        <w:t>):</w:t>
      </w:r>
    </w:p>
    <w:p w14:paraId="2CDB5274">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To verify whether the assumptions of the Tobit model are valid, this study plotted the residual Q-Q plot and the residual-fitted value plot. The comprehensive diagnostic results indicate that the setting of the Tobit model is reasonable and the parameter estimation is reliable.</w:t>
      </w:r>
    </w:p>
    <w:p w14:paraId="298C3D85">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Figure S1a </w:t>
      </w:r>
      <w:r>
        <w:rPr>
          <w:rFonts w:hint="default" w:ascii="Times New Roman" w:hAnsi="Times New Roman" w:cs="Times New Roman"/>
          <w:color w:val="auto"/>
          <w:sz w:val="21"/>
          <w:szCs w:val="21"/>
          <w:highlight w:val="none"/>
          <w:lang w:val="en-US" w:eastAsia="zh-CN"/>
        </w:rPr>
        <w:t>shows the s</w:t>
      </w:r>
      <w:r>
        <w:rPr>
          <w:rFonts w:hint="default" w:ascii="Times New Roman" w:hAnsi="Times New Roman" w:cs="Times New Roman"/>
          <w:color w:val="auto"/>
          <w:sz w:val="21"/>
          <w:szCs w:val="21"/>
          <w:highlight w:val="none"/>
        </w:rPr>
        <w:t>catter plot of Tobit regression model residuals and fitted values</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To test for heteroscedasticity of the model, a scatter plot of residuals versus fitted values was drawn (Figure 1). The x-axis represents the fitted values y^ of the model, and the y-axis represents the studentized residuals. The results show that the residuals are randomly distributed near the zero line, without any obvious funnel-shaped, trumpet-shaped, or systematic increasing or decreasing trends. There are a few outliers in the plot, but the overall distribution is not significantly abnormal, and the homogeneity of error variance assumption is satisfied.</w:t>
      </w:r>
    </w:p>
    <w:p w14:paraId="1A1970B0">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Figure S1b </w:t>
      </w:r>
      <w:r>
        <w:rPr>
          <w:rFonts w:hint="default" w:ascii="Times New Roman" w:hAnsi="Times New Roman" w:cs="Times New Roman"/>
          <w:color w:val="auto"/>
          <w:sz w:val="21"/>
          <w:szCs w:val="21"/>
          <w:highlight w:val="none"/>
          <w:lang w:val="en-US" w:eastAsia="zh-CN"/>
        </w:rPr>
        <w:t>shows the n</w:t>
      </w:r>
      <w:r>
        <w:rPr>
          <w:rFonts w:hint="default" w:ascii="Times New Roman" w:hAnsi="Times New Roman" w:cs="Times New Roman"/>
          <w:color w:val="auto"/>
          <w:sz w:val="21"/>
          <w:szCs w:val="21"/>
          <w:highlight w:val="none"/>
        </w:rPr>
        <w:t>ormal Q-Q plot of Tobit regression model residuals</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To test the normality assumption of the model error term, a normal quantile plot (Q-Q plot) of the residuals was drawn. The horizontal axis represents the theoretical normal quantiles, and the vertical axis represents the quantiles of the sample residuals. The results show that the majority of the points are clustered around the reference line, with only a slight deviation in the tail, but overall no systematic bias is observed. Therefore, it can be concluded that the residuals basically follow a normal distribution, and the distribution assumption of the Tobit model is satisfied.</w:t>
      </w:r>
    </w:p>
    <w:p w14:paraId="3BD5A6ED">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Figure S1c presents the histogram of the residuals from the Tobit regression model, with the kernel density estimation curve (blue solid line) superimposed.</w:t>
      </w:r>
    </w:p>
    <w:p w14:paraId="6793D8E0">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The figure shows that the distribution of residuals is unimodal, with the peak located near -0.02. The residual distribution is approximately symmetric, with the peak at -0.02, but the left tail is slightly longer than the right tail, showing a mild negative skewness. Considering that the Tobit model has certain robustness against deviations from normality and the overall distribution is still close to a bell shape, it can be concluded that the normality assumption is basically satisfied.</w:t>
      </w:r>
    </w:p>
    <w:p w14:paraId="168118B8">
      <w:pPr>
        <w:rPr>
          <w:rFonts w:hint="default" w:ascii="Times New Roman" w:hAnsi="Times New Roman" w:cs="Times New Roman"/>
          <w:color w:val="auto"/>
          <w:sz w:val="21"/>
          <w:szCs w:val="21"/>
          <w:highlight w:val="none"/>
        </w:rPr>
      </w:pPr>
    </w:p>
    <w:p w14:paraId="240710AB">
      <w:pP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Table S1</w:t>
      </w:r>
      <w:r>
        <w:rPr>
          <w:rFonts w:hint="eastAsia" w:ascii="Times New Roman" w:hAnsi="Times New Roman"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 xml:space="preserve"> Response</w:t>
      </w:r>
      <w:r>
        <w:rPr>
          <w:rFonts w:hint="default" w:ascii="Times New Roman" w:hAnsi="Times New Roman" w:cs="Times New Roman"/>
          <w:b/>
          <w:bCs/>
          <w:color w:val="auto"/>
          <w:sz w:val="21"/>
          <w:szCs w:val="21"/>
          <w:highlight w:val="none"/>
        </w:rPr>
        <w:t xml:space="preserve"> of PHC</w:t>
      </w:r>
      <w:r>
        <w:rPr>
          <w:rFonts w:hint="default" w:ascii="Times New Roman" w:hAnsi="Times New Roman" w:cs="Times New Roman"/>
          <w:b/>
          <w:bCs/>
          <w:color w:val="auto"/>
          <w:sz w:val="21"/>
          <w:szCs w:val="21"/>
          <w:highlight w:val="none"/>
          <w:lang w:val="en-US" w:eastAsia="zh-CN"/>
        </w:rPr>
        <w:t xml:space="preserve"> Fever Clinics in 16 districts of Shanghai, China</w:t>
      </w:r>
    </w:p>
    <w:p w14:paraId="3D18508E">
      <w:pPr>
        <w:rPr>
          <w:rFonts w:hint="default" w:ascii="Times New Roman" w:hAnsi="Times New Roman" w:cs="Times New Roman"/>
          <w:b/>
          <w:bCs/>
          <w:color w:val="auto"/>
          <w:sz w:val="21"/>
          <w:szCs w:val="21"/>
          <w:highlight w:val="none"/>
          <w:lang w:val="en-US" w:eastAsia="zh-CN"/>
        </w:rPr>
      </w:pPr>
    </w:p>
    <w:p w14:paraId="0C9050E7">
      <w:pPr>
        <w:rPr>
          <w:rFonts w:hint="default" w:ascii="Times New Roman" w:hAnsi="Times New Roman" w:cs="Times New Roman"/>
          <w:b/>
          <w:bCs/>
          <w:color w:val="auto"/>
          <w:sz w:val="21"/>
          <w:szCs w:val="21"/>
          <w:highlight w:val="none"/>
          <w:lang w:val="en-US" w:eastAsia="zh-CN"/>
        </w:rPr>
      </w:pPr>
      <w:r>
        <w:rPr>
          <w:rStyle w:val="6"/>
          <w:rFonts w:hint="default" w:ascii="Times New Roman" w:hAnsi="Times New Roman" w:eastAsia="宋体" w:cs="Times New Roman"/>
          <w:sz w:val="21"/>
          <w:szCs w:val="21"/>
          <w:lang w:val="en-US" w:eastAsia="zh-CN" w:bidi="ar"/>
        </w:rPr>
        <w:t>Table S2</w:t>
      </w:r>
      <w:r>
        <w:rPr>
          <w:rStyle w:val="6"/>
          <w:rFonts w:hint="eastAsia" w:ascii="Times New Roman" w:hAnsi="Times New Roman" w:cs="Times New Roman"/>
          <w:sz w:val="21"/>
          <w:szCs w:val="21"/>
          <w:lang w:val="en-US" w:eastAsia="zh-CN" w:bidi="ar"/>
        </w:rPr>
        <w:t>.</w:t>
      </w:r>
      <w:r>
        <w:rPr>
          <w:rStyle w:val="6"/>
          <w:rFonts w:hint="default" w:ascii="Times New Roman" w:hAnsi="Times New Roman" w:eastAsia="宋体" w:cs="Times New Roman"/>
          <w:sz w:val="21"/>
          <w:szCs w:val="21"/>
          <w:lang w:val="en-US" w:eastAsia="zh-CN" w:bidi="ar"/>
        </w:rPr>
        <w:t xml:space="preserve"> Demographic information of the questionnaire fillers</w:t>
      </w:r>
    </w:p>
    <w:p w14:paraId="58750691">
      <w:pPr>
        <w:rPr>
          <w:rFonts w:hint="default" w:ascii="Times New Roman" w:hAnsi="Times New Roman" w:cs="Times New Roman"/>
          <w:b/>
          <w:bCs/>
          <w:color w:val="auto"/>
          <w:sz w:val="21"/>
          <w:szCs w:val="21"/>
          <w:highlight w:val="none"/>
          <w:lang w:val="en-US" w:eastAsia="zh-CN"/>
        </w:rPr>
      </w:pPr>
    </w:p>
    <w:p w14:paraId="7C6B95AA">
      <w:pP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Figure S1. The VIF value of all independent variables.</w:t>
      </w:r>
    </w:p>
    <w:p w14:paraId="0695EB5C">
      <w:pP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crs = constant returns to scale, irs = increasing returns to scale</w:t>
      </w:r>
    </w:p>
    <w:p w14:paraId="13C60707">
      <w:pPr>
        <w:rPr>
          <w:rFonts w:hint="default" w:ascii="Times New Roman" w:hAnsi="Times New Roman" w:eastAsia="宋体" w:cs="Times New Roman"/>
          <w:i w:val="0"/>
          <w:iCs w:val="0"/>
          <w:color w:val="000000"/>
          <w:kern w:val="0"/>
          <w:sz w:val="20"/>
          <w:szCs w:val="20"/>
          <w:u w:val="none"/>
          <w:lang w:val="en-US" w:eastAsia="zh-CN" w:bidi="ar"/>
        </w:rPr>
      </w:pPr>
    </w:p>
    <w:p w14:paraId="3B39FB65">
      <w:pP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Figure S</w:t>
      </w:r>
      <w:r>
        <w:rPr>
          <w:rFonts w:hint="eastAsia" w:ascii="Times New Roman" w:hAnsi="Times New Roman" w:cs="Times New Roman"/>
          <w:b/>
          <w:bCs/>
          <w:color w:val="auto"/>
          <w:sz w:val="21"/>
          <w:szCs w:val="21"/>
          <w:highlight w:val="none"/>
          <w:lang w:val="en-US" w:eastAsia="zh-CN"/>
        </w:rPr>
        <w:t>2</w:t>
      </w:r>
      <w:r>
        <w:rPr>
          <w:rFonts w:hint="default" w:ascii="Times New Roman" w:hAnsi="Times New Roman" w:cs="Times New Roman"/>
          <w:b/>
          <w:bCs/>
          <w:color w:val="auto"/>
          <w:sz w:val="21"/>
          <w:szCs w:val="21"/>
          <w:highlight w:val="none"/>
        </w:rPr>
        <w:t xml:space="preserve">. Diagnostic plots for the Tobit regression model assumptions. </w:t>
      </w:r>
    </w:p>
    <w:p w14:paraId="518EDC87">
      <w:pP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(a) Residuals vs. fitted values; (b) Normal Q-Q plot of residuals; (c) Histogram of residuals</w:t>
      </w:r>
      <w:bookmarkStart w:id="2" w:name="_GoBack"/>
      <w:bookmarkEnd w:id="2"/>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lang w:val="en-US" w:eastAsia="zh-CN"/>
        </w:rPr>
        <w:t>.</w:t>
      </w:r>
    </w:p>
    <w:p w14:paraId="3A95457E">
      <w:pPr>
        <w:rPr>
          <w:rFonts w:hint="default" w:ascii="Times New Roman" w:hAnsi="Times New Roman" w:cs="Times New Roman"/>
          <w:color w:val="auto"/>
          <w:sz w:val="21"/>
          <w:szCs w:val="21"/>
          <w:highlight w:val="none"/>
        </w:rPr>
      </w:pPr>
    </w:p>
    <w:p w14:paraId="4B173880">
      <w:pPr>
        <w:rPr>
          <w:rFonts w:hint="default" w:ascii="Times New Roman" w:hAnsi="Times New Roman" w:cs="Times New Roman"/>
          <w:color w:val="auto"/>
          <w:sz w:val="21"/>
          <w:szCs w:val="21"/>
          <w:highlight w:val="none"/>
        </w:rPr>
      </w:pPr>
    </w:p>
    <w:p w14:paraId="08EE74F7">
      <w:pPr>
        <w:rPr>
          <w:rFonts w:hint="default" w:ascii="Times New Roman" w:hAnsi="Times New Roman" w:cs="Times New Roman"/>
          <w:color w:val="auto"/>
          <w:sz w:val="21"/>
          <w:szCs w:val="21"/>
          <w:highlight w:val="none"/>
        </w:rPr>
      </w:pPr>
    </w:p>
    <w:p w14:paraId="7785A275">
      <w:pPr>
        <w:rPr>
          <w:rFonts w:hint="default" w:ascii="Times New Roman" w:hAnsi="Times New Roman" w:cs="Times New Roman"/>
          <w:color w:val="auto"/>
          <w:sz w:val="21"/>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1976"/>
    <w:rsid w:val="0C582A8B"/>
    <w:rsid w:val="12DD46A3"/>
    <w:rsid w:val="134753CA"/>
    <w:rsid w:val="144B0EEA"/>
    <w:rsid w:val="15875F52"/>
    <w:rsid w:val="175B7696"/>
    <w:rsid w:val="19E86E5A"/>
    <w:rsid w:val="1ADE3303"/>
    <w:rsid w:val="1CD001DE"/>
    <w:rsid w:val="220812FA"/>
    <w:rsid w:val="223524D9"/>
    <w:rsid w:val="2B2910C4"/>
    <w:rsid w:val="2C7E7070"/>
    <w:rsid w:val="2DC0604D"/>
    <w:rsid w:val="2FF04918"/>
    <w:rsid w:val="30905FDD"/>
    <w:rsid w:val="33900270"/>
    <w:rsid w:val="3474171E"/>
    <w:rsid w:val="37BE184F"/>
    <w:rsid w:val="388B047F"/>
    <w:rsid w:val="38B91D97"/>
    <w:rsid w:val="38F9283E"/>
    <w:rsid w:val="39A925C5"/>
    <w:rsid w:val="3B7C2988"/>
    <w:rsid w:val="3C3B7327"/>
    <w:rsid w:val="416046AD"/>
    <w:rsid w:val="43212404"/>
    <w:rsid w:val="43566252"/>
    <w:rsid w:val="49897AB9"/>
    <w:rsid w:val="4A6E0EB3"/>
    <w:rsid w:val="4A791606"/>
    <w:rsid w:val="4E773219"/>
    <w:rsid w:val="502F4C40"/>
    <w:rsid w:val="519D3E2C"/>
    <w:rsid w:val="54A25DD2"/>
    <w:rsid w:val="54BE29B0"/>
    <w:rsid w:val="5C1C25CE"/>
    <w:rsid w:val="5F3E61E1"/>
    <w:rsid w:val="6193405A"/>
    <w:rsid w:val="62EE00A0"/>
    <w:rsid w:val="6A73554C"/>
    <w:rsid w:val="6D123681"/>
    <w:rsid w:val="6E0A23F1"/>
    <w:rsid w:val="72035AD5"/>
    <w:rsid w:val="72BC0C11"/>
    <w:rsid w:val="72F46F89"/>
    <w:rsid w:val="76A0206F"/>
    <w:rsid w:val="7770799C"/>
    <w:rsid w:val="77E617D9"/>
    <w:rsid w:val="78A3591C"/>
    <w:rsid w:val="7AA70235"/>
    <w:rsid w:val="7B2745E3"/>
    <w:rsid w:val="7BED2CC8"/>
    <w:rsid w:val="7CC14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5">
    <w:name w:val="font41"/>
    <w:basedOn w:val="4"/>
    <w:qFormat/>
    <w:uiPriority w:val="0"/>
    <w:rPr>
      <w:rFonts w:hint="eastAsia" w:ascii="宋体" w:hAnsi="宋体" w:eastAsia="宋体" w:cs="宋体"/>
      <w:b/>
      <w:bCs/>
      <w:color w:val="000000"/>
      <w:sz w:val="20"/>
      <w:szCs w:val="20"/>
      <w:u w:val="none"/>
    </w:rPr>
  </w:style>
  <w:style w:type="character" w:customStyle="1" w:styleId="6">
    <w:name w:val="font11"/>
    <w:basedOn w:val="4"/>
    <w:qFormat/>
    <w:uiPriority w:val="0"/>
    <w:rPr>
      <w:rFonts w:hint="default" w:ascii="Times New Roman" w:hAnsi="Times New Roman" w:cs="Times New Roman"/>
      <w:b/>
      <w:bCs/>
      <w:color w:val="000000"/>
      <w:sz w:val="20"/>
      <w:szCs w:val="20"/>
      <w:u w:val="none"/>
    </w:rPr>
  </w:style>
  <w:style w:type="character" w:customStyle="1" w:styleId="7">
    <w:name w:val="font5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1248</Words>
  <Characters>7164</Characters>
  <Lines>0</Lines>
  <Paragraphs>0</Paragraphs>
  <TotalTime>1</TotalTime>
  <ScaleCrop>false</ScaleCrop>
  <LinksUpToDate>false</LinksUpToDate>
  <CharactersWithSpaces>8379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2026-04-08T08:09:00Z</dcterms:created>
  <dc:creator>Yun</dc:creator>
  <cp:lastModifiedBy>荣儿</cp:lastModifiedBy>
  <dcterms:modified xsi:type="dcterms:W3CDTF">2026-05-15T13:08:06Z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eyJoZGlkIjoiOTMzMWUzMzk4OGYyMDM2NTkyN2UzZjY2ZGFjMjJiNWMiLCJ1c2VySWQiOiI3MDY3MDU2NTkifQ==</vt:lpwstr>
  </property>
  <property fmtid="{D5CDD505-2E9C-101B-9397-08002B2CF9AE}" pid="4" name="ICV">
    <vt:lpwstr>26D9E3717C26420898B880F307BA25C9_12</vt:lpwstr>
  </property>
</Properties>
</file>