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9EE94" w14:textId="77777777" w:rsidR="009B3B8F" w:rsidRDefault="000652FF">
      <w:pPr>
        <w:spacing w:after="60"/>
        <w:jc w:val="center"/>
      </w:pPr>
      <w:r>
        <w:rPr>
          <w:b/>
          <w:color w:val="000000"/>
          <w:sz w:val="32"/>
        </w:rPr>
        <w:t>Additional file 1</w:t>
      </w:r>
    </w:p>
    <w:p w14:paraId="321297AE" w14:textId="49EF6F5F" w:rsidR="009B3B8F" w:rsidRDefault="000652FF">
      <w:pPr>
        <w:spacing w:after="240"/>
        <w:jc w:val="center"/>
      </w:pPr>
      <w:r>
        <w:rPr>
          <w:color w:val="000000"/>
          <w:sz w:val="26"/>
        </w:rPr>
        <w:t xml:space="preserve">Extended participant quotations and </w:t>
      </w:r>
      <w:r w:rsidR="00C77156">
        <w:rPr>
          <w:color w:val="000000"/>
          <w:sz w:val="26"/>
        </w:rPr>
        <w:t xml:space="preserve">a </w:t>
      </w:r>
      <w:r>
        <w:rPr>
          <w:color w:val="000000"/>
          <w:sz w:val="26"/>
        </w:rPr>
        <w:t>reflexive thematic analysis procedure</w:t>
      </w:r>
    </w:p>
    <w:p w14:paraId="0E51C7FA" w14:textId="77777777" w:rsidR="009B3B8F" w:rsidRDefault="000652FF">
      <w:pPr>
        <w:spacing w:after="80"/>
      </w:pPr>
      <w:r>
        <w:rPr>
          <w:b/>
          <w:color w:val="000000"/>
        </w:rPr>
        <w:t xml:space="preserve">Manuscript title: </w:t>
      </w:r>
      <w:r>
        <w:rPr>
          <w:color w:val="000000"/>
        </w:rPr>
        <w:t>Infusing Generative AI into a Non-Technical University Course: A Qualitative Action Research Study of Production-Based Critical AI Literacy in Political Communication Education</w:t>
      </w:r>
    </w:p>
    <w:p w14:paraId="72718C85" w14:textId="77777777" w:rsidR="009B3B8F" w:rsidRDefault="000652FF">
      <w:pPr>
        <w:spacing w:after="240"/>
      </w:pPr>
      <w:r>
        <w:rPr>
          <w:color w:val="000000"/>
        </w:rPr>
        <w:t>This additional file provides selected extended quotations and the analytic procedure supporting the manuscript. Participant identifiers are pseudonymous. Non-English responses are presented with English translations, and the original language is indicated where relevant. Ellipses mark omissions from the same response. The file contains no student names, institutional identifiers, full student assignments, or complete prompt histories.</w:t>
      </w:r>
    </w:p>
    <w:p w14:paraId="0928CE32" w14:textId="77777777" w:rsidR="009B3B8F" w:rsidRDefault="000652FF">
      <w:pPr>
        <w:pStyle w:val="Heading1"/>
      </w:pPr>
      <w:r>
        <w:rPr>
          <w:rFonts w:ascii="Times New Roman" w:eastAsia="Times New Roman" w:hAnsi="Times New Roman"/>
          <w:color w:val="000000"/>
        </w:rPr>
        <w:t>A. Selected extended participant quotations</w:t>
      </w:r>
    </w:p>
    <w:p w14:paraId="7D7AFBA6" w14:textId="77777777" w:rsidR="009B3B8F" w:rsidRDefault="000652FF">
      <w:pPr>
        <w:spacing w:after="160"/>
      </w:pPr>
      <w:r>
        <w:rPr>
          <w:color w:val="000000"/>
        </w:rPr>
        <w:t>T</w:t>
      </w:r>
      <w:r>
        <w:rPr>
          <w:color w:val="000000"/>
        </w:rPr>
        <w:t>he excerpts below supplement the representative quotations reported in the Findings section. They are included to support contextual interpretation and analytic transparency across the pre- and post-intervention phases.</w:t>
      </w:r>
    </w:p>
    <w:p w14:paraId="721504F0" w14:textId="77777777" w:rsidR="009B3B8F" w:rsidRDefault="000652FF">
      <w:pPr>
        <w:pStyle w:val="Heading2"/>
      </w:pPr>
      <w:r>
        <w:rPr>
          <w:rFonts w:ascii="Times New Roman" w:eastAsia="Times New Roman" w:hAnsi="Times New Roman"/>
          <w:color w:val="000000"/>
        </w:rPr>
        <w:t>Pre-intervention quotations</w:t>
      </w:r>
    </w:p>
    <w:p w14:paraId="2B6B7223" w14:textId="77777777" w:rsidR="009B3B8F" w:rsidRDefault="000652FF">
      <w:pPr>
        <w:pStyle w:val="ParticipantLabel"/>
        <w:keepNext/>
        <w:spacing w:after="60"/>
      </w:pPr>
      <w:r>
        <w:rPr>
          <w:color w:val="000000"/>
        </w:rPr>
        <w:t>Participant 21 (pre-survey, originally in Malay)</w:t>
      </w:r>
    </w:p>
    <w:p w14:paraId="5406616F" w14:textId="77777777" w:rsidR="009B3B8F" w:rsidRDefault="000652FF">
      <w:pPr>
        <w:pStyle w:val="QuoteText"/>
      </w:pPr>
      <w:r>
        <w:rPr>
          <w:b/>
          <w:color w:val="000000"/>
        </w:rPr>
        <w:t xml:space="preserve">Original: </w:t>
      </w:r>
      <w:r w:rsidRPr="004E0CE2">
        <w:rPr>
          <w:i/>
          <w:iCs/>
          <w:color w:val="000000"/>
        </w:rPr>
        <w:t>saya secara naif beranggapan bahawa AI adalah entiti yang neutral dan objektif, tanpa menyedari bahawa ia sebenarnya boleh memihak</w:t>
      </w:r>
      <w:r>
        <w:rPr>
          <w:color w:val="000000"/>
        </w:rPr>
        <w:t>.</w:t>
      </w:r>
    </w:p>
    <w:p w14:paraId="13D4CC6C" w14:textId="77777777" w:rsidR="009B3B8F" w:rsidRDefault="000652FF">
      <w:pPr>
        <w:pStyle w:val="QuoteText"/>
        <w:spacing w:after="160"/>
      </w:pPr>
      <w:r>
        <w:rPr>
          <w:b/>
          <w:color w:val="000000"/>
        </w:rPr>
        <w:t xml:space="preserve">Translation: </w:t>
      </w:r>
      <w:r>
        <w:rPr>
          <w:color w:val="000000"/>
        </w:rPr>
        <w:t>I naively assumed that AI was a neutral and objective entity, without realising that it could actually take sides.</w:t>
      </w:r>
    </w:p>
    <w:p w14:paraId="65B310B1" w14:textId="77777777" w:rsidR="009B3B8F" w:rsidRDefault="000652FF">
      <w:pPr>
        <w:pStyle w:val="ParticipantLabel"/>
        <w:keepNext/>
        <w:spacing w:after="60"/>
      </w:pPr>
      <w:r>
        <w:rPr>
          <w:color w:val="000000"/>
        </w:rPr>
        <w:t>Participant 88 (pre-survey, originally in Malay)</w:t>
      </w:r>
    </w:p>
    <w:p w14:paraId="21943EC1" w14:textId="77777777" w:rsidR="009B3B8F" w:rsidRDefault="000652FF">
      <w:pPr>
        <w:pStyle w:val="QuoteText"/>
      </w:pPr>
      <w:r>
        <w:rPr>
          <w:b/>
          <w:color w:val="000000"/>
        </w:rPr>
        <w:t xml:space="preserve">Original: </w:t>
      </w:r>
      <w:r w:rsidRPr="004E0CE2">
        <w:rPr>
          <w:i/>
          <w:iCs/>
          <w:color w:val="000000"/>
        </w:rPr>
        <w:t>Saya risau kalau saya tanya AI, dia bagi fakta merapu atau jawapan yang berat sebelah. Bagi saya, lebih baik dengar terus daripada pensyarah atau baca buku yang dah sah betul faktanya daripada percaya bulat-bulat apa yang AI cakap</w:t>
      </w:r>
      <w:r>
        <w:rPr>
          <w:color w:val="000000"/>
        </w:rPr>
        <w:t>.</w:t>
      </w:r>
    </w:p>
    <w:p w14:paraId="4F382D88" w14:textId="77777777" w:rsidR="009B3B8F" w:rsidRDefault="000652FF">
      <w:pPr>
        <w:pStyle w:val="QuoteText"/>
        <w:spacing w:after="160"/>
      </w:pPr>
      <w:r>
        <w:rPr>
          <w:b/>
          <w:color w:val="000000"/>
        </w:rPr>
        <w:t xml:space="preserve">Translation: </w:t>
      </w:r>
      <w:r>
        <w:rPr>
          <w:color w:val="000000"/>
        </w:rPr>
        <w:t>I was worried that if I asked AI, it would give nonsensical facts or biased answers. For me, it is better to listen directly to the lecturer or read books whose facts have been verified, rather than blindly believing what AI says.</w:t>
      </w:r>
    </w:p>
    <w:p w14:paraId="393795D2" w14:textId="77777777" w:rsidR="009B3B8F" w:rsidRDefault="000652FF">
      <w:pPr>
        <w:pStyle w:val="ParticipantLabel"/>
        <w:keepNext/>
        <w:spacing w:after="60"/>
      </w:pPr>
      <w:r>
        <w:rPr>
          <w:color w:val="000000"/>
        </w:rPr>
        <w:t>Participant 69 (pre-survey, English)</w:t>
      </w:r>
    </w:p>
    <w:p w14:paraId="247B63D8" w14:textId="77777777" w:rsidR="009B3B8F" w:rsidRDefault="000652FF">
      <w:pPr>
        <w:pStyle w:val="QuoteText"/>
        <w:spacing w:after="160"/>
      </w:pPr>
      <w:r>
        <w:rPr>
          <w:color w:val="000000"/>
        </w:rPr>
        <w:t>I saw GenAI as a useful but limited tool for studying politics, helpful for summarising information or simulating scenarios, but unable to truly grasp the nuance, context, or ethical complexity of political reality. I believed it required careful and critical use.</w:t>
      </w:r>
    </w:p>
    <w:p w14:paraId="2CB2250B" w14:textId="77777777" w:rsidR="009B3B8F" w:rsidRDefault="000652FF">
      <w:pPr>
        <w:pStyle w:val="Heading2"/>
      </w:pPr>
      <w:r>
        <w:rPr>
          <w:rFonts w:ascii="Times New Roman" w:eastAsia="Times New Roman" w:hAnsi="Times New Roman"/>
          <w:color w:val="000000"/>
        </w:rPr>
        <w:t>Post-intervention quotations</w:t>
      </w:r>
    </w:p>
    <w:p w14:paraId="4943ED17" w14:textId="77777777" w:rsidR="009B3B8F" w:rsidRDefault="000652FF">
      <w:pPr>
        <w:pStyle w:val="ParticipantLabel"/>
        <w:keepNext/>
        <w:spacing w:after="60"/>
      </w:pPr>
      <w:r>
        <w:rPr>
          <w:color w:val="000000"/>
        </w:rPr>
        <w:t>Participant 89 (post-survey, originally in Malay)</w:t>
      </w:r>
    </w:p>
    <w:p w14:paraId="4DEB59E1" w14:textId="77777777" w:rsidR="009B3B8F" w:rsidRDefault="000652FF">
      <w:pPr>
        <w:pStyle w:val="QuoteText"/>
      </w:pPr>
      <w:r>
        <w:rPr>
          <w:b/>
          <w:color w:val="000000"/>
        </w:rPr>
        <w:t xml:space="preserve">Original: </w:t>
      </w:r>
      <w:r w:rsidRPr="004E0CE2">
        <w:rPr>
          <w:i/>
          <w:iCs/>
          <w:color w:val="000000"/>
        </w:rPr>
        <w:t>Kita tak boleh main copy paste je. Kita kena tahu cara nak tapis maklumat supaya tak terpesong atau terjebak dengan misinformation... AI ni bagi saya sekarang macam pembantu di mana dia bantu mudahkan kita, bukan pengganti kita.</w:t>
      </w:r>
    </w:p>
    <w:p w14:paraId="58E3F45D" w14:textId="77777777" w:rsidR="009B3B8F" w:rsidRDefault="000652FF">
      <w:pPr>
        <w:pStyle w:val="QuoteText"/>
        <w:spacing w:after="160"/>
      </w:pPr>
      <w:r>
        <w:rPr>
          <w:b/>
          <w:color w:val="000000"/>
        </w:rPr>
        <w:lastRenderedPageBreak/>
        <w:t xml:space="preserve">Translation: </w:t>
      </w:r>
      <w:r>
        <w:rPr>
          <w:color w:val="000000"/>
        </w:rPr>
        <w:t>We cannot just copy and paste. We must know how to filter information so as not to be misled or trapped by misinformation... AI, for me now, is like an assistant that helps facilitate us, not replace us.</w:t>
      </w:r>
    </w:p>
    <w:p w14:paraId="3C2275A4" w14:textId="77777777" w:rsidR="009B3B8F" w:rsidRDefault="000652FF">
      <w:pPr>
        <w:pStyle w:val="ParticipantLabel"/>
        <w:keepNext/>
        <w:spacing w:after="60"/>
      </w:pPr>
      <w:r>
        <w:rPr>
          <w:color w:val="000000"/>
        </w:rPr>
        <w:t>Participant 96 (post-survey, originally in Malay)</w:t>
      </w:r>
    </w:p>
    <w:p w14:paraId="1107F6F6" w14:textId="77777777" w:rsidR="009B3B8F" w:rsidRDefault="000652FF">
      <w:pPr>
        <w:pStyle w:val="QuoteText"/>
      </w:pPr>
      <w:r>
        <w:rPr>
          <w:b/>
          <w:color w:val="000000"/>
        </w:rPr>
        <w:t xml:space="preserve">Original: </w:t>
      </w:r>
      <w:r w:rsidRPr="004E0CE2">
        <w:rPr>
          <w:i/>
          <w:iCs/>
          <w:color w:val="000000"/>
        </w:rPr>
        <w:t>saya lebih sedar bahawa GenAI perlu digunakan secara kritikal dan bertanggungjawab. Saya memahami kepentingan menyemak maklumat dan menggunakan GenAI sebagai alat sokongan, bukan pengganti pemikiran sendiri.</w:t>
      </w:r>
    </w:p>
    <w:p w14:paraId="799A01CC" w14:textId="77777777" w:rsidR="009B3B8F" w:rsidRDefault="000652FF">
      <w:pPr>
        <w:pStyle w:val="QuoteText"/>
        <w:spacing w:after="160"/>
      </w:pPr>
      <w:r>
        <w:rPr>
          <w:b/>
          <w:color w:val="000000"/>
        </w:rPr>
        <w:t xml:space="preserve">Translation: </w:t>
      </w:r>
      <w:r>
        <w:rPr>
          <w:color w:val="000000"/>
        </w:rPr>
        <w:t>I am more aware that GenAI must be used critically and responsibly. I understand the importance of verifying information and using GenAI as a support tool, not a replacement for one's own thinking.</w:t>
      </w:r>
    </w:p>
    <w:p w14:paraId="2443E56C" w14:textId="77777777" w:rsidR="009B3B8F" w:rsidRDefault="000652FF">
      <w:pPr>
        <w:pStyle w:val="ParticipantLabel"/>
        <w:keepNext/>
        <w:spacing w:after="60"/>
      </w:pPr>
      <w:r>
        <w:rPr>
          <w:color w:val="000000"/>
        </w:rPr>
        <w:t>Participant 102 (post-survey, originally in Malay; capitalisation in original)</w:t>
      </w:r>
    </w:p>
    <w:p w14:paraId="5BC532E1" w14:textId="77777777" w:rsidR="009B3B8F" w:rsidRDefault="000652FF">
      <w:pPr>
        <w:pStyle w:val="QuoteText"/>
      </w:pPr>
      <w:r>
        <w:rPr>
          <w:b/>
          <w:color w:val="000000"/>
        </w:rPr>
        <w:t xml:space="preserve">Original: </w:t>
      </w:r>
      <w:r w:rsidRPr="004E0CE2">
        <w:rPr>
          <w:i/>
          <w:iCs/>
          <w:color w:val="000000"/>
        </w:rPr>
        <w:t>IA BUKAN SAHAJA UNTUK MENDAPATKAN MAKLUMAT SEMATA TETAPI MAMPU UNTUK MERANGKA KEPELBAGAIAN ISU UNTUK MEMUDAHKAN SESUATU PERKARA MISALNYA DALAM KANDUNGAN PENGHASILAN GAMBAR GENERATIF AI DAN MEMBENTUK PEMIKIRAN POLITIK YANG AKTIF.</w:t>
      </w:r>
    </w:p>
    <w:p w14:paraId="373DC8FE" w14:textId="77777777" w:rsidR="009B3B8F" w:rsidRDefault="000652FF">
      <w:pPr>
        <w:pStyle w:val="QuoteText"/>
        <w:spacing w:after="160"/>
      </w:pPr>
      <w:r>
        <w:rPr>
          <w:b/>
          <w:color w:val="000000"/>
        </w:rPr>
        <w:t xml:space="preserve">Translation: </w:t>
      </w:r>
      <w:r>
        <w:rPr>
          <w:color w:val="000000"/>
        </w:rPr>
        <w:t>It is not only for obtaining information, but is capable of framing diverse issues to facilitate various matters, for example in the production of generative AI imagery and the formation of active political thinking.</w:t>
      </w:r>
    </w:p>
    <w:p w14:paraId="58547749" w14:textId="77777777" w:rsidR="009B3B8F" w:rsidRDefault="000652FF">
      <w:pPr>
        <w:pStyle w:val="ParticipantLabel"/>
        <w:keepNext/>
        <w:spacing w:after="60"/>
      </w:pPr>
      <w:r>
        <w:rPr>
          <w:color w:val="000000"/>
        </w:rPr>
        <w:t>Participant 106 (post-survey, originally in Malay)</w:t>
      </w:r>
    </w:p>
    <w:p w14:paraId="3B712282" w14:textId="77777777" w:rsidR="009B3B8F" w:rsidRDefault="000652FF">
      <w:pPr>
        <w:pStyle w:val="QuoteText"/>
      </w:pPr>
      <w:r>
        <w:rPr>
          <w:b/>
          <w:color w:val="000000"/>
        </w:rPr>
        <w:t xml:space="preserve">Original: </w:t>
      </w:r>
      <w:r w:rsidRPr="004E0CE2">
        <w:rPr>
          <w:i/>
          <w:iCs/>
          <w:color w:val="000000"/>
        </w:rPr>
        <w:t>perspektif saya mengenai Gen AI telah berubah dari kepercayaan yang tidak kritis kepada sikap skeptikal yang konstruktif. Kini, saya melihat GenAI sebagai “rakan saran” yang berkuasa tetapi membawa risiko jika tidak diurus dengan baik.</w:t>
      </w:r>
    </w:p>
    <w:p w14:paraId="7E4599C8" w14:textId="77777777" w:rsidR="009B3B8F" w:rsidRDefault="000652FF">
      <w:pPr>
        <w:pStyle w:val="QuoteText"/>
        <w:spacing w:after="160"/>
      </w:pPr>
      <w:r>
        <w:rPr>
          <w:b/>
          <w:color w:val="000000"/>
        </w:rPr>
        <w:t xml:space="preserve">Translation: </w:t>
      </w:r>
      <w:r>
        <w:rPr>
          <w:color w:val="000000"/>
        </w:rPr>
        <w:t>My perspective on GenAI has shifted from uncritical belief to constructive scepticism. Now, I see GenAI as a powerful “advisory partner”, but one that carries risks if not managed well.</w:t>
      </w:r>
    </w:p>
    <w:p w14:paraId="4F299593" w14:textId="77777777" w:rsidR="009B3B8F" w:rsidRDefault="000652FF">
      <w:pPr>
        <w:pStyle w:val="ParticipantLabel"/>
        <w:keepNext/>
        <w:spacing w:after="60"/>
      </w:pPr>
      <w:r>
        <w:rPr>
          <w:color w:val="000000"/>
        </w:rPr>
        <w:t>Participant 126 (post-survey, originally in Malay)</w:t>
      </w:r>
    </w:p>
    <w:p w14:paraId="095C1547" w14:textId="77777777" w:rsidR="009B3B8F" w:rsidRDefault="000652FF">
      <w:pPr>
        <w:pStyle w:val="QuoteText"/>
      </w:pPr>
      <w:r>
        <w:rPr>
          <w:b/>
          <w:color w:val="000000"/>
        </w:rPr>
        <w:t xml:space="preserve">Original: </w:t>
      </w:r>
      <w:r w:rsidRPr="004E0CE2">
        <w:rPr>
          <w:i/>
          <w:iCs/>
          <w:color w:val="000000"/>
        </w:rPr>
        <w:t>saya melihat GenAI sebagai thinking partner yang berguna untuk menyusun struktur idea tetapi bukan sebagai sumber kebenaran mutlak. Saya sedar yang kita perlu membuat human verification untuk fact check.</w:t>
      </w:r>
    </w:p>
    <w:p w14:paraId="2CA8F559" w14:textId="77777777" w:rsidR="009B3B8F" w:rsidRDefault="000652FF">
      <w:pPr>
        <w:pStyle w:val="QuoteText"/>
        <w:spacing w:after="160"/>
      </w:pPr>
      <w:r>
        <w:rPr>
          <w:b/>
          <w:color w:val="000000"/>
        </w:rPr>
        <w:t xml:space="preserve">Translation: </w:t>
      </w:r>
      <w:r>
        <w:rPr>
          <w:color w:val="000000"/>
        </w:rPr>
        <w:t>I see GenAI as a useful thinking partner for structuring ideas, but not as the ultimate source of truth. I am aware that we need to conduct human verification for fact-checking.</w:t>
      </w:r>
    </w:p>
    <w:p w14:paraId="68D925C8" w14:textId="77777777" w:rsidR="009B3B8F" w:rsidRDefault="000652FF">
      <w:pPr>
        <w:pStyle w:val="ParticipantLabel"/>
        <w:keepNext/>
        <w:spacing w:after="60"/>
      </w:pPr>
      <w:r>
        <w:rPr>
          <w:color w:val="000000"/>
        </w:rPr>
        <w:t>Participant 142 (post-survey, English)</w:t>
      </w:r>
    </w:p>
    <w:p w14:paraId="6D8B4A50" w14:textId="77777777" w:rsidR="009B3B8F" w:rsidRDefault="000652FF">
      <w:pPr>
        <w:pStyle w:val="QuoteText"/>
        <w:spacing w:after="160"/>
      </w:pPr>
      <w:r>
        <w:rPr>
          <w:color w:val="000000"/>
        </w:rPr>
        <w:t>Just like the media, [GenAI] selects and represents information in a given way. This means that GenAI can influence what we think about politics.</w:t>
      </w:r>
    </w:p>
    <w:p w14:paraId="13AEC50B" w14:textId="77777777" w:rsidR="009B3B8F" w:rsidRDefault="000652FF">
      <w:pPr>
        <w:pStyle w:val="ParticipantLabel"/>
        <w:keepNext/>
        <w:spacing w:after="60"/>
      </w:pPr>
      <w:r>
        <w:rPr>
          <w:color w:val="000000"/>
        </w:rPr>
        <w:lastRenderedPageBreak/>
        <w:t>Participant 144 (post-survey, English; extended)</w:t>
      </w:r>
    </w:p>
    <w:p w14:paraId="32C9F2B7" w14:textId="77777777" w:rsidR="009B3B8F" w:rsidRDefault="000652FF">
      <w:pPr>
        <w:pStyle w:val="QuoteText"/>
        <w:spacing w:after="160"/>
      </w:pPr>
      <w:r>
        <w:rPr>
          <w:color w:val="000000"/>
        </w:rPr>
        <w:t>Awareness of Algorithmic Bias: Understanding that GenAI can mirror the political leanings of its training data. You learn to ask: “Whose perspective is missing from this AI summary?” [...] Ethical Implications: A deeper concern for how AI-generated misinformation, including deepfakes and bot-driven propaganda, impacts democratic processes, something a standard textbook might not cover in real-time.</w:t>
      </w:r>
    </w:p>
    <w:p w14:paraId="08712768" w14:textId="77777777" w:rsidR="009B3B8F" w:rsidRDefault="000652FF">
      <w:pPr>
        <w:pStyle w:val="Heading1"/>
      </w:pPr>
      <w:r>
        <w:rPr>
          <w:rFonts w:ascii="Times New Roman" w:eastAsia="Times New Roman" w:hAnsi="Times New Roman"/>
          <w:color w:val="000000"/>
        </w:rPr>
        <w:t>B. Reflexive thematic analysis procedure</w:t>
      </w:r>
    </w:p>
    <w:p w14:paraId="78017AD9" w14:textId="77777777" w:rsidR="009B3B8F" w:rsidRDefault="000652FF">
      <w:pPr>
        <w:spacing w:after="160"/>
      </w:pPr>
      <w:r>
        <w:rPr>
          <w:color w:val="000000"/>
        </w:rPr>
        <w:t>D</w:t>
      </w:r>
      <w:r>
        <w:rPr>
          <w:color w:val="000000"/>
        </w:rPr>
        <w:t>ata were analysed using the six-phase reflexive thematic analysis protocol developed by Braun and Clarke (2006, 2019). The procedure was organised to preserve the temporal distinction between pre- and post-intervention responses while allowing comparison across phases.</w:t>
      </w:r>
    </w:p>
    <w:p w14:paraId="6BD2CE44" w14:textId="77777777" w:rsidR="009B3B8F" w:rsidRDefault="000652FF">
      <w:pPr>
        <w:spacing w:after="160"/>
      </w:pPr>
      <w:r>
        <w:rPr>
          <w:b/>
          <w:color w:val="000000"/>
        </w:rPr>
        <w:t xml:space="preserve">Phase 1: Familiarisation. </w:t>
      </w:r>
      <w:r>
        <w:rPr>
          <w:color w:val="000000"/>
        </w:rPr>
        <w:t>All 151 usable paired response sets, comprising 302 individual texts, were read in full multiple times across both pre- and post-intervention datasets. These were drawn from the wider course cohort of 183 students, after incomplete or unusable submissions were excluded from the final analytic dataset. Notes were made on recurring ideas, striking formulations, and apparent tensions between phases. Non-English responses received in Malay and Mandarin were translated into English by a native speaker, independe</w:t>
      </w:r>
      <w:r>
        <w:rPr>
          <w:color w:val="000000"/>
        </w:rPr>
        <w:t>ntly back-translated, and reviewed for conceptual equivalence rather than lexical equivalence.</w:t>
      </w:r>
    </w:p>
    <w:p w14:paraId="113FF513" w14:textId="77777777" w:rsidR="009B3B8F" w:rsidRDefault="000652FF">
      <w:pPr>
        <w:spacing w:after="160"/>
      </w:pPr>
      <w:r>
        <w:rPr>
          <w:b/>
          <w:color w:val="000000"/>
        </w:rPr>
        <w:t xml:space="preserve">Phase 2: Generating initial codes. </w:t>
      </w:r>
      <w:r>
        <w:rPr>
          <w:color w:val="000000"/>
        </w:rPr>
        <w:t>Pre-intervention and post-intervention responses were coded separately to preserve the temporal integrity of the dataset. Coding was both semantic, capturing explicit content, and latent, capturing underlying assumptions and orientations. An initial pool of 147 codes was generated across both datasets.</w:t>
      </w:r>
    </w:p>
    <w:p w14:paraId="5DA9A2CE" w14:textId="77777777" w:rsidR="009B3B8F" w:rsidRDefault="000652FF">
      <w:pPr>
        <w:spacing w:after="160"/>
      </w:pPr>
      <w:r>
        <w:rPr>
          <w:b/>
          <w:color w:val="000000"/>
        </w:rPr>
        <w:t xml:space="preserve">Phase 3: Searching for themes. </w:t>
      </w:r>
      <w:r>
        <w:rPr>
          <w:color w:val="000000"/>
        </w:rPr>
        <w:t>Codes were sorted into candidate themes by grouping codes that shared conceptual coherence. This involved iterative movement between the full dataset, coded extracts, and the emerging thematic map.</w:t>
      </w:r>
    </w:p>
    <w:p w14:paraId="4FD7AEEC" w14:textId="77777777" w:rsidR="009B3B8F" w:rsidRDefault="000652FF">
      <w:pPr>
        <w:spacing w:after="160"/>
      </w:pPr>
      <w:r>
        <w:rPr>
          <w:b/>
          <w:color w:val="000000"/>
        </w:rPr>
        <w:t xml:space="preserve">Phase 4: Reviewing themes. </w:t>
      </w:r>
      <w:r>
        <w:rPr>
          <w:color w:val="000000"/>
        </w:rPr>
        <w:t>Candidate themes were reviewed against the full dataset to assess internal coherence and distinction from other themes. Several candidate themes were merged, renamed, or dissolved at this stage. A parallel comparative analysis of pre- and post-intervention thematic maps was conducted to identify the direction and character of perceptual shifts.</w:t>
      </w:r>
    </w:p>
    <w:p w14:paraId="205E77C4" w14:textId="77777777" w:rsidR="009B3B8F" w:rsidRDefault="000652FF">
      <w:pPr>
        <w:spacing w:after="160"/>
      </w:pPr>
      <w:r>
        <w:rPr>
          <w:b/>
          <w:color w:val="000000"/>
        </w:rPr>
        <w:t xml:space="preserve">Phase 5: Defining and naming themes. </w:t>
      </w:r>
      <w:r>
        <w:rPr>
          <w:color w:val="000000"/>
        </w:rPr>
        <w:t>Final themes were defined by producing a detailed account of each theme’s scope, central meaning, and relationship to the research questions. Theme names were selected to be analytically meaningful rather than merely descriptive.</w:t>
      </w:r>
    </w:p>
    <w:p w14:paraId="6325607C" w14:textId="77777777" w:rsidR="009B3B8F" w:rsidRDefault="000652FF">
      <w:pPr>
        <w:spacing w:after="160"/>
      </w:pPr>
      <w:r>
        <w:rPr>
          <w:b/>
          <w:color w:val="000000"/>
        </w:rPr>
        <w:t xml:space="preserve">Phase 6: Producing the report. </w:t>
      </w:r>
      <w:r>
        <w:rPr>
          <w:color w:val="000000"/>
        </w:rPr>
        <w:t>Themes are reported in Section 4 of the manuscript with representative participant quotations selected for typicality, vividness, and theoretical resonance. Quotations from non-English responses are presented in translated form, with the original language indicated where relevant.</w:t>
      </w:r>
    </w:p>
    <w:p w14:paraId="54D452E4" w14:textId="4AC0306B" w:rsidR="009B3B8F" w:rsidRDefault="009B3B8F">
      <w:pPr>
        <w:pStyle w:val="Reference"/>
      </w:pPr>
    </w:p>
    <w:sectPr w:rsidR="009B3B8F">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4B343" w14:textId="77777777" w:rsidR="000652FF" w:rsidRDefault="000652FF">
      <w:pPr>
        <w:spacing w:after="0" w:line="240" w:lineRule="auto"/>
      </w:pPr>
      <w:r>
        <w:separator/>
      </w:r>
    </w:p>
  </w:endnote>
  <w:endnote w:type="continuationSeparator" w:id="0">
    <w:p w14:paraId="39D2BF74" w14:textId="77777777" w:rsidR="000652FF" w:rsidRDefault="00065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DE11" w14:textId="77777777" w:rsidR="009B3B8F" w:rsidRDefault="000652FF">
    <w:pPr>
      <w:pStyle w:val="Footer"/>
      <w:jc w:val="center"/>
    </w:pPr>
    <w:r>
      <w:rPr>
        <w:sz w:val="18"/>
      </w:rPr>
      <w:t xml:space="preserve">Page </w:t>
    </w:r>
    <w:r>
      <w:rPr>
        <w:sz w:val="18"/>
      </w:rPr>
      <w:fldChar w:fldCharType="begin"/>
    </w:r>
    <w:r>
      <w:rPr>
        <w:sz w:val="18"/>
      </w:rPr>
      <w:instrText>PAGE</w:instrText>
    </w:r>
    <w:r w:rsidR="004E0CE2">
      <w:rPr>
        <w:sz w:val="18"/>
      </w:rPr>
      <w:fldChar w:fldCharType="separate"/>
    </w:r>
    <w:r w:rsidR="004E0CE2">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5B607" w14:textId="77777777" w:rsidR="000652FF" w:rsidRDefault="000652FF">
      <w:pPr>
        <w:spacing w:after="0" w:line="240" w:lineRule="auto"/>
      </w:pPr>
      <w:r>
        <w:separator/>
      </w:r>
    </w:p>
  </w:footnote>
  <w:footnote w:type="continuationSeparator" w:id="0">
    <w:p w14:paraId="54B37CFA" w14:textId="77777777" w:rsidR="000652FF" w:rsidRDefault="00065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6B36C" w14:textId="463FA640" w:rsidR="009B3B8F" w:rsidRDefault="009B3B8F">
    <w:pPr>
      <w:spacing w:after="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7467679">
    <w:abstractNumId w:val="8"/>
  </w:num>
  <w:num w:numId="2" w16cid:durableId="953710114">
    <w:abstractNumId w:val="6"/>
  </w:num>
  <w:num w:numId="3" w16cid:durableId="15693627">
    <w:abstractNumId w:val="5"/>
  </w:num>
  <w:num w:numId="4" w16cid:durableId="1224487080">
    <w:abstractNumId w:val="4"/>
  </w:num>
  <w:num w:numId="5" w16cid:durableId="1687095903">
    <w:abstractNumId w:val="7"/>
  </w:num>
  <w:num w:numId="6" w16cid:durableId="1928346239">
    <w:abstractNumId w:val="3"/>
  </w:num>
  <w:num w:numId="7" w16cid:durableId="119350544">
    <w:abstractNumId w:val="2"/>
  </w:num>
  <w:num w:numId="8" w16cid:durableId="427584143">
    <w:abstractNumId w:val="1"/>
  </w:num>
  <w:num w:numId="9" w16cid:durableId="144706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52FF"/>
    <w:rsid w:val="00071690"/>
    <w:rsid w:val="0015074B"/>
    <w:rsid w:val="0029639D"/>
    <w:rsid w:val="00326F90"/>
    <w:rsid w:val="004E0CE2"/>
    <w:rsid w:val="009B3B8F"/>
    <w:rsid w:val="00AA1D8D"/>
    <w:rsid w:val="00B47730"/>
    <w:rsid w:val="00C7715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40B88D"/>
  <w14:defaultImageDpi w14:val="300"/>
  <w15:docId w15:val="{C7ED6302-209B-F54F-A284-2CBC94C1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ticipantLabel">
    <w:name w:val="Participant Label"/>
    <w:pPr>
      <w:spacing w:before="80" w:after="40"/>
    </w:pPr>
    <w:rPr>
      <w:rFonts w:ascii="Times New Roman" w:eastAsia="Times New Roman" w:hAnsi="Times New Roman"/>
      <w:b/>
      <w:sz w:val="24"/>
    </w:rPr>
  </w:style>
  <w:style w:type="paragraph" w:customStyle="1" w:styleId="QuoteText">
    <w:name w:val="Quote Text"/>
    <w:pPr>
      <w:spacing w:after="80"/>
      <w:ind w:left="425"/>
    </w:pPr>
    <w:rPr>
      <w:rFonts w:ascii="Times New Roman" w:eastAsia="Times New Roman" w:hAnsi="Times New Roman"/>
      <w:sz w:val="24"/>
    </w:rPr>
  </w:style>
  <w:style w:type="paragraph" w:customStyle="1" w:styleId="Reference">
    <w:name w:val="Reference"/>
    <w:pPr>
      <w:spacing w:after="120"/>
      <w:ind w:left="720" w:hanging="720"/>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1088</Words>
  <Characters>6708</Characters>
  <Application>Microsoft Office Word</Application>
  <DocSecurity>0</DocSecurity>
  <Lines>111</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1</dc:title>
  <dc:subject>Supplementary material</dc:subject>
  <dc:creator>Ammar Redza</dc:creator>
  <cp:keywords/>
  <dc:description/>
  <cp:lastModifiedBy>Ammar Redza</cp:lastModifiedBy>
  <cp:revision>3</cp:revision>
  <dcterms:created xsi:type="dcterms:W3CDTF">2026-05-09T12:04:00Z</dcterms:created>
  <dcterms:modified xsi:type="dcterms:W3CDTF">2026-05-09T12:04:00Z</dcterms:modified>
  <cp:category/>
</cp:coreProperties>
</file>