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13F1C">
      <w:pPr>
        <w:spacing w:line="360" w:lineRule="auto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</w:rPr>
        <w:t>Diosgenin-loaded DSPE-PEG liposomes suppress high-fat</w:t>
      </w:r>
      <w:r>
        <w:rPr>
          <w:rFonts w:hint="eastAsia" w:ascii="Times New Roman" w:hAnsi="Times New Roman" w:cs="Times New Roman"/>
          <w:b/>
          <w:bCs/>
          <w:i w:val="0"/>
          <w:i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</w:rPr>
        <w:t>induced pancreatic cancer cell growth by modulating lipid metabolism and apoptosis</w:t>
      </w:r>
    </w:p>
    <w:p w14:paraId="4E5C22AA">
      <w:pPr>
        <w:spacing w:line="360" w:lineRule="auto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</w:rPr>
      </w:pPr>
    </w:p>
    <w:p w14:paraId="3AA13FBA">
      <w:pPr>
        <w:pStyle w:val="2"/>
        <w:widowControl/>
        <w:adjustRightInd w:val="0"/>
        <w:snapToGrid w:val="0"/>
        <w:spacing w:beforeAutospacing="0" w:afterAutospacing="0" w:line="360" w:lineRule="auto"/>
        <w:jc w:val="center"/>
        <w:rPr>
          <w:rStyle w:val="6"/>
          <w:rFonts w:hint="default" w:ascii="Times New Roman" w:hAnsi="Times New Roman" w:cs="Times New Roman"/>
          <w:b w:val="0"/>
        </w:rPr>
      </w:pPr>
      <w:r>
        <w:rPr>
          <w:rStyle w:val="6"/>
          <w:rFonts w:hint="default" w:ascii="Times New Roman" w:hAnsi="Times New Roman" w:cs="Times New Roman"/>
          <w:b w:val="0"/>
        </w:rPr>
        <w:t>Na Song</w:t>
      </w:r>
      <w:r>
        <w:rPr>
          <w:rStyle w:val="6"/>
          <w:rFonts w:hint="eastAsia" w:ascii="Times New Roman" w:hAnsi="Times New Roman" w:cs="Times New Roman"/>
          <w:b w:val="0"/>
          <w:vertAlign w:val="superscript"/>
          <w:lang w:val="en-US" w:eastAsia="zh-CN"/>
        </w:rPr>
        <w:t>1,2</w:t>
      </w:r>
      <w:r>
        <w:rPr>
          <w:rStyle w:val="6"/>
          <w:rFonts w:hint="default" w:ascii="Times New Roman" w:hAnsi="Times New Roman" w:cs="Times New Roman"/>
          <w:b w:val="0"/>
        </w:rPr>
        <w:t>, Yue Wu</w:t>
      </w:r>
      <w:r>
        <w:rPr>
          <w:rStyle w:val="6"/>
          <w:rFonts w:hint="eastAsia" w:ascii="Times New Roman" w:hAnsi="Times New Roman" w:cs="Times New Roman"/>
          <w:b w:val="0"/>
          <w:vertAlign w:val="superscript"/>
          <w:lang w:val="en-US" w:eastAsia="zh-CN"/>
        </w:rPr>
        <w:t>3</w:t>
      </w:r>
      <w:r>
        <w:rPr>
          <w:rStyle w:val="6"/>
          <w:rFonts w:hint="default" w:ascii="Times New Roman" w:hAnsi="Times New Roman" w:cs="Times New Roman"/>
          <w:b w:val="0"/>
        </w:rPr>
        <w:t>, Yongcan Wu</w:t>
      </w:r>
      <w:r>
        <w:rPr>
          <w:rStyle w:val="6"/>
          <w:rFonts w:hint="eastAsia" w:ascii="Times New Roman" w:hAnsi="Times New Roman" w:cs="Times New Roman"/>
          <w:b w:val="0"/>
          <w:vertAlign w:val="superscript"/>
          <w:lang w:val="en-US" w:eastAsia="zh-CN"/>
        </w:rPr>
        <w:t>4</w:t>
      </w:r>
      <w:r>
        <w:rPr>
          <w:rStyle w:val="6"/>
          <w:rFonts w:hint="default" w:ascii="Times New Roman" w:hAnsi="Times New Roman" w:cs="Times New Roman"/>
          <w:b w:val="0"/>
        </w:rPr>
        <w:t>, Xuekuan Huang</w:t>
      </w:r>
      <w:r>
        <w:rPr>
          <w:rStyle w:val="6"/>
          <w:rFonts w:hint="eastAsia" w:ascii="Times New Roman" w:hAnsi="Times New Roman" w:cs="Times New Roman"/>
          <w:b w:val="0"/>
          <w:vertAlign w:val="superscript"/>
          <w:lang w:val="en-US" w:eastAsia="zh-CN"/>
        </w:rPr>
        <w:t>1</w:t>
      </w:r>
      <w:r>
        <w:rPr>
          <w:rStyle w:val="6"/>
          <w:rFonts w:hint="default" w:ascii="Times New Roman" w:hAnsi="Times New Roman" w:cs="Times New Roman"/>
          <w:b w:val="0"/>
        </w:rPr>
        <w:t>*, Jianwei Wang</w:t>
      </w:r>
      <w:r>
        <w:rPr>
          <w:rStyle w:val="6"/>
          <w:rFonts w:hint="eastAsia" w:ascii="Times New Roman" w:hAnsi="Times New Roman" w:cs="Times New Roman"/>
          <w:b w:val="0"/>
          <w:vertAlign w:val="superscript"/>
          <w:lang w:val="en-US" w:eastAsia="zh-CN"/>
        </w:rPr>
        <w:t>1</w:t>
      </w:r>
      <w:r>
        <w:rPr>
          <w:rStyle w:val="6"/>
          <w:rFonts w:hint="default" w:ascii="Times New Roman" w:hAnsi="Times New Roman" w:cs="Times New Roman"/>
          <w:b w:val="0"/>
          <w:vertAlign w:val="superscript"/>
        </w:rPr>
        <w:t>,4</w:t>
      </w:r>
      <w:r>
        <w:rPr>
          <w:rStyle w:val="6"/>
          <w:rFonts w:hint="default" w:ascii="Times New Roman" w:hAnsi="Times New Roman" w:cs="Times New Roman"/>
          <w:b w:val="0"/>
        </w:rPr>
        <w:t>*</w:t>
      </w:r>
    </w:p>
    <w:p w14:paraId="334C10B9">
      <w:pPr>
        <w:pStyle w:val="2"/>
        <w:widowControl/>
        <w:adjustRightInd w:val="0"/>
        <w:snapToGrid w:val="0"/>
        <w:spacing w:beforeAutospacing="0" w:afterAutospacing="0" w:line="360" w:lineRule="auto"/>
        <w:jc w:val="both"/>
        <w:rPr>
          <w:rStyle w:val="6"/>
          <w:rFonts w:hint="default" w:ascii="Times New Roman" w:hAnsi="Times New Roman" w:cs="Times New Roman"/>
          <w:b w:val="0"/>
        </w:rPr>
      </w:pPr>
    </w:p>
    <w:p w14:paraId="04F33815">
      <w:pPr>
        <w:pStyle w:val="2"/>
        <w:widowControl/>
        <w:numPr>
          <w:ilvl w:val="0"/>
          <w:numId w:val="1"/>
        </w:numPr>
        <w:adjustRightInd w:val="0"/>
        <w:snapToGrid w:val="0"/>
        <w:spacing w:beforeAutospacing="0" w:afterAutospacing="0" w:line="360" w:lineRule="auto"/>
        <w:ind w:left="425" w:leftChars="0" w:hanging="425" w:firstLineChars="0"/>
        <w:jc w:val="both"/>
        <w:rPr>
          <w:rStyle w:val="6"/>
          <w:rFonts w:hint="default" w:ascii="Times New Roman" w:hAnsi="Times New Roman" w:cs="Times New Roman"/>
          <w:b w:val="0"/>
        </w:rPr>
      </w:pPr>
      <w:r>
        <w:rPr>
          <w:rStyle w:val="6"/>
          <w:rFonts w:hint="default" w:ascii="Times New Roman" w:hAnsi="Times New Roman" w:cs="Times New Roman"/>
          <w:b w:val="0"/>
        </w:rPr>
        <w:t>Chongqing Key Laboratory of Traditional Chinese Medicine for Prevention and Cure of Metabolic Diseases, College of Traditional Chinese Medicine, Chongqing Medical University, Chongqing, China, 400016</w:t>
      </w:r>
    </w:p>
    <w:p w14:paraId="64DF8C71">
      <w:pPr>
        <w:pStyle w:val="2"/>
        <w:widowControl/>
        <w:numPr>
          <w:ilvl w:val="0"/>
          <w:numId w:val="1"/>
        </w:numPr>
        <w:adjustRightInd w:val="0"/>
        <w:snapToGrid w:val="0"/>
        <w:spacing w:beforeAutospacing="0" w:afterAutospacing="0" w:line="360" w:lineRule="auto"/>
        <w:ind w:left="425" w:leftChars="0" w:hanging="425" w:firstLineChars="0"/>
        <w:jc w:val="both"/>
        <w:rPr>
          <w:rStyle w:val="6"/>
          <w:rFonts w:hint="default" w:ascii="Times New Roman" w:hAnsi="Times New Roman" w:cs="Times New Roman"/>
          <w:b w:val="0"/>
        </w:rPr>
      </w:pPr>
      <w:r>
        <w:rPr>
          <w:rStyle w:val="6"/>
          <w:rFonts w:hint="default" w:ascii="Times New Roman" w:hAnsi="Times New Roman" w:cs="Times New Roman"/>
          <w:b w:val="0"/>
        </w:rPr>
        <w:t>Department of Oncology, Chongqing Traditional Chinese Medicine Hospital, Chongqing, China, 400021</w:t>
      </w:r>
    </w:p>
    <w:p w14:paraId="37DF307D">
      <w:pPr>
        <w:pStyle w:val="2"/>
        <w:widowControl/>
        <w:numPr>
          <w:ilvl w:val="0"/>
          <w:numId w:val="1"/>
        </w:numPr>
        <w:adjustRightInd w:val="0"/>
        <w:snapToGrid w:val="0"/>
        <w:spacing w:beforeAutospacing="0" w:afterAutospacing="0" w:line="360" w:lineRule="auto"/>
        <w:ind w:left="425" w:leftChars="0" w:hanging="425" w:firstLineChars="0"/>
        <w:jc w:val="both"/>
        <w:rPr>
          <w:rStyle w:val="6"/>
          <w:rFonts w:hint="default" w:ascii="Times New Roman" w:hAnsi="Times New Roman" w:cs="Times New Roman"/>
          <w:b w:val="0"/>
        </w:rPr>
      </w:pPr>
      <w:r>
        <w:rPr>
          <w:rStyle w:val="6"/>
          <w:rFonts w:hint="default" w:ascii="Times New Roman" w:hAnsi="Times New Roman" w:cs="Times New Roman"/>
          <w:b w:val="0"/>
        </w:rPr>
        <w:t>Department of Gastroenterology, Chongqing Traditional Chinese Medicine Hospital, Chongqing, China, 400021</w:t>
      </w:r>
    </w:p>
    <w:p w14:paraId="25FDF3E7">
      <w:pPr>
        <w:pStyle w:val="2"/>
        <w:widowControl/>
        <w:numPr>
          <w:ilvl w:val="0"/>
          <w:numId w:val="1"/>
        </w:numPr>
        <w:adjustRightInd w:val="0"/>
        <w:snapToGrid w:val="0"/>
        <w:spacing w:beforeAutospacing="0" w:afterAutospacing="0" w:line="360" w:lineRule="auto"/>
        <w:ind w:left="425" w:leftChars="0" w:hanging="425" w:firstLineChars="0"/>
        <w:jc w:val="both"/>
        <w:rPr>
          <w:rStyle w:val="6"/>
          <w:rFonts w:hint="default" w:ascii="Times New Roman" w:hAnsi="Times New Roman" w:cs="Times New Roman"/>
          <w:b w:val="0"/>
        </w:rPr>
      </w:pPr>
      <w:r>
        <w:rPr>
          <w:rStyle w:val="6"/>
          <w:rFonts w:hint="default" w:ascii="Times New Roman" w:hAnsi="Times New Roman" w:cs="Times New Roman"/>
          <w:b w:val="0"/>
        </w:rPr>
        <w:t>Chongqing Key Laboratory of Traditional Chinese Medicine for Prevention and Cure of Metabolic Diseases, College of Traditional Chinese Medicine, Chongqing University of Chinese Medicine, Chongqing, China, 402760</w:t>
      </w:r>
    </w:p>
    <w:p w14:paraId="00303B4A">
      <w:pPr>
        <w:pStyle w:val="2"/>
        <w:widowControl/>
        <w:adjustRightInd w:val="0"/>
        <w:snapToGrid w:val="0"/>
        <w:spacing w:beforeAutospacing="0" w:afterAutospacing="0" w:line="360" w:lineRule="auto"/>
        <w:jc w:val="both"/>
        <w:rPr>
          <w:rStyle w:val="6"/>
          <w:rFonts w:hint="default" w:ascii="Times New Roman" w:hAnsi="Times New Roman" w:cs="Times New Roman"/>
          <w:b w:val="0"/>
        </w:rPr>
      </w:pPr>
      <w:r>
        <w:rPr>
          <w:rStyle w:val="6"/>
          <w:rFonts w:hint="default" w:ascii="Times New Roman" w:hAnsi="Times New Roman" w:cs="Times New Roman"/>
          <w:b w:val="0"/>
        </w:rPr>
        <w:t>Corresponding Authors: Xuekuan Huang</w:t>
      </w:r>
      <w:r>
        <w:rPr>
          <w:rStyle w:val="6"/>
          <w:rFonts w:hint="eastAsia" w:ascii="Times New Roman" w:hAnsi="Times New Roman" w:cs="Times New Roman"/>
          <w:b w:val="0"/>
          <w:lang w:val="en-US" w:eastAsia="zh-CN"/>
        </w:rPr>
        <w:t xml:space="preserve"> and </w:t>
      </w:r>
      <w:r>
        <w:rPr>
          <w:rStyle w:val="6"/>
          <w:rFonts w:hint="default" w:ascii="Times New Roman" w:hAnsi="Times New Roman" w:cs="Times New Roman"/>
          <w:b w:val="0"/>
        </w:rPr>
        <w:t xml:space="preserve">Jianwei Wang. </w:t>
      </w:r>
    </w:p>
    <w:p w14:paraId="1BDDB61F">
      <w:pPr>
        <w:pStyle w:val="2"/>
        <w:widowControl/>
        <w:adjustRightInd w:val="0"/>
        <w:snapToGrid w:val="0"/>
        <w:spacing w:beforeAutospacing="0" w:afterAutospacing="0" w:line="360" w:lineRule="auto"/>
        <w:jc w:val="both"/>
        <w:rPr>
          <w:rStyle w:val="6"/>
          <w:rFonts w:hint="default" w:ascii="Times New Roman" w:hAnsi="Times New Roman" w:cs="Times New Roman"/>
          <w:b w:val="0"/>
        </w:rPr>
      </w:pPr>
      <w:r>
        <w:rPr>
          <w:rStyle w:val="6"/>
          <w:rFonts w:hint="default" w:ascii="Times New Roman" w:hAnsi="Times New Roman" w:cs="Times New Roman"/>
          <w:b w:val="0"/>
        </w:rPr>
        <w:t xml:space="preserve">Email: </w:t>
      </w:r>
      <w:r>
        <w:rPr>
          <w:rFonts w:hint="default" w:ascii="Times New Roman" w:hAnsi="Times New Roman" w:cs="Times New Roman"/>
          <w:b w:val="0"/>
          <w:color w:val="auto"/>
          <w:u w:val="none"/>
        </w:rPr>
        <w:t>xkhuang2002@163.com</w:t>
      </w:r>
      <w:r>
        <w:rPr>
          <w:rFonts w:hint="eastAsia" w:ascii="Times New Roman" w:hAnsi="Times New Roman" w:cs="Times New Roman"/>
          <w:b w:val="0"/>
          <w:color w:val="auto"/>
          <w:u w:val="none"/>
          <w:lang w:val="en-US" w:eastAsia="zh-CN"/>
        </w:rPr>
        <w:t xml:space="preserve"> (X.Huang);</w:t>
      </w:r>
      <w:r>
        <w:rPr>
          <w:rStyle w:val="6"/>
          <w:rFonts w:hint="eastAsia" w:ascii="Times New Roman" w:hAnsi="Times New Roman" w:cs="Times New Roman"/>
          <w:b w:val="0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u w:val="none"/>
        </w:rPr>
        <w:t>wangjianwei@cqmu.edu.cn</w:t>
      </w:r>
      <w:r>
        <w:rPr>
          <w:rStyle w:val="6"/>
          <w:rFonts w:hint="eastAsia" w:ascii="Times New Roman" w:hAnsi="Times New Roman" w:cs="Times New Roman"/>
          <w:b w:val="0"/>
          <w:lang w:val="en-US" w:eastAsia="zh-CN"/>
        </w:rPr>
        <w:t xml:space="preserve"> (J.Wang)</w:t>
      </w:r>
      <w:r>
        <w:rPr>
          <w:rStyle w:val="6"/>
          <w:rFonts w:hint="default" w:ascii="Times New Roman" w:hAnsi="Times New Roman" w:cs="Times New Roman"/>
          <w:b w:val="0"/>
        </w:rPr>
        <w:t>.</w:t>
      </w:r>
    </w:p>
    <w:p w14:paraId="76BB8A3C"/>
    <w:p w14:paraId="536C6416"/>
    <w:p w14:paraId="67A94559"/>
    <w:p w14:paraId="42205037"/>
    <w:p w14:paraId="027CB1DC"/>
    <w:p w14:paraId="581D26F1"/>
    <w:p w14:paraId="577A3EAC"/>
    <w:p w14:paraId="32933A2D"/>
    <w:p w14:paraId="172AB408"/>
    <w:p w14:paraId="7E37848A"/>
    <w:p w14:paraId="6B49EB0A"/>
    <w:p w14:paraId="424EB142"/>
    <w:p w14:paraId="22B0C8BF"/>
    <w:p w14:paraId="24A4A956"/>
    <w:p w14:paraId="63467AD0"/>
    <w:p w14:paraId="2AB2263F"/>
    <w:p w14:paraId="187B4EE4"/>
    <w:p w14:paraId="0925B616"/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left w:w="108" w:type="dxa"/>
          <w:right w:w="108" w:type="dxa"/>
        </w:tblCellMar>
      </w:tblPr>
      <w:tblGrid>
        <w:gridCol w:w="8522"/>
      </w:tblGrid>
      <w:tr w14:paraId="1822F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  <w:tcBorders>
              <w:tl2br w:val="nil"/>
              <w:tr2bl w:val="nil"/>
            </w:tcBorders>
          </w:tcPr>
          <w:p w14:paraId="3A42A5BA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5262880" cy="2689860"/>
                  <wp:effectExtent l="0" t="0" r="10160" b="7620"/>
                  <wp:docPr id="1" name="图片 1" descr="Figure.S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igure.S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2880" cy="2689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0862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8522" w:type="dxa"/>
            <w:tcBorders>
              <w:tl2br w:val="nil"/>
              <w:tr2bl w:val="nil"/>
            </w:tcBorders>
          </w:tcPr>
          <w:p w14:paraId="50B0B93F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Supplementary Figure 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. qRT-PCR analysis of cell-cycle- and apoptosis-related genes in SW1990 cells under high-fat conditions.</w:t>
            </w:r>
          </w:p>
          <w:p w14:paraId="20BB864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360" w:lineRule="auto"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Relative mRNA expression levels of cell-cycle-related genes, including CyclinA, CyclinB, CyclinD, and CyclinE, in different treatment groups.</w:t>
            </w:r>
          </w:p>
          <w:p w14:paraId="45399B7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Relative mRNA expression levels of apoptosis-related genes, including Bax, Bcl-2, and Caspase-3. Gene expression levels were calculated using the 2^-ΔΔCt method and normalized to the Control group. </w:t>
            </w:r>
          </w:p>
          <w:p w14:paraId="3461F41F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line="360" w:lineRule="auto"/>
              <w:ind w:leftChars="0"/>
              <w:jc w:val="both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Data are presented as mean ± SD (n = 3). ns, not significant; *P &lt; 0.05; **P &lt; 0.01; ***P &lt; 0.001.</w:t>
            </w:r>
          </w:p>
        </w:tc>
      </w:tr>
    </w:tbl>
    <w:p w14:paraId="7B5FFC79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E55AFF"/>
    <w:multiLevelType w:val="singleLevel"/>
    <w:tmpl w:val="CBE55AF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3C58DB24"/>
    <w:multiLevelType w:val="singleLevel"/>
    <w:tmpl w:val="3C58DB24"/>
    <w:lvl w:ilvl="0" w:tentative="0">
      <w:start w:val="1"/>
      <w:numFmt w:val="upperLetter"/>
      <w:suff w:val="space"/>
      <w:lvlText w:val="(%1)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404B49"/>
    <w:rsid w:val="35B7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2026-05-02T16:30:52Z</dcterms:created>
  <dc:creator>sandy</dc:creator>
  <cp:lastModifiedBy>周医生工作室</cp:lastModifiedBy>
  <dcterms:modified xsi:type="dcterms:W3CDTF">2026-05-02T16:47:12Z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eyJoZGlkIjoiOTc3M2Y5NzIzMDFlZjAyY2Q4Njk5ODkyYjFjNzBiNTQiLCJ1c2VySWQiOiIxNDc0MjQ0MjYxIn0=</vt:lpwstr>
  </property>
  <property fmtid="{D5CDD505-2E9C-101B-9397-08002B2CF9AE}" pid="4" name="ICV">
    <vt:lpwstr>3EF1C96971574607BF1D428CE129757E_12</vt:lpwstr>
  </property>
</Properties>
</file>