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Additional file 1. Supplementary Tables and Figures</w:t>
      </w:r>
    </w:p>
    <w:p>
      <w:pPr>
        <w:jc w:val="center"/>
      </w:pPr>
      <w:r>
        <w:rPr>
          <w:i/>
        </w:rPr>
        <w:t>Supplementary materials for the BMC Geriatrics submission</w:t>
      </w:r>
    </w:p>
    <w:p>
      <w:r>
        <w:t>This final supplementary file contains Tables S1-S11 and Figures S1-S14, matching the Additional file description and in-text citations in the main manuscript. Superseded diagnostic outputs are retained only as source data or archived files and are not part of the formal Additional file 1 content.</w:t>
      </w:r>
    </w:p>
    <w:p>
      <w:pPr>
        <w:pStyle w:val="Heading1"/>
      </w:pPr>
      <w:r>
        <w:t>Supplementary Tables</w:t>
      </w:r>
    </w:p>
    <w:p>
      <w:pPr>
        <w:pStyle w:val="Heading2"/>
      </w:pPr>
      <w:r>
        <w:t>Table S1. Covariate usage map by analysis layer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  <w:vAlign w:val="center"/>
            <w:shd w:fill="D9EAF7"/>
          </w:tcPr>
          <w:p>
            <w:r/>
            <w:r>
              <w:rPr>
                <w:rFonts w:ascii="Arial" w:hAnsi="Arial" w:eastAsia="Arial"/>
                <w:b/>
                <w:sz w:val="13"/>
              </w:rPr>
              <w:t>Variable</w:t>
            </w:r>
          </w:p>
        </w:tc>
        <w:tc>
          <w:tcPr>
            <w:tcW w:type="dxa" w:w="1728"/>
            <w:vAlign w:val="center"/>
            <w:shd w:fill="D9EAF7"/>
          </w:tcPr>
          <w:p>
            <w:r/>
            <w:r>
              <w:rPr>
                <w:rFonts w:ascii="Arial" w:hAnsi="Arial" w:eastAsia="Arial"/>
                <w:b/>
                <w:sz w:val="13"/>
              </w:rPr>
              <w:t>Label</w:t>
            </w:r>
          </w:p>
        </w:tc>
        <w:tc>
          <w:tcPr>
            <w:tcW w:type="dxa" w:w="1728"/>
            <w:vAlign w:val="center"/>
            <w:shd w:fill="D9EAF7"/>
          </w:tcPr>
          <w:p>
            <w:r>
              <w:t>Layer 1 (GBDTM)</w:t>
            </w:r>
            <w:r>
              <w:rPr>
                <w:rFonts w:ascii="Arial" w:hAnsi="Arial" w:eastAsia="Arial"/>
                <w:b/>
                <w:sz w:val="13"/>
              </w:rPr>
            </w:r>
          </w:p>
        </w:tc>
        <w:tc>
          <w:tcPr>
            <w:tcW w:type="dxa" w:w="1728"/>
            <w:vAlign w:val="center"/>
            <w:shd w:fill="D9EAF7"/>
          </w:tcPr>
          <w:p>
            <w:r>
              <w:t>Layer 2 (PSM)</w:t>
            </w:r>
            <w:r>
              <w:rPr>
                <w:rFonts w:ascii="Arial" w:hAnsi="Arial" w:eastAsia="Arial"/>
                <w:b/>
                <w:sz w:val="13"/>
              </w:rPr>
            </w:r>
          </w:p>
        </w:tc>
        <w:tc>
          <w:tcPr>
            <w:tcW w:type="dxa" w:w="1728"/>
            <w:vAlign w:val="center"/>
            <w:shd w:fill="D9EAF7"/>
          </w:tcPr>
          <w:p>
            <w:r>
              <w:t>Layer 2 (DID adj.)</w:t>
            </w:r>
            <w:r>
              <w:rPr>
                <w:rFonts w:ascii="Arial" w:hAnsi="Arial" w:eastAsia="Arial"/>
                <w:b/>
                <w:sz w:val="13"/>
              </w:rPr>
            </w:r>
          </w:p>
        </w:tc>
        <w:tc>
          <w:tcPr>
            <w:tcW w:type="dxa" w:w="1728"/>
            <w:vAlign w:val="center"/>
            <w:shd w:fill="D9EAF7"/>
          </w:tcPr>
          <w:p>
            <w:r>
              <w:t>Layer 3 (ML)</w:t>
            </w:r>
            <w:r>
              <w:rPr>
                <w:rFonts w:ascii="Arial" w:hAnsi="Arial" w:eastAsia="Arial"/>
                <w:b/>
                <w:sz w:val="13"/>
              </w:rPr>
            </w:r>
          </w:p>
        </w:tc>
      </w:tr>
      <w:tr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adlab_c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Baseline ADL score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Outcome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Yes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Yes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Yes</w:t>
            </w:r>
          </w:p>
        </w:tc>
      </w:tr>
      <w:tr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age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Age (years)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Yes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Yes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Yes</w:t>
            </w:r>
          </w:p>
        </w:tc>
      </w:tr>
      <w:tr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arthre_b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Arthritis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Yes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Yes</w:t>
            </w:r>
          </w:p>
        </w:tc>
      </w:tr>
      <w:tr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asthmae_b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Asthma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Yes</w:t>
            </w:r>
          </w:p>
        </w:tc>
      </w:tr>
      <w:tr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cancre_b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Cancer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Yes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Yes</w:t>
            </w:r>
          </w:p>
        </w:tc>
      </w:tr>
      <w:tr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cesd10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CESD-10 depression score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Yes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Yes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Yes</w:t>
            </w:r>
          </w:p>
        </w:tc>
      </w:tr>
      <w:tr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diabe_b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Diabetes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Yes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Yes</w:t>
            </w:r>
          </w:p>
        </w:tc>
      </w:tr>
      <w:tr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digeste_b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Digestive disease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Yes</w:t>
            </w:r>
          </w:p>
        </w:tc>
      </w:tr>
      <w:tr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doctor_b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Outpatient visit (baseline)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Yes</w:t>
            </w:r>
          </w:p>
        </w:tc>
      </w:tr>
      <w:tr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drink_ever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Ever drank alcohol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Yes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Yes</w:t>
            </w:r>
          </w:p>
        </w:tc>
      </w:tr>
      <w:tr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dyslipe_b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Dyslipidemia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Yes</w:t>
            </w:r>
          </w:p>
        </w:tc>
      </w:tr>
      <w:tr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edu_level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Education level (0-4)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Yes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Yes</w:t>
            </w:r>
          </w:p>
        </w:tc>
      </w:tr>
      <w:tr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executive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Executive function score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Yes</w:t>
            </w:r>
          </w:p>
        </w:tc>
      </w:tr>
      <w:tr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exercise_b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Regular exercise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Yes</w:t>
            </w:r>
          </w:p>
        </w:tc>
      </w:tr>
      <w:tr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family_size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Family size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Yes</w:t>
            </w:r>
          </w:p>
        </w:tc>
      </w:tr>
      <w:tr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has_insurance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Health insurance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Yes</w:t>
            </w:r>
          </w:p>
        </w:tc>
      </w:tr>
      <w:tr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hchild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Number of children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Yes</w:t>
            </w:r>
          </w:p>
        </w:tc>
      </w:tr>
      <w:tr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hearte_b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Heart disease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Yes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Yes</w:t>
            </w:r>
          </w:p>
        </w:tc>
      </w:tr>
      <w:tr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hibpe_b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Hypertension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Yes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Yes</w:t>
            </w:r>
          </w:p>
        </w:tc>
      </w:tr>
      <w:tr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hospital_b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Hospitalized (baseline)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</w:t>
            </w:r>
          </w:p>
        </w:tc>
      </w:tr>
      <w:tr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iadl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IADL score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Yes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Yes</w:t>
            </w:r>
          </w:p>
        </w:tc>
      </w:tr>
      <w:tr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is_rural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Rural residence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Yes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Yes</w:t>
            </w:r>
          </w:p>
        </w:tc>
      </w:tr>
      <w:tr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kidneye_b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Kidney disease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Yes</w:t>
            </w:r>
          </w:p>
        </w:tc>
      </w:tr>
      <w:tr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livere_b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Liver disease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Yes</w:t>
            </w:r>
          </w:p>
        </w:tc>
      </w:tr>
      <w:tr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lunge_b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Lung disease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Yes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Yes</w:t>
            </w:r>
          </w:p>
        </w:tc>
      </w:tr>
      <w:tr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male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Male sex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Yes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Yes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Yes</w:t>
            </w:r>
          </w:p>
        </w:tc>
      </w:tr>
      <w:tr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married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Married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Yes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Yes</w:t>
            </w:r>
          </w:p>
        </w:tc>
      </w:tr>
      <w:tr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memeory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Memory score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Yes</w:t>
            </w:r>
          </w:p>
        </w:tc>
      </w:tr>
      <w:tr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memrye_b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Memory-related disease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Yes</w:t>
            </w:r>
          </w:p>
        </w:tc>
      </w:tr>
      <w:tr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n_chronic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Number of chronic diseases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Yes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Yes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Yes</w:t>
            </w:r>
          </w:p>
        </w:tc>
      </w:tr>
      <w:tr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psyche_b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Psychiatric disorder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Yes</w:t>
            </w:r>
          </w:p>
        </w:tc>
      </w:tr>
      <w:tr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sleep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Sleep hours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Yes</w:t>
            </w:r>
          </w:p>
        </w:tc>
      </w:tr>
      <w:tr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smoke_ever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Ever smoked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Yes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Yes</w:t>
            </w:r>
          </w:p>
        </w:tc>
      </w:tr>
      <w:tr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stroke_b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Stroke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Yes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Yes</w:t>
            </w:r>
          </w:p>
        </w:tc>
      </w:tr>
      <w:tr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total_cognition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Total cognition score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Outcome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Yes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Yes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Yes</w:t>
            </w:r>
          </w:p>
        </w:tc>
      </w:tr>
    </w:tbl>
    <w:p>
      <w:pPr>
        <w:pStyle w:val="Normal"/>
      </w:pPr>
      <w:r>
        <w:rPr>
          <w:b/>
          <w:sz w:val="20"/>
        </w:rPr>
        <w:t xml:space="preserve">Table S1.</w:t>
      </w:r>
      <w:r>
        <w:rPr>
          <w:sz w:val="20"/>
        </w:rPr>
        <w:t xml:space="preserve"> Covariate usage map across the three analytical layers (GBDTM, PSM-DID, ML). Rows list all covariates; columns indicate inclusion in each analysis.</w:t>
      </w:r>
    </w:p>
    <w:p>
      <w:pPr>
        <w:pStyle w:val="Heading2"/>
      </w:pPr>
      <w:r>
        <w:t>Table S2. Standardized mean differences between trajectory classes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vAlign w:val="center"/>
            <w:shd w:fill="D9EAF7"/>
          </w:tcPr>
          <w:p>
            <w:r/>
            <w:r>
              <w:rPr>
                <w:rFonts w:ascii="Arial" w:hAnsi="Arial" w:eastAsia="Arial"/>
                <w:b/>
                <w:sz w:val="13"/>
              </w:rPr>
              <w:t>Variable</w:t>
            </w:r>
          </w:p>
        </w:tc>
        <w:tc>
          <w:tcPr>
            <w:tcW w:type="dxa" w:w="2592"/>
            <w:vAlign w:val="center"/>
            <w:shd w:fill="D9EAF7"/>
          </w:tcPr>
          <w:p>
            <w:r/>
            <w:r>
              <w:rPr>
                <w:rFonts w:ascii="Arial" w:hAnsi="Arial" w:eastAsia="Arial"/>
                <w:b/>
                <w:sz w:val="13"/>
              </w:rPr>
              <w:t>SMD (1 vs 2)</w:t>
            </w:r>
          </w:p>
        </w:tc>
        <w:tc>
          <w:tcPr>
            <w:tcW w:type="dxa" w:w="2592"/>
            <w:vAlign w:val="center"/>
            <w:shd w:fill="D9EAF7"/>
          </w:tcPr>
          <w:p>
            <w:r/>
            <w:r>
              <w:rPr>
                <w:rFonts w:ascii="Arial" w:hAnsi="Arial" w:eastAsia="Arial"/>
                <w:b/>
                <w:sz w:val="13"/>
              </w:rPr>
              <w:t>SMD (1 vs 3)</w:t>
            </w:r>
          </w:p>
        </w:tc>
        <w:tc>
          <w:tcPr>
            <w:tcW w:type="dxa" w:w="2592"/>
            <w:vAlign w:val="center"/>
            <w:shd w:fill="D9EAF7"/>
          </w:tcPr>
          <w:p>
            <w:r/>
            <w:r>
              <w:rPr>
                <w:rFonts w:ascii="Arial" w:hAnsi="Arial" w:eastAsia="Arial"/>
                <w:b/>
                <w:sz w:val="13"/>
              </w:rPr>
              <w:t>SMD (2 vs 3)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Age (years)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0.149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-0.254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-0.407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Baseline ADL score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0.596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-0.41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-1.054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IADL score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0.481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-0.388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-0.843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Total cognition score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-0.456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0.064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0.518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Memory score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-0.296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0.09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0.382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Executive function score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-0.39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0.026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0.429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CESD-10 depression score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0.582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0.041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-0.563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Number of chronic diseases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0.219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-0.219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-0.452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Sleep hours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-0.236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-0.206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Family size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-0.082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0.129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0.23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Number of children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0.227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-0.06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-0.286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Male sex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-0.108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-0.097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0.011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Married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-0.229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-0.08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0.149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Rural residence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0.392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0.194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-0.194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Hypertension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0.104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0.033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-0.071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Diabetes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0.01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0.028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0.018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Heart disease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0.035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0.071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0.036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Stroke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0.217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-0.41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-0.611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Lung disease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0.024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-0.084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-0.108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Arthritis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0.368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0.054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-0.312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Cancer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-0.102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-0.181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-0.087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Psychiatric disorder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0.097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0.063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-0.034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Dyslipidemia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-0.154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-0.219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-0.065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Liver disease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-0.049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-0.035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0.014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Kidney disease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-0.056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-0.121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-0.065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Digestive disease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0.096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0.13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0.035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Asthma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0.043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-0.101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-0.143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Memory-related disease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-0.038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-0.415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-0.386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Ever smoked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0.037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-0.107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-0.144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Ever drank alcohol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0.002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-0.031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-0.033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Regular exercise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-0.049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0.164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0.214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Health insurance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-0.043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-0.027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0.016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Outpatient visit (baseline)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0.218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0.14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-0.078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Hospitalized (baseline)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Education level (0-4)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-0.382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0.006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0.397</w:t>
            </w:r>
          </w:p>
        </w:tc>
      </w:tr>
    </w:tbl>
    <w:p>
      <w:pPr>
        <w:pStyle w:val="Normal"/>
      </w:pPr>
      <w:r>
        <w:rPr>
          <w:b/>
          <w:sz w:val="20"/>
        </w:rPr>
        <w:t xml:space="preserve">Table S2.</w:t>
      </w:r>
      <w:r>
        <w:rPr>
          <w:sz w:val="20"/>
        </w:rPr>
        <w:t xml:space="preserve"> Standardized mean differences (SMD) of baseline characteristics between trajectory classes. Values &gt; 0.10 indicate meaningful imbalance.</w:t>
      </w:r>
    </w:p>
    <w:p>
      <w:pPr>
        <w:pStyle w:val="Heading2"/>
      </w:pPr>
      <w:r>
        <w:t>Table S3. GBDTM model adequacy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37"/>
        <w:gridCol w:w="1037"/>
        <w:gridCol w:w="1037"/>
        <w:gridCol w:w="1037"/>
        <w:gridCol w:w="1037"/>
        <w:gridCol w:w="1037"/>
        <w:gridCol w:w="1037"/>
        <w:gridCol w:w="1037"/>
        <w:gridCol w:w="1037"/>
        <w:gridCol w:w="1037"/>
      </w:tblGrid>
      <w:tr>
        <w:tc>
          <w:tcPr>
            <w:tcW w:type="dxa" w:w="1037"/>
            <w:vAlign w:val="center"/>
            <w:shd w:fill="D9EAF7"/>
          </w:tcPr>
          <w:p>
            <w:r>
              <w:t>Number of classes</w:t>
            </w:r>
            <w:r>
              <w:rPr>
                <w:rFonts w:ascii="Arial" w:hAnsi="Arial" w:eastAsia="Arial"/>
                <w:b/>
                <w:sz w:val="13"/>
              </w:rPr>
            </w:r>
          </w:p>
        </w:tc>
        <w:tc>
          <w:tcPr>
            <w:tcW w:type="dxa" w:w="1037"/>
            <w:vAlign w:val="center"/>
            <w:shd w:fill="D9EAF7"/>
          </w:tcPr>
          <w:p>
            <w:r>
              <w:t>Log-likelihood</w:t>
            </w:r>
            <w:r>
              <w:rPr>
                <w:rFonts w:ascii="Arial" w:hAnsi="Arial" w:eastAsia="Arial"/>
                <w:b/>
                <w:sz w:val="13"/>
              </w:rPr>
            </w:r>
          </w:p>
        </w:tc>
        <w:tc>
          <w:tcPr>
            <w:tcW w:type="dxa" w:w="1037"/>
            <w:vAlign w:val="center"/>
            <w:shd w:fill="D9EAF7"/>
          </w:tcPr>
          <w:p>
            <w:r/>
            <w:r>
              <w:rPr>
                <w:rFonts w:ascii="Arial" w:hAnsi="Arial" w:eastAsia="Arial"/>
                <w:b/>
                <w:sz w:val="13"/>
              </w:rPr>
              <w:t>BIC</w:t>
            </w:r>
          </w:p>
        </w:tc>
        <w:tc>
          <w:tcPr>
            <w:tcW w:type="dxa" w:w="1037"/>
            <w:vAlign w:val="center"/>
            <w:shd w:fill="D9EAF7"/>
          </w:tcPr>
          <w:p>
            <w:r/>
            <w:r>
              <w:rPr>
                <w:rFonts w:ascii="Arial" w:hAnsi="Arial" w:eastAsia="Arial"/>
                <w:b/>
                <w:sz w:val="13"/>
              </w:rPr>
              <w:t>AIC</w:t>
            </w:r>
          </w:p>
        </w:tc>
        <w:tc>
          <w:tcPr>
            <w:tcW w:type="dxa" w:w="1037"/>
            <w:vAlign w:val="center"/>
            <w:shd w:fill="D9EAF7"/>
          </w:tcPr>
          <w:p>
            <w:r>
              <w:t>Number of parameters</w:t>
            </w:r>
            <w:r>
              <w:rPr>
                <w:rFonts w:ascii="Arial" w:hAnsi="Arial" w:eastAsia="Arial"/>
                <w:b/>
                <w:sz w:val="13"/>
              </w:rPr>
            </w:r>
          </w:p>
        </w:tc>
        <w:tc>
          <w:tcPr>
            <w:tcW w:type="dxa" w:w="1037"/>
            <w:vAlign w:val="center"/>
            <w:shd w:fill="D9EAF7"/>
          </w:tcPr>
          <w:p>
            <w:r>
              <w:t>Convergence code</w:t>
            </w:r>
            <w:r>
              <w:rPr>
                <w:rFonts w:ascii="Arial" w:hAnsi="Arial" w:eastAsia="Arial"/>
                <w:b/>
                <w:sz w:val="13"/>
              </w:rPr>
            </w:r>
          </w:p>
        </w:tc>
        <w:tc>
          <w:tcPr>
            <w:tcW w:type="dxa" w:w="1037"/>
            <w:vAlign w:val="center"/>
            <w:shd w:fill="D9EAF7"/>
          </w:tcPr>
          <w:p>
            <w:r>
              <w:t>APPA overall</w:t>
            </w:r>
            <w:r>
              <w:rPr>
                <w:rFonts w:ascii="Arial" w:hAnsi="Arial" w:eastAsia="Arial"/>
                <w:b/>
                <w:sz w:val="13"/>
              </w:rPr>
            </w:r>
          </w:p>
        </w:tc>
        <w:tc>
          <w:tcPr>
            <w:tcW w:type="dxa" w:w="1037"/>
            <w:vAlign w:val="center"/>
            <w:shd w:fill="D9EAF7"/>
          </w:tcPr>
          <w:p>
            <w:r/>
            <w:r>
              <w:rPr>
                <w:rFonts w:ascii="Arial" w:hAnsi="Arial" w:eastAsia="Arial"/>
                <w:b/>
                <w:sz w:val="13"/>
              </w:rPr>
              <w:t>entropy</w:t>
            </w:r>
          </w:p>
        </w:tc>
        <w:tc>
          <w:tcPr>
            <w:tcW w:type="dxa" w:w="1037"/>
            <w:vAlign w:val="center"/>
            <w:shd w:fill="D9EAF7"/>
          </w:tcPr>
          <w:p>
            <w:r>
              <w:t>Min class N</w:t>
            </w:r>
            <w:r>
              <w:rPr>
                <w:rFonts w:ascii="Arial" w:hAnsi="Arial" w:eastAsia="Arial"/>
                <w:b/>
                <w:sz w:val="13"/>
              </w:rPr>
            </w:r>
          </w:p>
        </w:tc>
        <w:tc>
          <w:tcPr>
            <w:tcW w:type="dxa" w:w="1037"/>
            <w:vAlign w:val="center"/>
            <w:shd w:fill="D9EAF7"/>
          </w:tcPr>
          <w:p>
            <w:r>
              <w:t>Min class %</w:t>
            </w:r>
            <w:r>
              <w:rPr>
                <w:rFonts w:ascii="Arial" w:hAnsi="Arial" w:eastAsia="Arial"/>
                <w:b/>
                <w:sz w:val="13"/>
              </w:rPr>
            </w:r>
          </w:p>
        </w:tc>
      </w:tr>
      <w:tr>
        <w:tc>
          <w:tcPr>
            <w:tcW w:type="dxa" w:w="1037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1</w:t>
            </w:r>
          </w:p>
        </w:tc>
        <w:tc>
          <w:tcPr>
            <w:tcW w:type="dxa" w:w="1037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-27107.22</w:t>
            </w:r>
          </w:p>
        </w:tc>
        <w:tc>
          <w:tcPr>
            <w:tcW w:type="dxa" w:w="1037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54289</w:t>
            </w:r>
          </w:p>
        </w:tc>
        <w:tc>
          <w:tcPr>
            <w:tcW w:type="dxa" w:w="1037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54234.43</w:t>
            </w:r>
          </w:p>
        </w:tc>
        <w:tc>
          <w:tcPr>
            <w:tcW w:type="dxa" w:w="1037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10</w:t>
            </w:r>
          </w:p>
        </w:tc>
        <w:tc>
          <w:tcPr>
            <w:tcW w:type="dxa" w:w="1037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2</w:t>
            </w:r>
          </w:p>
        </w:tc>
        <w:tc>
          <w:tcPr>
            <w:tcW w:type="dxa" w:w="1037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NA</w:t>
            </w:r>
          </w:p>
        </w:tc>
        <w:tc>
          <w:tcPr>
            <w:tcW w:type="dxa" w:w="1037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NA</w:t>
            </w:r>
          </w:p>
        </w:tc>
        <w:tc>
          <w:tcPr>
            <w:tcW w:type="dxa" w:w="1037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NA</w:t>
            </w:r>
          </w:p>
        </w:tc>
        <w:tc>
          <w:tcPr>
            <w:tcW w:type="dxa" w:w="1037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100</w:t>
            </w:r>
          </w:p>
        </w:tc>
      </w:tr>
      <w:tr>
        <w:tc>
          <w:tcPr>
            <w:tcW w:type="dxa" w:w="1037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2</w:t>
            </w:r>
          </w:p>
        </w:tc>
        <w:tc>
          <w:tcPr>
            <w:tcW w:type="dxa" w:w="1037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-26648.89</w:t>
            </w:r>
          </w:p>
        </w:tc>
        <w:tc>
          <w:tcPr>
            <w:tcW w:type="dxa" w:w="1037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53402</w:t>
            </w:r>
          </w:p>
        </w:tc>
        <w:tc>
          <w:tcPr>
            <w:tcW w:type="dxa" w:w="1037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53325.79</w:t>
            </w:r>
          </w:p>
        </w:tc>
        <w:tc>
          <w:tcPr>
            <w:tcW w:type="dxa" w:w="1037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14</w:t>
            </w:r>
          </w:p>
        </w:tc>
        <w:tc>
          <w:tcPr>
            <w:tcW w:type="dxa" w:w="1037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2</w:t>
            </w:r>
          </w:p>
        </w:tc>
        <w:tc>
          <w:tcPr>
            <w:tcW w:type="dxa" w:w="1037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0.9852</w:t>
            </w:r>
          </w:p>
        </w:tc>
        <w:tc>
          <w:tcPr>
            <w:tcW w:type="dxa" w:w="1037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0.9479</w:t>
            </w:r>
          </w:p>
        </w:tc>
        <w:tc>
          <w:tcPr>
            <w:tcW w:type="dxa" w:w="1037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173</w:t>
            </w:r>
          </w:p>
        </w:tc>
        <w:tc>
          <w:tcPr>
            <w:tcW w:type="dxa" w:w="1037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10</w:t>
            </w:r>
          </w:p>
        </w:tc>
      </w:tr>
      <w:tr>
        <w:tc>
          <w:tcPr>
            <w:tcW w:type="dxa" w:w="1037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3</w:t>
            </w:r>
          </w:p>
        </w:tc>
        <w:tc>
          <w:tcPr>
            <w:tcW w:type="dxa" w:w="1037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-26386.11</w:t>
            </w:r>
          </w:p>
        </w:tc>
        <w:tc>
          <w:tcPr>
            <w:tcW w:type="dxa" w:w="1037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52906</w:t>
            </w:r>
          </w:p>
        </w:tc>
        <w:tc>
          <w:tcPr>
            <w:tcW w:type="dxa" w:w="1037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52808.21</w:t>
            </w:r>
          </w:p>
        </w:tc>
        <w:tc>
          <w:tcPr>
            <w:tcW w:type="dxa" w:w="1037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18</w:t>
            </w:r>
          </w:p>
        </w:tc>
        <w:tc>
          <w:tcPr>
            <w:tcW w:type="dxa" w:w="1037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2</w:t>
            </w:r>
          </w:p>
        </w:tc>
        <w:tc>
          <w:tcPr>
            <w:tcW w:type="dxa" w:w="1037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0.961</w:t>
            </w:r>
          </w:p>
        </w:tc>
        <w:tc>
          <w:tcPr>
            <w:tcW w:type="dxa" w:w="1037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0.9044</w:t>
            </w:r>
          </w:p>
        </w:tc>
        <w:tc>
          <w:tcPr>
            <w:tcW w:type="dxa" w:w="1037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124</w:t>
            </w:r>
          </w:p>
        </w:tc>
        <w:tc>
          <w:tcPr>
            <w:tcW w:type="dxa" w:w="1037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7.1</w:t>
            </w:r>
          </w:p>
        </w:tc>
      </w:tr>
      <w:tr>
        <w:tc>
          <w:tcPr>
            <w:tcW w:type="dxa" w:w="1037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4</w:t>
            </w:r>
          </w:p>
        </w:tc>
        <w:tc>
          <w:tcPr>
            <w:tcW w:type="dxa" w:w="1037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-26385.45</w:t>
            </w:r>
          </w:p>
        </w:tc>
        <w:tc>
          <w:tcPr>
            <w:tcW w:type="dxa" w:w="1037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52935</w:t>
            </w:r>
          </w:p>
        </w:tc>
        <w:tc>
          <w:tcPr>
            <w:tcW w:type="dxa" w:w="1037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52814.9</w:t>
            </w:r>
          </w:p>
        </w:tc>
        <w:tc>
          <w:tcPr>
            <w:tcW w:type="dxa" w:w="1037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22</w:t>
            </w:r>
          </w:p>
        </w:tc>
        <w:tc>
          <w:tcPr>
            <w:tcW w:type="dxa" w:w="1037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2</w:t>
            </w:r>
          </w:p>
        </w:tc>
        <w:tc>
          <w:tcPr>
            <w:tcW w:type="dxa" w:w="1037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0.6384</w:t>
            </w:r>
          </w:p>
        </w:tc>
        <w:tc>
          <w:tcPr>
            <w:tcW w:type="dxa" w:w="1037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0.5235</w:t>
            </w:r>
          </w:p>
        </w:tc>
        <w:tc>
          <w:tcPr>
            <w:tcW w:type="dxa" w:w="1037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129</w:t>
            </w:r>
          </w:p>
        </w:tc>
        <w:tc>
          <w:tcPr>
            <w:tcW w:type="dxa" w:w="1037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7.4</w:t>
            </w:r>
          </w:p>
        </w:tc>
      </w:tr>
    </w:tbl>
    <w:p>
      <w:pPr>
        <w:pStyle w:val="Normal"/>
      </w:pPr>
      <w:r>
        <w:rPr>
          <w:b/>
          <w:sz w:val="20"/>
        </w:rPr>
        <w:t xml:space="preserve">Table S3.</w:t>
      </w:r>
      <w:r>
        <w:rPr>
          <w:sz w:val="20"/>
        </w:rPr>
        <w:t xml:space="preserve"> GBDTM model adequacy diagnostics for the three-class solution, including APPA, entropy, OCC, and class-specific posterior probabilities.</w:t>
      </w:r>
    </w:p>
    <w:p>
      <w:pPr>
        <w:pStyle w:val="Heading2"/>
      </w:pPr>
      <w:r>
        <w:t>Table S4. GBDTM classification table for the three-class solution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296"/>
        <w:gridCol w:w="1296"/>
        <w:gridCol w:w="1296"/>
        <w:gridCol w:w="1296"/>
        <w:gridCol w:w="1296"/>
        <w:gridCol w:w="1296"/>
        <w:gridCol w:w="1296"/>
        <w:gridCol w:w="1296"/>
      </w:tblGrid>
      <w:tr>
        <w:tc>
          <w:tcPr>
            <w:tcW w:type="dxa" w:w="1296"/>
            <w:vAlign w:val="center"/>
            <w:shd w:fill="D9EAF7"/>
          </w:tcPr>
          <w:p>
            <w:r>
              <w:t>Assigned class</w:t>
            </w:r>
            <w:r>
              <w:rPr>
                <w:rFonts w:ascii="Arial" w:hAnsi="Arial" w:eastAsia="Arial"/>
                <w:b/>
                <w:sz w:val="13"/>
              </w:rPr>
            </w:r>
          </w:p>
        </w:tc>
        <w:tc>
          <w:tcPr>
            <w:tcW w:type="dxa" w:w="1296"/>
            <w:vAlign w:val="center"/>
            <w:shd w:fill="D9EAF7"/>
          </w:tcPr>
          <w:p>
            <w:r/>
            <w:r>
              <w:rPr>
                <w:rFonts w:ascii="Arial" w:hAnsi="Arial" w:eastAsia="Arial"/>
                <w:b/>
                <w:sz w:val="13"/>
              </w:rPr>
              <w:t>n</w:t>
            </w:r>
          </w:p>
        </w:tc>
        <w:tc>
          <w:tcPr>
            <w:tcW w:type="dxa" w:w="1296"/>
            <w:vAlign w:val="center"/>
            <w:shd w:fill="D9EAF7"/>
          </w:tcPr>
          <w:p>
            <w:r/>
            <w:r>
              <w:rPr>
                <w:rFonts w:ascii="Arial" w:hAnsi="Arial" w:eastAsia="Arial"/>
                <w:b/>
                <w:sz w:val="13"/>
              </w:rPr>
              <w:t>pct</w:t>
            </w:r>
          </w:p>
        </w:tc>
        <w:tc>
          <w:tcPr>
            <w:tcW w:type="dxa" w:w="1296"/>
            <w:vAlign w:val="center"/>
            <w:shd w:fill="D9EAF7"/>
          </w:tcPr>
          <w:p>
            <w:r/>
            <w:r>
              <w:rPr>
                <w:rFonts w:ascii="Arial" w:hAnsi="Arial" w:eastAsia="Arial"/>
                <w:b/>
                <w:sz w:val="13"/>
              </w:rPr>
              <w:t>APPA</w:t>
            </w:r>
          </w:p>
        </w:tc>
        <w:tc>
          <w:tcPr>
            <w:tcW w:type="dxa" w:w="1296"/>
            <w:vAlign w:val="center"/>
            <w:shd w:fill="D9EAF7"/>
          </w:tcPr>
          <w:p>
            <w:r/>
            <w:r>
              <w:rPr>
                <w:rFonts w:ascii="Arial" w:hAnsi="Arial" w:eastAsia="Arial"/>
                <w:b/>
                <w:sz w:val="13"/>
              </w:rPr>
              <w:t>OCC</w:t>
            </w:r>
          </w:p>
        </w:tc>
        <w:tc>
          <w:tcPr>
            <w:tcW w:type="dxa" w:w="1296"/>
            <w:vAlign w:val="center"/>
            <w:shd w:fill="D9EAF7"/>
          </w:tcPr>
          <w:p>
            <w:r>
              <w:t>Mean P(Class 1)</w:t>
            </w:r>
            <w:r>
              <w:rPr>
                <w:rFonts w:ascii="Arial" w:hAnsi="Arial" w:eastAsia="Arial"/>
                <w:b/>
                <w:sz w:val="13"/>
              </w:rPr>
            </w:r>
          </w:p>
        </w:tc>
        <w:tc>
          <w:tcPr>
            <w:tcW w:type="dxa" w:w="1296"/>
            <w:vAlign w:val="center"/>
            <w:shd w:fill="D9EAF7"/>
          </w:tcPr>
          <w:p>
            <w:r>
              <w:t>Mean P(Class 2)</w:t>
            </w:r>
            <w:r>
              <w:rPr>
                <w:rFonts w:ascii="Arial" w:hAnsi="Arial" w:eastAsia="Arial"/>
                <w:b/>
                <w:sz w:val="13"/>
              </w:rPr>
            </w:r>
          </w:p>
        </w:tc>
        <w:tc>
          <w:tcPr>
            <w:tcW w:type="dxa" w:w="1296"/>
            <w:vAlign w:val="center"/>
            <w:shd w:fill="D9EAF7"/>
          </w:tcPr>
          <w:p>
            <w:r>
              <w:t>Mean P(Class 3)</w:t>
            </w:r>
            <w:r>
              <w:rPr>
                <w:rFonts w:ascii="Arial" w:hAnsi="Arial" w:eastAsia="Arial"/>
                <w:b/>
                <w:sz w:val="13"/>
              </w:rPr>
            </w:r>
          </w:p>
        </w:tc>
      </w:tr>
      <w:tr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1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145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8.3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0.8788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79.6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0.8788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0.0851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0.0361</w:t>
            </w:r>
          </w:p>
        </w:tc>
      </w:tr>
      <w:tr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2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1468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84.5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0.9698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5.9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0.0267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0.9698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0.0036</w:t>
            </w:r>
          </w:p>
        </w:tc>
      </w:tr>
      <w:tr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3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124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7.1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0.9528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262.8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0.0276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0.0196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0.9528</w:t>
            </w:r>
          </w:p>
        </w:tc>
      </w:tr>
    </w:tbl>
    <w:p>
      <w:pPr>
        <w:pStyle w:val="Normal"/>
      </w:pPr>
      <w:r>
        <w:rPr>
          <w:b/>
          <w:sz w:val="20"/>
        </w:rPr>
        <w:t xml:space="preserve">Table S4.</w:t>
      </w:r>
      <w:r>
        <w:rPr>
          <w:sz w:val="20"/>
        </w:rPr>
        <w:t xml:space="preserve"> GBDTM classification table for the three-class solution (ng = 3). Rows show modal assignment; columns show posterior probability distributions.</w:t>
      </w:r>
    </w:p>
    <w:p>
      <w:pPr>
        <w:pStyle w:val="Heading2"/>
      </w:pPr>
      <w:r>
        <w:t>Table S5. Propensity score matching caliper sensitivity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481"/>
        <w:gridCol w:w="1481"/>
        <w:gridCol w:w="1481"/>
        <w:gridCol w:w="1481"/>
        <w:gridCol w:w="1481"/>
        <w:gridCol w:w="1481"/>
        <w:gridCol w:w="1481"/>
      </w:tblGrid>
      <w:tr>
        <w:tc>
          <w:tcPr>
            <w:tcW w:type="dxa" w:w="1481"/>
            <w:vAlign w:val="center"/>
            <w:shd w:fill="D9EAF7"/>
          </w:tcPr>
          <w:p>
            <w:r/>
            <w:r>
              <w:rPr>
                <w:rFonts w:ascii="Arial" w:hAnsi="Arial" w:eastAsia="Arial"/>
                <w:b/>
                <w:sz w:val="13"/>
              </w:rPr>
              <w:t>Caliper</w:t>
            </w:r>
          </w:p>
        </w:tc>
        <w:tc>
          <w:tcPr>
            <w:tcW w:type="dxa" w:w="1481"/>
            <w:vAlign w:val="center"/>
            <w:shd w:fill="D9EAF7"/>
          </w:tcPr>
          <w:p>
            <w:r>
              <w:t>N pairs</w:t>
            </w:r>
            <w:r>
              <w:rPr>
                <w:rFonts w:ascii="Arial" w:hAnsi="Arial" w:eastAsia="Arial"/>
                <w:b/>
                <w:sz w:val="13"/>
              </w:rPr>
            </w:r>
          </w:p>
        </w:tc>
        <w:tc>
          <w:tcPr>
            <w:tcW w:type="dxa" w:w="1481"/>
            <w:vAlign w:val="center"/>
            <w:shd w:fill="D9EAF7"/>
          </w:tcPr>
          <w:p>
            <w:r/>
            <w:r>
              <w:rPr>
                <w:rFonts w:ascii="Arial" w:hAnsi="Arial" w:eastAsia="Arial"/>
                <w:b/>
                <w:sz w:val="13"/>
              </w:rPr>
              <w:t>Outcome</w:t>
            </w:r>
          </w:p>
        </w:tc>
        <w:tc>
          <w:tcPr>
            <w:tcW w:type="dxa" w:w="1481"/>
            <w:vAlign w:val="center"/>
            <w:shd w:fill="D9EAF7"/>
          </w:tcPr>
          <w:p>
            <w:r>
              <w:t>DID estimate</w:t>
            </w:r>
            <w:r>
              <w:rPr>
                <w:rFonts w:ascii="Arial" w:hAnsi="Arial" w:eastAsia="Arial"/>
                <w:b/>
                <w:sz w:val="13"/>
              </w:rPr>
            </w:r>
          </w:p>
        </w:tc>
        <w:tc>
          <w:tcPr>
            <w:tcW w:type="dxa" w:w="1481"/>
            <w:vAlign w:val="center"/>
            <w:shd w:fill="D9EAF7"/>
          </w:tcPr>
          <w:p>
            <w:r>
              <w:t>SE</w:t>
            </w:r>
            <w:r>
              <w:rPr>
                <w:rFonts w:ascii="Arial" w:hAnsi="Arial" w:eastAsia="Arial"/>
                <w:b/>
                <w:sz w:val="13"/>
              </w:rPr>
            </w:r>
          </w:p>
        </w:tc>
        <w:tc>
          <w:tcPr>
            <w:tcW w:type="dxa" w:w="1481"/>
            <w:vAlign w:val="center"/>
            <w:shd w:fill="D9EAF7"/>
          </w:tcPr>
          <w:p>
            <w:r>
              <w:t>t statistic</w:t>
            </w:r>
            <w:r>
              <w:rPr>
                <w:rFonts w:ascii="Arial" w:hAnsi="Arial" w:eastAsia="Arial"/>
                <w:b/>
                <w:sz w:val="13"/>
              </w:rPr>
            </w:r>
          </w:p>
        </w:tc>
        <w:tc>
          <w:tcPr>
            <w:tcW w:type="dxa" w:w="1481"/>
            <w:vAlign w:val="center"/>
            <w:shd w:fill="D9EAF7"/>
          </w:tcPr>
          <w:p>
            <w:r>
              <w:t>P-value</w:t>
            </w:r>
            <w:r>
              <w:rPr>
                <w:rFonts w:ascii="Arial" w:hAnsi="Arial" w:eastAsia="Arial"/>
                <w:b/>
                <w:sz w:val="13"/>
              </w:rPr>
            </w:r>
          </w:p>
        </w:tc>
      </w:tr>
      <w:tr>
        <w:tc>
          <w:tcPr>
            <w:tcW w:type="dxa" w:w="1481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0.01</w:t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731</w:t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ADL</w:t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0.1573</w:t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0.0595</w:t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2.644</w:t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0.0083</w:t>
            </w:r>
          </w:p>
        </w:tc>
      </w:tr>
      <w:tr>
        <w:tc>
          <w:tcPr>
            <w:tcW w:type="dxa" w:w="1481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0.01</w:t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731</w:t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Cognition</w:t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-0.3358</w:t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0.1624</w:t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-2.068</w:t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0.0388</w:t>
            </w:r>
          </w:p>
        </w:tc>
      </w:tr>
      <w:tr>
        <w:tc>
          <w:tcPr>
            <w:tcW w:type="dxa" w:w="1481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0.02</w:t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739</w:t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ADL</w:t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0.1448</w:t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0.0591</w:t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2.449</w:t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0.0144</w:t>
            </w:r>
          </w:p>
        </w:tc>
      </w:tr>
      <w:tr>
        <w:tc>
          <w:tcPr>
            <w:tcW w:type="dxa" w:w="1481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0.02</w:t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739</w:t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Cognition</w:t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-0.3762</w:t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0.1612</w:t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-2.333</w:t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0.0198</w:t>
            </w:r>
          </w:p>
        </w:tc>
      </w:tr>
      <w:tr>
        <w:tc>
          <w:tcPr>
            <w:tcW w:type="dxa" w:w="1481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0.05</w:t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757</w:t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ADL</w:t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0.1295</w:t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0.058</w:t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2.232</w:t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0.0258</w:t>
            </w:r>
          </w:p>
        </w:tc>
      </w:tr>
      <w:tr>
        <w:tc>
          <w:tcPr>
            <w:tcW w:type="dxa" w:w="1481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0.05</w:t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757</w:t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Cognition</w:t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-0.3283</w:t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0.1599</w:t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-2.054</w:t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0.0402</w:t>
            </w:r>
          </w:p>
        </w:tc>
      </w:tr>
      <w:tr>
        <w:tc>
          <w:tcPr>
            <w:tcW w:type="dxa" w:w="1481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0.1</w:t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792</w:t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ADL</w:t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0.1174</w:t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0.0568</w:t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2.069</w:t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0.0387</w:t>
            </w:r>
          </w:p>
        </w:tc>
      </w:tr>
      <w:tr>
        <w:tc>
          <w:tcPr>
            <w:tcW w:type="dxa" w:w="1481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0.1</w:t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792</w:t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Cognition</w:t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-0.2841</w:t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0.1564</w:t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-1.817</w:t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0.0694</w:t>
            </w:r>
          </w:p>
        </w:tc>
      </w:tr>
      <w:tr>
        <w:tc>
          <w:tcPr>
            <w:tcW w:type="dxa" w:w="1481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None</w:t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816</w:t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ADL</w:t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0.125</w:t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0.0569</w:t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2.198</w:t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0.0281</w:t>
            </w:r>
          </w:p>
        </w:tc>
      </w:tr>
      <w:tr>
        <w:tc>
          <w:tcPr>
            <w:tcW w:type="dxa" w:w="1481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None</w:t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816</w:t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Cognition</w:t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-0.3775</w:t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0.1534</w:t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-2.461</w:t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0.014</w:t>
            </w:r>
          </w:p>
        </w:tc>
      </w:tr>
    </w:tbl>
    <w:p>
      <w:pPr>
        <w:pStyle w:val="Normal"/>
      </w:pPr>
      <w:r>
        <w:rPr>
          <w:b/>
          <w:sz w:val="20"/>
        </w:rPr>
        <w:t xml:space="preserve">Table S5.</w:t>
      </w:r>
      <w:r>
        <w:rPr>
          <w:sz w:val="20"/>
        </w:rPr>
        <w:t xml:space="preserve"> PSM caliper sensitivity analysis. DID estimates for ADL and cognition across caliper specifications (0.01, 0.02, 0.05, 0.10, no caliper).</w:t>
      </w:r>
    </w:p>
    <w:p>
      <w:pPr>
        <w:pStyle w:val="Heading2"/>
      </w:pPr>
      <w:r>
        <w:t>Table S6. IPTW and method comparison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152"/>
        <w:gridCol w:w="1152"/>
        <w:gridCol w:w="1152"/>
        <w:gridCol w:w="1152"/>
        <w:gridCol w:w="1152"/>
        <w:gridCol w:w="1152"/>
        <w:gridCol w:w="1152"/>
        <w:gridCol w:w="1152"/>
        <w:gridCol w:w="1152"/>
      </w:tblGrid>
      <w:tr>
        <w:tc>
          <w:tcPr>
            <w:tcW w:type="dxa" w:w="1152"/>
            <w:vAlign w:val="center"/>
            <w:shd w:fill="D9EAF7"/>
          </w:tcPr>
          <w:p>
            <w:r/>
            <w:r>
              <w:rPr>
                <w:rFonts w:ascii="Arial" w:hAnsi="Arial" w:eastAsia="Arial"/>
                <w:b/>
                <w:sz w:val="13"/>
              </w:rPr>
              <w:t>Section</w:t>
            </w:r>
          </w:p>
        </w:tc>
        <w:tc>
          <w:tcPr>
            <w:tcW w:type="dxa" w:w="1152"/>
            <w:vAlign w:val="center"/>
            <w:shd w:fill="D9EAF7"/>
          </w:tcPr>
          <w:p>
            <w:r/>
            <w:r>
              <w:rPr>
                <w:rFonts w:ascii="Arial" w:hAnsi="Arial" w:eastAsia="Arial"/>
                <w:b/>
                <w:sz w:val="13"/>
              </w:rPr>
              <w:t>Method</w:t>
            </w:r>
          </w:p>
        </w:tc>
        <w:tc>
          <w:tcPr>
            <w:tcW w:type="dxa" w:w="1152"/>
            <w:vAlign w:val="center"/>
            <w:shd w:fill="D9EAF7"/>
          </w:tcPr>
          <w:p>
            <w:r/>
            <w:r>
              <w:rPr>
                <w:rFonts w:ascii="Arial" w:hAnsi="Arial" w:eastAsia="Arial"/>
                <w:b/>
                <w:sz w:val="13"/>
              </w:rPr>
              <w:t>Outcome</w:t>
            </w:r>
          </w:p>
        </w:tc>
        <w:tc>
          <w:tcPr>
            <w:tcW w:type="dxa" w:w="1152"/>
            <w:vAlign w:val="center"/>
            <w:shd w:fill="D9EAF7"/>
          </w:tcPr>
          <w:p>
            <w:r/>
            <w:r>
              <w:rPr>
                <w:rFonts w:ascii="Arial" w:hAnsi="Arial" w:eastAsia="Arial"/>
                <w:b/>
                <w:sz w:val="13"/>
              </w:rPr>
              <w:t>Estimate</w:t>
            </w:r>
          </w:p>
        </w:tc>
        <w:tc>
          <w:tcPr>
            <w:tcW w:type="dxa" w:w="1152"/>
            <w:vAlign w:val="center"/>
            <w:shd w:fill="D9EAF7"/>
          </w:tcPr>
          <w:p>
            <w:r>
              <w:t>SE</w:t>
            </w:r>
            <w:r>
              <w:rPr>
                <w:rFonts w:ascii="Arial" w:hAnsi="Arial" w:eastAsia="Arial"/>
                <w:b/>
                <w:sz w:val="13"/>
              </w:rPr>
            </w:r>
          </w:p>
        </w:tc>
        <w:tc>
          <w:tcPr>
            <w:tcW w:type="dxa" w:w="1152"/>
            <w:vAlign w:val="center"/>
            <w:shd w:fill="D9EAF7"/>
          </w:tcPr>
          <w:p>
            <w:r>
              <w:t>P-value</w:t>
            </w:r>
            <w:r>
              <w:rPr>
                <w:rFonts w:ascii="Arial" w:hAnsi="Arial" w:eastAsia="Arial"/>
                <w:b/>
                <w:sz w:val="13"/>
              </w:rPr>
            </w:r>
          </w:p>
        </w:tc>
        <w:tc>
          <w:tcPr>
            <w:tcW w:type="dxa" w:w="1152"/>
            <w:vAlign w:val="center"/>
            <w:shd w:fill="D9EAF7"/>
          </w:tcPr>
          <w:p>
            <w:r>
              <w:t>95% CI lower</w:t>
            </w:r>
            <w:r>
              <w:rPr>
                <w:rFonts w:ascii="Arial" w:hAnsi="Arial" w:eastAsia="Arial"/>
                <w:b/>
                <w:sz w:val="13"/>
              </w:rPr>
            </w:r>
          </w:p>
        </w:tc>
        <w:tc>
          <w:tcPr>
            <w:tcW w:type="dxa" w:w="1152"/>
            <w:vAlign w:val="center"/>
            <w:shd w:fill="D9EAF7"/>
          </w:tcPr>
          <w:p>
            <w:r>
              <w:t>95% CI upper</w:t>
            </w:r>
            <w:r>
              <w:rPr>
                <w:rFonts w:ascii="Arial" w:hAnsi="Arial" w:eastAsia="Arial"/>
                <w:b/>
                <w:sz w:val="13"/>
              </w:rPr>
            </w:r>
          </w:p>
        </w:tc>
        <w:tc>
          <w:tcPr>
            <w:tcW w:type="dxa" w:w="1152"/>
            <w:vAlign w:val="center"/>
            <w:shd w:fill="D9EAF7"/>
          </w:tcPr>
          <w:p>
            <w:r/>
            <w:r>
              <w:rPr>
                <w:rFonts w:ascii="Arial" w:hAnsi="Arial" w:eastAsia="Arial"/>
                <w:b/>
                <w:sz w:val="13"/>
              </w:rPr>
              <w:t>N</w:t>
            </w:r>
          </w:p>
        </w:tc>
      </w:tr>
      <w:tr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IPTW results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IPTW (ATT, trimmed)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ADL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0.116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0.0564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0.0398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0.0054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0.2267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1736</w:t>
            </w:r>
          </w:p>
        </w:tc>
      </w:tr>
      <w:tr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IPTW results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IPTW (ATT, trimmed)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Cognition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-0.238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0.1476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0.107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-0.5275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0.0514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1736</w:t>
            </w:r>
          </w:p>
        </w:tc>
      </w:tr>
      <w:tr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Method comparison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PSM 1:1 (c=0.05)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ADL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0.1295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0.0258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757</w:t>
            </w:r>
          </w:p>
        </w:tc>
        <w:tc>
          <w:tcPr>
            <w:tcW w:type="dxa" w:w="1152"/>
          </w:tcPr>
          <w:p/>
        </w:tc>
        <w:tc>
          <w:tcPr>
            <w:tcW w:type="dxa" w:w="1152"/>
          </w:tcPr>
          <w:p/>
        </w:tc>
        <w:tc>
          <w:tcPr>
            <w:tcW w:type="dxa" w:w="1152"/>
          </w:tcPr>
          <w:p/>
        </w:tc>
      </w:tr>
      <w:tr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Method comparison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IPTW (ATT)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ADL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0.116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0.0398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1736</w:t>
            </w:r>
          </w:p>
        </w:tc>
        <w:tc>
          <w:tcPr>
            <w:tcW w:type="dxa" w:w="1152"/>
          </w:tcPr>
          <w:p/>
        </w:tc>
        <w:tc>
          <w:tcPr>
            <w:tcW w:type="dxa" w:w="1152"/>
          </w:tcPr>
          <w:p/>
        </w:tc>
        <w:tc>
          <w:tcPr>
            <w:tcW w:type="dxa" w:w="1152"/>
          </w:tcPr>
          <w:p/>
        </w:tc>
      </w:tr>
      <w:tr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Method comparison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PSM 1:1 (c=0.05)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Cognition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-0.3283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0.0402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757</w:t>
            </w:r>
          </w:p>
        </w:tc>
        <w:tc>
          <w:tcPr>
            <w:tcW w:type="dxa" w:w="1152"/>
          </w:tcPr>
          <w:p/>
        </w:tc>
        <w:tc>
          <w:tcPr>
            <w:tcW w:type="dxa" w:w="1152"/>
          </w:tcPr>
          <w:p/>
        </w:tc>
        <w:tc>
          <w:tcPr>
            <w:tcW w:type="dxa" w:w="1152"/>
          </w:tcPr>
          <w:p/>
        </w:tc>
      </w:tr>
      <w:tr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Method comparison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IPTW (ATT)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Cognition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-0.238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0.107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1736</w:t>
            </w:r>
          </w:p>
        </w:tc>
        <w:tc>
          <w:tcPr>
            <w:tcW w:type="dxa" w:w="1152"/>
          </w:tcPr>
          <w:p/>
        </w:tc>
        <w:tc>
          <w:tcPr>
            <w:tcW w:type="dxa" w:w="1152"/>
          </w:tcPr>
          <w:p/>
        </w:tc>
        <w:tc>
          <w:tcPr>
            <w:tcW w:type="dxa" w:w="1152"/>
          </w:tcPr>
          <w:p/>
        </w:tc>
      </w:tr>
    </w:tbl>
    <w:p>
      <w:pPr>
        <w:pStyle w:val="Normal"/>
      </w:pPr>
      <w:r>
        <w:rPr>
          <w:b/>
          <w:sz w:val="20"/>
        </w:rPr>
        <w:t xml:space="preserve">Table S6.</w:t>
      </w:r>
      <w:r>
        <w:rPr>
          <w:sz w:val="20"/>
        </w:rPr>
        <w:t xml:space="preserve"> IPTW and method comparison. DID estimates for ADL and cognition using PSM (primary), IPTW, and unadjusted approaches.</w:t>
      </w:r>
    </w:p>
    <w:p>
      <w:pPr>
        <w:pStyle w:val="Heading2"/>
      </w:pPr>
      <w:r>
        <w:t>Table S7. Subgroup DID results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152"/>
        <w:gridCol w:w="1152"/>
        <w:gridCol w:w="1152"/>
        <w:gridCol w:w="1152"/>
        <w:gridCol w:w="1152"/>
        <w:gridCol w:w="1152"/>
        <w:gridCol w:w="1152"/>
        <w:gridCol w:w="1152"/>
        <w:gridCol w:w="1152"/>
      </w:tblGrid>
      <w:tr>
        <w:tc>
          <w:tcPr>
            <w:tcW w:type="dxa" w:w="1152"/>
            <w:vAlign w:val="center"/>
            <w:shd w:fill="D9EAF7"/>
          </w:tcPr>
          <w:p>
            <w:r/>
            <w:r>
              <w:rPr>
                <w:rFonts w:ascii="Arial" w:hAnsi="Arial" w:eastAsia="Arial"/>
                <w:b/>
                <w:sz w:val="13"/>
              </w:rPr>
              <w:t>Subgroup</w:t>
            </w:r>
          </w:p>
        </w:tc>
        <w:tc>
          <w:tcPr>
            <w:tcW w:type="dxa" w:w="1152"/>
            <w:vAlign w:val="center"/>
            <w:shd w:fill="D9EAF7"/>
          </w:tcPr>
          <w:p>
            <w:r/>
            <w:r>
              <w:rPr>
                <w:rFonts w:ascii="Arial" w:hAnsi="Arial" w:eastAsia="Arial"/>
                <w:b/>
                <w:sz w:val="13"/>
              </w:rPr>
              <w:t>N</w:t>
            </w:r>
          </w:p>
        </w:tc>
        <w:tc>
          <w:tcPr>
            <w:tcW w:type="dxa" w:w="1152"/>
            <w:vAlign w:val="center"/>
            <w:shd w:fill="D9EAF7"/>
          </w:tcPr>
          <w:p>
            <w:r>
              <w:t>N pairs</w:t>
            </w:r>
            <w:r>
              <w:rPr>
                <w:rFonts w:ascii="Arial" w:hAnsi="Arial" w:eastAsia="Arial"/>
                <w:b/>
                <w:sz w:val="13"/>
              </w:rPr>
            </w:r>
          </w:p>
        </w:tc>
        <w:tc>
          <w:tcPr>
            <w:tcW w:type="dxa" w:w="1152"/>
            <w:vAlign w:val="center"/>
            <w:shd w:fill="D9EAF7"/>
          </w:tcPr>
          <w:p>
            <w:r>
              <w:t>ADL DID</w:t>
            </w:r>
            <w:r>
              <w:rPr>
                <w:rFonts w:ascii="Arial" w:hAnsi="Arial" w:eastAsia="Arial"/>
                <w:b/>
                <w:sz w:val="13"/>
              </w:rPr>
            </w:r>
          </w:p>
        </w:tc>
        <w:tc>
          <w:tcPr>
            <w:tcW w:type="dxa" w:w="1152"/>
            <w:vAlign w:val="center"/>
            <w:shd w:fill="D9EAF7"/>
          </w:tcPr>
          <w:p>
            <w:r>
              <w:t>ADL SE</w:t>
            </w:r>
            <w:r>
              <w:rPr>
                <w:rFonts w:ascii="Arial" w:hAnsi="Arial" w:eastAsia="Arial"/>
                <w:b/>
                <w:sz w:val="13"/>
              </w:rPr>
            </w:r>
          </w:p>
        </w:tc>
        <w:tc>
          <w:tcPr>
            <w:tcW w:type="dxa" w:w="1152"/>
            <w:vAlign w:val="center"/>
            <w:shd w:fill="D9EAF7"/>
          </w:tcPr>
          <w:p>
            <w:r>
              <w:t>ADL P-value</w:t>
            </w:r>
            <w:r>
              <w:rPr>
                <w:rFonts w:ascii="Arial" w:hAnsi="Arial" w:eastAsia="Arial"/>
                <w:b/>
                <w:sz w:val="13"/>
              </w:rPr>
            </w:r>
          </w:p>
        </w:tc>
        <w:tc>
          <w:tcPr>
            <w:tcW w:type="dxa" w:w="1152"/>
            <w:vAlign w:val="center"/>
            <w:shd w:fill="D9EAF7"/>
          </w:tcPr>
          <w:p>
            <w:r>
              <w:t>Cog DID</w:t>
            </w:r>
            <w:r>
              <w:rPr>
                <w:rFonts w:ascii="Arial" w:hAnsi="Arial" w:eastAsia="Arial"/>
                <w:b/>
                <w:sz w:val="13"/>
              </w:rPr>
            </w:r>
          </w:p>
        </w:tc>
        <w:tc>
          <w:tcPr>
            <w:tcW w:type="dxa" w:w="1152"/>
            <w:vAlign w:val="center"/>
            <w:shd w:fill="D9EAF7"/>
          </w:tcPr>
          <w:p>
            <w:r>
              <w:t>Cog SE</w:t>
            </w:r>
            <w:r>
              <w:rPr>
                <w:rFonts w:ascii="Arial" w:hAnsi="Arial" w:eastAsia="Arial"/>
                <w:b/>
                <w:sz w:val="13"/>
              </w:rPr>
            </w:r>
          </w:p>
        </w:tc>
        <w:tc>
          <w:tcPr>
            <w:tcW w:type="dxa" w:w="1152"/>
            <w:vAlign w:val="center"/>
            <w:shd w:fill="D9EAF7"/>
          </w:tcPr>
          <w:p>
            <w:r>
              <w:t>Cog P-value</w:t>
            </w:r>
            <w:r>
              <w:rPr>
                <w:rFonts w:ascii="Arial" w:hAnsi="Arial" w:eastAsia="Arial"/>
                <w:b/>
                <w:sz w:val="13"/>
              </w:rPr>
            </w:r>
          </w:p>
        </w:tc>
      </w:tr>
      <w:tr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Male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917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391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0.1535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0.0803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0.0563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-0.321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0.2161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0.1379</w:t>
            </w:r>
          </w:p>
        </w:tc>
      </w:tr>
      <w:tr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Female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819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358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0.0866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0.0868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0.319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-0.3017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0.2418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0.2125</w:t>
            </w:r>
          </w:p>
        </w:tc>
      </w:tr>
      <w:tr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Age &lt; 70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1243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546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0.1062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0.0678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0.1174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-0.3049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0.1855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0.1005</w:t>
            </w:r>
          </w:p>
        </w:tc>
      </w:tr>
      <w:tr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Age &gt;= 70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493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208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0.2356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0.1094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0.0319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-0.5264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0.3053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0.0853</w:t>
            </w:r>
          </w:p>
        </w:tc>
      </w:tr>
      <w:tr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Urban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779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332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0.0994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0.0786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0.2065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-0.3042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0.2392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0.2038</w:t>
            </w:r>
          </w:p>
        </w:tc>
      </w:tr>
      <w:tr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Rural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957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425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0.1482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0.0834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0.0759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-0.3576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0.2167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0.0992</w:t>
            </w:r>
          </w:p>
        </w:tc>
      </w:tr>
      <w:tr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Chronic &lt;= 2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892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399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0.1153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0.075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0.1248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-0.3271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0.2123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0.1239</w:t>
            </w:r>
          </w:p>
        </w:tc>
      </w:tr>
      <w:tr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Chronic &gt; 2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844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356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0.1601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0.0906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0.0777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-0.3483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0.2432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0.1525</w:t>
            </w:r>
          </w:p>
        </w:tc>
      </w:tr>
    </w:tbl>
    <w:p>
      <w:pPr>
        <w:pStyle w:val="Normal"/>
      </w:pPr>
      <w:r>
        <w:rPr>
          <w:b/>
          <w:sz w:val="20"/>
        </w:rPr>
        <w:t xml:space="preserve">Table S7.</w:t>
      </w:r>
      <w:r>
        <w:rPr>
          <w:sz w:val="20"/>
        </w:rPr>
        <w:t xml:space="preserve"> Subgroup DID results. DID estimates stratified by sex, age, residence, comorbidity burden, and trajectory class membership.</w:t>
      </w:r>
    </w:p>
    <w:p>
      <w:pPr>
        <w:pStyle w:val="Heading2"/>
      </w:pPr>
      <w:r>
        <w:t>Table S8. Wave-by-wave DID contrasts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296"/>
        <w:gridCol w:w="1296"/>
        <w:gridCol w:w="1296"/>
        <w:gridCol w:w="1296"/>
        <w:gridCol w:w="1296"/>
        <w:gridCol w:w="1296"/>
        <w:gridCol w:w="1296"/>
        <w:gridCol w:w="1296"/>
      </w:tblGrid>
      <w:tr>
        <w:tc>
          <w:tcPr>
            <w:tcW w:type="dxa" w:w="1296"/>
            <w:vAlign w:val="center"/>
            <w:shd w:fill="D9EAF7"/>
          </w:tcPr>
          <w:p>
            <w:r/>
            <w:r>
              <w:rPr>
                <w:rFonts w:ascii="Arial" w:hAnsi="Arial" w:eastAsia="Arial"/>
                <w:b/>
                <w:sz w:val="13"/>
              </w:rPr>
              <w:t>Outcome</w:t>
            </w:r>
          </w:p>
        </w:tc>
        <w:tc>
          <w:tcPr>
            <w:tcW w:type="dxa" w:w="1296"/>
            <w:vAlign w:val="center"/>
            <w:shd w:fill="D9EAF7"/>
          </w:tcPr>
          <w:p>
            <w:r/>
            <w:r>
              <w:rPr>
                <w:rFonts w:ascii="Arial" w:hAnsi="Arial" w:eastAsia="Arial"/>
                <w:b/>
                <w:sz w:val="13"/>
              </w:rPr>
              <w:t>Wave</w:t>
            </w:r>
          </w:p>
        </w:tc>
        <w:tc>
          <w:tcPr>
            <w:tcW w:type="dxa" w:w="1296"/>
            <w:vAlign w:val="center"/>
            <w:shd w:fill="D9EAF7"/>
          </w:tcPr>
          <w:p>
            <w:r/>
            <w:r>
              <w:rPr>
                <w:rFonts w:ascii="Arial" w:hAnsi="Arial" w:eastAsia="Arial"/>
                <w:b/>
                <w:sz w:val="13"/>
              </w:rPr>
              <w:t>Year</w:t>
            </w:r>
          </w:p>
        </w:tc>
        <w:tc>
          <w:tcPr>
            <w:tcW w:type="dxa" w:w="1296"/>
            <w:vAlign w:val="center"/>
            <w:shd w:fill="D9EAF7"/>
          </w:tcPr>
          <w:p>
            <w:r>
              <w:t>DID estimate</w:t>
            </w:r>
            <w:r>
              <w:rPr>
                <w:rFonts w:ascii="Arial" w:hAnsi="Arial" w:eastAsia="Arial"/>
                <w:b/>
                <w:sz w:val="13"/>
              </w:rPr>
            </w:r>
          </w:p>
        </w:tc>
        <w:tc>
          <w:tcPr>
            <w:tcW w:type="dxa" w:w="1296"/>
            <w:vAlign w:val="center"/>
            <w:shd w:fill="D9EAF7"/>
          </w:tcPr>
          <w:p>
            <w:r>
              <w:t>t statistic</w:t>
            </w:r>
            <w:r>
              <w:rPr>
                <w:rFonts w:ascii="Arial" w:hAnsi="Arial" w:eastAsia="Arial"/>
                <w:b/>
                <w:sz w:val="13"/>
              </w:rPr>
            </w:r>
          </w:p>
        </w:tc>
        <w:tc>
          <w:tcPr>
            <w:tcW w:type="dxa" w:w="1296"/>
            <w:vAlign w:val="center"/>
            <w:shd w:fill="D9EAF7"/>
          </w:tcPr>
          <w:p>
            <w:r>
              <w:t>P-value</w:t>
            </w:r>
            <w:r>
              <w:rPr>
                <w:rFonts w:ascii="Arial" w:hAnsi="Arial" w:eastAsia="Arial"/>
                <w:b/>
                <w:sz w:val="13"/>
              </w:rPr>
            </w:r>
          </w:p>
        </w:tc>
        <w:tc>
          <w:tcPr>
            <w:tcW w:type="dxa" w:w="1296"/>
            <w:vAlign w:val="center"/>
            <w:shd w:fill="D9EAF7"/>
          </w:tcPr>
          <w:p>
            <w:r>
              <w:t>N treated</w:t>
            </w:r>
            <w:r>
              <w:rPr>
                <w:rFonts w:ascii="Arial" w:hAnsi="Arial" w:eastAsia="Arial"/>
                <w:b/>
                <w:sz w:val="13"/>
              </w:rPr>
            </w:r>
          </w:p>
        </w:tc>
        <w:tc>
          <w:tcPr>
            <w:tcW w:type="dxa" w:w="1296"/>
            <w:vAlign w:val="center"/>
            <w:shd w:fill="D9EAF7"/>
          </w:tcPr>
          <w:p>
            <w:r>
              <w:t>N control</w:t>
            </w:r>
            <w:r>
              <w:rPr>
                <w:rFonts w:ascii="Arial" w:hAnsi="Arial" w:eastAsia="Arial"/>
                <w:b/>
                <w:sz w:val="13"/>
              </w:rPr>
            </w:r>
          </w:p>
        </w:tc>
      </w:tr>
      <w:tr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ADL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1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2013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0.0307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0.511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0.6093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712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703</w:t>
            </w:r>
          </w:p>
        </w:tc>
      </w:tr>
      <w:tr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ADL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2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2015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0.1377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1.998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0.0459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690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647</w:t>
            </w:r>
          </w:p>
        </w:tc>
      </w:tr>
      <w:tr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ADL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3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2018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0.1995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2.385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0.0172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639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515</w:t>
            </w:r>
          </w:p>
        </w:tc>
      </w:tr>
      <w:tr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ADL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4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2020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0.2638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3.096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0.002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579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495</w:t>
            </w:r>
          </w:p>
        </w:tc>
      </w:tr>
      <w:tr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Cognition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1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2013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0.0206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0.121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0.9039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603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593</w:t>
            </w:r>
          </w:p>
        </w:tc>
      </w:tr>
      <w:tr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Cognition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2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2015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-0.0402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-0.228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0.8199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596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560</w:t>
            </w:r>
          </w:p>
        </w:tc>
      </w:tr>
      <w:tr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Cognition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3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2018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-0.302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-1.257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0.2092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402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337</w:t>
            </w:r>
          </w:p>
        </w:tc>
      </w:tr>
      <w:tr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Cognition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4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2020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0.0159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0.068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0.9456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384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343</w:t>
            </w:r>
          </w:p>
        </w:tc>
      </w:tr>
    </w:tbl>
    <w:p>
      <w:pPr>
        <w:pStyle w:val="Normal"/>
      </w:pPr>
      <w:r>
        <w:rPr>
          <w:b/>
          <w:sz w:val="20"/>
        </w:rPr>
        <w:t xml:space="preserve">Table S8.</w:t>
      </w:r>
      <w:r>
        <w:rPr>
          <w:sz w:val="20"/>
        </w:rPr>
        <w:t xml:space="preserve"> Wave-by-wave DID estimates. Post-baseline DID contrasts for ADL and cognition at each follow-up wave.</w:t>
      </w:r>
    </w:p>
    <w:p>
      <w:pPr>
        <w:pStyle w:val="Heading2"/>
      </w:pPr>
      <w:r>
        <w:t>Table S9. Subgroup machine-learning performance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vAlign w:val="center"/>
            <w:shd w:fill="D9EAF7"/>
          </w:tcPr>
          <w:p>
            <w:r/>
            <w:r>
              <w:rPr>
                <w:rFonts w:ascii="Arial" w:hAnsi="Arial" w:eastAsia="Arial"/>
                <w:b/>
                <w:sz w:val="13"/>
              </w:rPr>
              <w:t>Subgroup</w:t>
            </w:r>
          </w:p>
        </w:tc>
        <w:tc>
          <w:tcPr>
            <w:tcW w:type="dxa" w:w="2592"/>
            <w:vAlign w:val="center"/>
            <w:shd w:fill="D9EAF7"/>
          </w:tcPr>
          <w:p>
            <w:r/>
            <w:r>
              <w:rPr>
                <w:rFonts w:ascii="Arial" w:hAnsi="Arial" w:eastAsia="Arial"/>
                <w:b/>
                <w:sz w:val="13"/>
              </w:rPr>
              <w:t>N</w:t>
            </w:r>
          </w:p>
        </w:tc>
        <w:tc>
          <w:tcPr>
            <w:tcW w:type="dxa" w:w="2592"/>
            <w:vAlign w:val="center"/>
            <w:shd w:fill="D9EAF7"/>
          </w:tcPr>
          <w:p>
            <w:r>
              <w:t>Class distribution</w:t>
            </w:r>
            <w:r>
              <w:rPr>
                <w:rFonts w:ascii="Arial" w:hAnsi="Arial" w:eastAsia="Arial"/>
                <w:b/>
                <w:sz w:val="13"/>
              </w:rPr>
            </w:r>
          </w:p>
        </w:tc>
        <w:tc>
          <w:tcPr>
            <w:tcW w:type="dxa" w:w="2592"/>
            <w:vAlign w:val="center"/>
            <w:shd w:fill="D9EAF7"/>
          </w:tcPr>
          <w:p>
            <w:r>
              <w:t>Macro AUC</w:t>
            </w:r>
            <w:r>
              <w:rPr>
                <w:rFonts w:ascii="Arial" w:hAnsi="Arial" w:eastAsia="Arial"/>
                <w:b/>
                <w:sz w:val="13"/>
              </w:rPr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Male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915</w:t>
            </w:r>
          </w:p>
        </w:tc>
        <w:tc>
          <w:tcPr>
            <w:tcW w:type="dxa" w:w="2592"/>
            <w:vAlign w:val="center"/>
          </w:tcPr>
          <w:p>
            <w:r>
              <w:t>Class 1: 69; Class 2: 780; Class 3: 66</w:t>
            </w: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0.9569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Female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814</w:t>
            </w:r>
          </w:p>
        </w:tc>
        <w:tc>
          <w:tcPr>
            <w:tcW w:type="dxa" w:w="2592"/>
            <w:vAlign w:val="center"/>
          </w:tcPr>
          <w:p>
            <w:r>
              <w:t>Class 1: 74; Class 2: 681; Class 3: 59</w:t>
            </w: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0.9391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Age &lt; 70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1238</w:t>
            </w:r>
          </w:p>
        </w:tc>
        <w:tc>
          <w:tcPr>
            <w:tcW w:type="dxa" w:w="2592"/>
            <w:vAlign w:val="center"/>
          </w:tcPr>
          <w:p>
            <w:r>
              <w:t>Class 1: 94; Class 2: 1073; Class 3: 71</w:t>
            </w: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0.9484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Age &gt;= 70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491</w:t>
            </w:r>
          </w:p>
        </w:tc>
        <w:tc>
          <w:tcPr>
            <w:tcW w:type="dxa" w:w="2592"/>
            <w:vAlign w:val="center"/>
          </w:tcPr>
          <w:p>
            <w:r>
              <w:t>Class 1: 49; Class 2: 388; Class 3: 54</w:t>
            </w: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0.9438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Urban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776</w:t>
            </w:r>
          </w:p>
        </w:tc>
        <w:tc>
          <w:tcPr>
            <w:tcW w:type="dxa" w:w="2592"/>
            <w:vAlign w:val="center"/>
          </w:tcPr>
          <w:p>
            <w:r>
              <w:t>Class 1: 40; Class 2: 689; Class 3: 47</w:t>
            </w: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0.9585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Rural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953</w:t>
            </w:r>
          </w:p>
        </w:tc>
        <w:tc>
          <w:tcPr>
            <w:tcW w:type="dxa" w:w="2592"/>
            <w:vAlign w:val="center"/>
          </w:tcPr>
          <w:p>
            <w:r>
              <w:t>Class 1: 103; Class 2: 772; Class 3: 78</w:t>
            </w: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0.9396</w:t>
            </w:r>
          </w:p>
        </w:tc>
      </w:tr>
    </w:tbl>
    <w:p>
      <w:pPr>
        <w:pStyle w:val="Normal"/>
      </w:pPr>
      <w:r>
        <w:rPr>
          <w:b/>
          <w:sz w:val="20"/>
        </w:rPr>
        <w:t xml:space="preserve">Table S9.</w:t>
      </w:r>
      <w:r>
        <w:rPr>
          <w:sz w:val="20"/>
        </w:rPr>
        <w:t xml:space="preserve"> Subgroup ML performance. Macro-averaged AUC and F1 for the random forest model across demographic and clinical subgroups.</w:t>
      </w:r>
    </w:p>
    <w:p>
      <w:pPr>
        <w:pStyle w:val="Heading2"/>
      </w:pPr>
      <w:r>
        <w:t>Table S10. Feature ablation analysis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  <w:vAlign w:val="center"/>
            <w:shd w:fill="D9EAF7"/>
          </w:tcPr>
          <w:p>
            <w:r>
              <w:t>Top k features</w:t>
            </w:r>
            <w:r>
              <w:rPr>
                <w:rFonts w:ascii="Arial" w:hAnsi="Arial" w:eastAsia="Arial"/>
                <w:b/>
                <w:sz w:val="13"/>
              </w:rPr>
            </w:r>
          </w:p>
        </w:tc>
        <w:tc>
          <w:tcPr>
            <w:tcW w:type="dxa" w:w="3456"/>
            <w:vAlign w:val="center"/>
            <w:shd w:fill="D9EAF7"/>
          </w:tcPr>
          <w:p>
            <w:r>
              <w:t>Macro AUC</w:t>
            </w:r>
            <w:r>
              <w:rPr>
                <w:rFonts w:ascii="Arial" w:hAnsi="Arial" w:eastAsia="Arial"/>
                <w:b/>
                <w:sz w:val="13"/>
              </w:rPr>
            </w:r>
          </w:p>
        </w:tc>
        <w:tc>
          <w:tcPr>
            <w:tcW w:type="dxa" w:w="3456"/>
            <w:vAlign w:val="center"/>
            <w:shd w:fill="D9EAF7"/>
          </w:tcPr>
          <w:p>
            <w:r>
              <w:t>Macro F1</w:t>
            </w:r>
            <w:r>
              <w:rPr>
                <w:rFonts w:ascii="Arial" w:hAnsi="Arial" w:eastAsia="Arial"/>
                <w:b/>
                <w:sz w:val="13"/>
              </w:rPr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0.7163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0.4121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10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0.7355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0.4417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15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0.7407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0.4556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20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0.7423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0.4683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25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0.7447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0.4551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30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0.7447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0.4609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34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0.7457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0.4588</w:t>
            </w:r>
          </w:p>
        </w:tc>
      </w:tr>
    </w:tbl>
    <w:p>
      <w:pPr>
        <w:pStyle w:val="Normal"/>
      </w:pPr>
      <w:r>
        <w:rPr>
          <w:b/>
          <w:sz w:val="20"/>
        </w:rPr>
        <w:t xml:space="preserve">Table S10.</w:t>
      </w:r>
      <w:r>
        <w:rPr>
          <w:sz w:val="20"/>
        </w:rPr>
        <w:t xml:space="preserve"> Feature ablation results. Macro-averaged AUC as a function of number of features included, showing contribution of incrementally added predictors.</w:t>
      </w:r>
    </w:p>
    <w:p>
      <w:pPr>
        <w:pStyle w:val="Heading2"/>
      </w:pPr>
      <w:r>
        <w:t>Table S11. HRS DID comparison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  <w:vAlign w:val="center"/>
            <w:shd w:fill="D9EAF7"/>
          </w:tcPr>
          <w:p>
            <w:r>
              <w:t>Outcome</w:t>
            </w:r>
            <w:r>
              <w:rPr>
                <w:rFonts w:ascii="Arial" w:hAnsi="Arial" w:eastAsia="Arial"/>
                <w:b/>
                <w:sz w:val="13"/>
              </w:rPr>
            </w:r>
          </w:p>
        </w:tc>
        <w:tc>
          <w:tcPr>
            <w:tcW w:type="dxa" w:w="2074"/>
            <w:vAlign w:val="center"/>
            <w:shd w:fill="D9EAF7"/>
          </w:tcPr>
          <w:p>
            <w:r>
              <w:t>Dataset</w:t>
            </w:r>
            <w:r>
              <w:rPr>
                <w:rFonts w:ascii="Arial" w:hAnsi="Arial" w:eastAsia="Arial"/>
                <w:b/>
                <w:sz w:val="13"/>
              </w:rPr>
            </w:r>
          </w:p>
        </w:tc>
        <w:tc>
          <w:tcPr>
            <w:tcW w:type="dxa" w:w="2074"/>
            <w:vAlign w:val="center"/>
            <w:shd w:fill="D9EAF7"/>
          </w:tcPr>
          <w:p>
            <w:r>
              <w:t>DID estimate</w:t>
            </w:r>
            <w:r>
              <w:rPr>
                <w:rFonts w:ascii="Arial" w:hAnsi="Arial" w:eastAsia="Arial"/>
                <w:b/>
                <w:sz w:val="13"/>
              </w:rPr>
            </w:r>
          </w:p>
        </w:tc>
        <w:tc>
          <w:tcPr>
            <w:tcW w:type="dxa" w:w="2074"/>
            <w:vAlign w:val="center"/>
            <w:shd w:fill="D9EAF7"/>
          </w:tcPr>
          <w:p>
            <w:r>
              <w:t>SE</w:t>
            </w:r>
            <w:r>
              <w:rPr>
                <w:rFonts w:ascii="Arial" w:hAnsi="Arial" w:eastAsia="Arial"/>
                <w:b/>
                <w:sz w:val="13"/>
              </w:rPr>
            </w:r>
          </w:p>
        </w:tc>
        <w:tc>
          <w:tcPr>
            <w:tcW w:type="dxa" w:w="2074"/>
            <w:vAlign w:val="center"/>
            <w:shd w:fill="D9EAF7"/>
          </w:tcPr>
          <w:p>
            <w:r>
              <w:t>P-value</w:t>
            </w:r>
            <w:r>
              <w:rPr>
                <w:rFonts w:ascii="Arial" w:hAnsi="Arial" w:eastAsia="Arial"/>
                <w:b/>
                <w:sz w:val="13"/>
              </w:rPr>
            </w:r>
          </w:p>
        </w:tc>
      </w:tr>
      <w:tr>
        <w:tc>
          <w:tcPr>
            <w:tcW w:type="dxa" w:w="2074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ADL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HRS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0.2202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0.0234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</w:t>
            </w:r>
          </w:p>
        </w:tc>
      </w:tr>
      <w:tr>
        <w:tc>
          <w:tcPr>
            <w:tcW w:type="dxa" w:w="2074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Cognition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HRS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-0.2114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0.1024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0.039</w:t>
            </w:r>
          </w:p>
        </w:tc>
      </w:tr>
      <w:tr>
        <w:tc>
          <w:tcPr>
            <w:tcW w:type="dxa" w:w="2074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ADL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CHARLS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0.1295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0.058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0.0256</w:t>
            </w:r>
          </w:p>
        </w:tc>
      </w:tr>
      <w:tr>
        <w:tc>
          <w:tcPr>
            <w:tcW w:type="dxa" w:w="2074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Cognition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CHARLS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-0.3283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0.1599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Arial" w:hAnsi="Arial" w:eastAsia="Arial"/>
                <w:b w:val="0"/>
                <w:sz w:val="12"/>
              </w:rPr>
              <w:t>0.04</w:t>
            </w:r>
          </w:p>
        </w:tc>
      </w:tr>
    </w:tbl>
    <w:p>
      <w:pPr>
        <w:pStyle w:val="Normal"/>
      </w:pPr>
      <w:r>
        <w:rPr>
          <w:b/>
          <w:sz w:val="20"/>
        </w:rPr>
        <w:t xml:space="preserve">Table S11.</w:t>
      </w:r>
      <w:r>
        <w:rPr>
          <w:sz w:val="20"/>
        </w:rPr>
        <w:t xml:space="preserve"> HRS DID comparison. DID estimates for ADL and cognition in the HRS validation cohort, alongside the corresponding CHARLS estimates.</w:t>
      </w:r>
    </w:p>
    <w:p>
      <w:r>
        <w:br w:type="page"/>
      </w:r>
    </w:p>
    <w:p>
      <w:pPr>
        <w:pStyle w:val="Heading1"/>
      </w:pPr>
      <w:r>
        <w:t>Supplementary Figures</w:t>
      </w:r>
    </w:p>
    <w:p>
      <w:pPr>
        <w:pStyle w:val="Heading2"/>
      </w:pPr>
      <w:r>
        <w:t>Figure S1. BIC elbow plot</w:t>
      </w:r>
    </w:p>
    <w:p>
      <w:r>
        <w:drawing>
          <wp:inline xmlns:a="http://schemas.openxmlformats.org/drawingml/2006/main" xmlns:pic="http://schemas.openxmlformats.org/drawingml/2006/picture">
            <wp:extent cx="6217920" cy="444137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ure_S1_bic_elbow_plot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444137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Normal"/>
      </w:pPr>
      <w:r>
        <w:rPr>
          <w:b/>
          <w:sz w:val="20"/>
        </w:rPr>
        <w:t xml:space="preserve">Figure S1.</w:t>
      </w:r>
      <w:r>
        <w:rPr>
          <w:sz w:val="20"/>
        </w:rPr>
        <w:t xml:space="preserve"> BIC elbow plot for GBDTM class selection. The x-axis shows the number of latent classes (1–4); the y-axis shows the Bayesian Information Criterion. The three-class solution (arrow) achieved the lowest BIC, supporting its selection as the optimal model.</w:t>
      </w:r>
    </w:p>
    <w:p>
      <w:pPr>
        <w:pStyle w:val="Heading2"/>
      </w:pPr>
      <w:r>
        <w:t>Figure S2. APPA and entropy plot</w:t>
      </w:r>
    </w:p>
    <w:p>
      <w:r>
        <w:drawing>
          <wp:inline xmlns:a="http://schemas.openxmlformats.org/drawingml/2006/main" xmlns:pic="http://schemas.openxmlformats.org/drawingml/2006/picture">
            <wp:extent cx="6217920" cy="4441371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ure_S2_appa_and_entropy_plot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444137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Normal"/>
      </w:pPr>
      <w:r>
        <w:rPr>
          <w:b/>
          <w:sz w:val="20"/>
        </w:rPr>
        <w:t xml:space="preserve">Figure S2.</w:t>
      </w:r>
      <w:r>
        <w:rPr>
          <w:sz w:val="20"/>
        </w:rPr>
        <w:t xml:space="preserve"> Average posterior probability of assignment (APPA) and relative entropy as a function of number of latent classes (2–6). Higher values indicate better classification quality. The three-class solution maintained APPA &gt; 0.96 and entropy &gt; 0.90, both well above recommended thresholds (dashed lines: APPA ≥ 0.70, entropy &gt; 0.60).</w:t>
      </w:r>
    </w:p>
    <w:p>
      <w:pPr>
        <w:pStyle w:val="Heading2"/>
      </w:pPr>
      <w:r>
        <w:t>Figure S3. Love plot for PSM balance</w:t>
      </w:r>
    </w:p>
    <w:p>
      <w:r>
        <w:drawing>
          <wp:inline xmlns:a="http://schemas.openxmlformats.org/drawingml/2006/main" xmlns:pic="http://schemas.openxmlformats.org/drawingml/2006/picture">
            <wp:extent cx="6217920" cy="544068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ure_S3_love_plot_for_psm_balanc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54406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Normal"/>
      </w:pPr>
      <w:r>
        <w:rPr>
          <w:b/>
          <w:sz w:val="20"/>
        </w:rPr>
        <w:t xml:space="preserve">Figure S3.</w:t>
      </w:r>
      <w:r>
        <w:rPr>
          <w:sz w:val="20"/>
        </w:rPr>
        <w:t xml:space="preserve"> Love plot showing standardized mean differences (SMD) for all covariates before (circles) and after (triangles) propensity score matching. Dashed vertical lines indicate the ±0.10 threshold. All post-matching SMDs fell within this range, confirming adequate covariate balance.</w:t>
      </w:r>
    </w:p>
    <w:p>
      <w:pPr>
        <w:pStyle w:val="Heading2"/>
      </w:pPr>
      <w:r>
        <w:t>Figure S4. Trajectory comparison in matched and unmatched samples</w:t>
      </w:r>
    </w:p>
    <w:p>
      <w:r>
        <w:drawing>
          <wp:inline xmlns:a="http://schemas.openxmlformats.org/drawingml/2006/main" xmlns:pic="http://schemas.openxmlformats.org/drawingml/2006/picture">
            <wp:extent cx="6217920" cy="25908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ure_S4_trajectory_comparison_in_matched_and_unmatched_samples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259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Normal"/>
      </w:pPr>
      <w:r>
        <w:rPr>
          <w:b/>
          <w:sz w:val="20"/>
        </w:rPr>
        <w:t xml:space="preserve">Figure S4.</w:t>
      </w:r>
      <w:r>
        <w:rPr>
          <w:sz w:val="20"/>
        </w:rPr>
        <w:t xml:space="preserve"> Trajectory comparison in matched and unmatched samples. Left panels show ADL and cognition trajectories for the full unmatched sample; right panels show the matched sample. Trajectories remain qualitatively similar after matching, indicating that PSM did not distort the underlying trajectory structure.</w:t>
      </w:r>
    </w:p>
    <w:p>
      <w:pPr>
        <w:pStyle w:val="Heading2"/>
      </w:pPr>
      <w:r>
        <w:t>Figure S5. Parallel-trends diagnostic</w:t>
      </w:r>
    </w:p>
    <w:p>
      <w:r>
        <w:drawing>
          <wp:inline xmlns:a="http://schemas.openxmlformats.org/drawingml/2006/main" xmlns:pic="http://schemas.openxmlformats.org/drawingml/2006/picture">
            <wp:extent cx="6217920" cy="2303762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ure_S5_parallel_trends_diagnostic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23037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Normal"/>
      </w:pPr>
      <w:r>
        <w:rPr>
          <w:b/>
          <w:sz w:val="20"/>
        </w:rPr>
        <w:t xml:space="preserve">Figure S5.</w:t>
      </w:r>
      <w:r>
        <w:rPr>
          <w:sz w:val="20"/>
        </w:rPr>
        <w:t xml:space="preserve"> Parallel-trends diagnostic for ADL and cognition before hospitalization. Lines show mean pre-exposure trajectories in matched hospitalized (solid) and non-hospitalized (dashed) groups. Similar pre-follow-up patterns are broadly compatible with the DID parallel-trends assumption.</w:t>
      </w:r>
    </w:p>
    <w:p>
      <w:pPr>
        <w:pStyle w:val="Heading2"/>
      </w:pPr>
      <w:r>
        <w:t>Figure S6. Event-study DID contrasts</w:t>
      </w:r>
    </w:p>
    <w:p>
      <w:r>
        <w:drawing>
          <wp:inline xmlns:a="http://schemas.openxmlformats.org/drawingml/2006/main" xmlns:pic="http://schemas.openxmlformats.org/drawingml/2006/picture">
            <wp:extent cx="6217920" cy="2303762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ure_S6_event_study_did_contrasts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23037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Normal"/>
      </w:pPr>
      <w:r>
        <w:rPr>
          <w:b/>
          <w:sz w:val="20"/>
        </w:rPr>
        <w:t xml:space="preserve">Figure S6.</w:t>
      </w:r>
      <w:r>
        <w:rPr>
          <w:sz w:val="20"/>
        </w:rPr>
        <w:t xml:space="preserve"> Event-study DID contrasts for ADL (left) and cognition (right) at each post-baseline wave relative to wave 1. Points show DID estimates; error bars show 95% CIs. ADL divergence grew progressively across follow-up; cognition contrasts were directionally negative but not temporally stable.</w:t>
      </w:r>
    </w:p>
    <w:p>
      <w:pPr>
        <w:pStyle w:val="Heading2"/>
      </w:pPr>
      <w:r>
        <w:t>Figure S7. PSM caliper sensitivity</w:t>
      </w:r>
    </w:p>
    <w:p>
      <w:r>
        <w:drawing>
          <wp:inline xmlns:a="http://schemas.openxmlformats.org/drawingml/2006/main" xmlns:pic="http://schemas.openxmlformats.org/drawingml/2006/picture">
            <wp:extent cx="6217920" cy="2293324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ure_S7_psm_caliper_sensitivity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229332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Normal"/>
      </w:pPr>
      <w:r>
        <w:rPr>
          <w:b/>
          <w:sz w:val="20"/>
        </w:rPr>
        <w:t xml:space="preserve">Figure S7.</w:t>
      </w:r>
      <w:r>
        <w:rPr>
          <w:sz w:val="20"/>
        </w:rPr>
        <w:t xml:space="preserve"> PSM caliper sensitivity analysis. DID estimates for ADL (top) and cognition (bottom) across five caliper specifications (0.01, 0.02, 0.05, 0.10, no caliper). Error bars show 95% CIs. The ADL effect was robust across all calipers; the cognition effect was directionally consistent but attenuated under the widest caliper.</w:t>
      </w:r>
    </w:p>
    <w:p>
      <w:pPr>
        <w:pStyle w:val="Heading2"/>
      </w:pPr>
      <w:r>
        <w:t>Figure S8. Method-comparison forest plot</w:t>
      </w:r>
    </w:p>
    <w:p>
      <w:r>
        <w:drawing>
          <wp:inline xmlns:a="http://schemas.openxmlformats.org/drawingml/2006/main" xmlns:pic="http://schemas.openxmlformats.org/drawingml/2006/picture">
            <wp:extent cx="6217920" cy="2761365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ure_S8_method_comparison_forest_plot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276136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Normal"/>
      </w:pPr>
      <w:r>
        <w:rPr>
          <w:b/>
          <w:sz w:val="20"/>
        </w:rPr>
        <w:t xml:space="preserve">Figure S8.</w:t>
      </w:r>
      <w:r>
        <w:rPr>
          <w:sz w:val="20"/>
        </w:rPr>
        <w:t xml:space="preserve"> Method comparison forest plot. DID estimates for ADL and cognition from PSM (primary), IPTW, and unadjusted comparisons. Error bars show 95% CIs. The ADL effect was consistent across methods; the cognition effect attenuated under IPTW.</w:t>
      </w:r>
    </w:p>
    <w:p>
      <w:pPr>
        <w:pStyle w:val="Heading2"/>
      </w:pPr>
      <w:r>
        <w:t>Figure S9. Subgroup DID forest plot</w:t>
      </w:r>
    </w:p>
    <w:p>
      <w:r>
        <w:drawing>
          <wp:inline xmlns:a="http://schemas.openxmlformats.org/drawingml/2006/main" xmlns:pic="http://schemas.openxmlformats.org/drawingml/2006/picture">
            <wp:extent cx="6217920" cy="3217091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ure_S9_subgroup_did_forest_plot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321709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Normal"/>
      </w:pPr>
      <w:r>
        <w:rPr>
          <w:b/>
          <w:sz w:val="20"/>
        </w:rPr>
        <w:t xml:space="preserve">Figure S9.</w:t>
      </w:r>
      <w:r>
        <w:rPr>
          <w:sz w:val="20"/>
        </w:rPr>
        <w:t xml:space="preserve"> Subgroup DID forest plot. DID estimates for ADL and cognition stratified by sex, age (&lt; 70 vs. ≥ 70), residence (urban vs. rural), comorbidity burden (≤ 2 vs. &gt; 2), and trajectory class. Error bars show 95% CIs. The largest ADL effects were observed among participants aged ≥ 70.</w:t>
      </w:r>
    </w:p>
    <w:p>
      <w:pPr>
        <w:pStyle w:val="Heading2"/>
      </w:pPr>
      <w:r>
        <w:t>Figure S10. Calibration curves</w:t>
      </w:r>
    </w:p>
    <w:p>
      <w:r>
        <w:drawing>
          <wp:inline xmlns:a="http://schemas.openxmlformats.org/drawingml/2006/main" xmlns:pic="http://schemas.openxmlformats.org/drawingml/2006/picture">
            <wp:extent cx="6217920" cy="1723491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ure_S10_calibration_curves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172349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Normal"/>
      </w:pPr>
      <w:r>
        <w:rPr>
          <w:b/>
          <w:sz w:val="20"/>
        </w:rPr>
        <w:t xml:space="preserve">Figure S10.</w:t>
      </w:r>
      <w:r>
        <w:rPr>
          <w:sz w:val="20"/>
        </w:rPr>
        <w:t xml:space="preserve"> Calibration curves for the random forest model. Predicted probability versus observed frequency for each trajectory class. The diagonal line represents perfect calibration. The majority class (Class 2) shows adequate calibration; minority classes show expected overconfidence, consistent with class imbalance.</w:t>
      </w:r>
    </w:p>
    <w:p>
      <w:pPr>
        <w:pStyle w:val="Heading2"/>
      </w:pPr>
      <w:r>
        <w:t>Figure S11. Confusion matrix</w:t>
      </w:r>
    </w:p>
    <w:p>
      <w:r>
        <w:drawing>
          <wp:inline xmlns:a="http://schemas.openxmlformats.org/drawingml/2006/main" xmlns:pic="http://schemas.openxmlformats.org/drawingml/2006/picture">
            <wp:extent cx="6217920" cy="5181600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ure_S11_confusion_matrix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5181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Normal"/>
      </w:pPr>
      <w:r>
        <w:rPr>
          <w:b/>
          <w:sz w:val="20"/>
        </w:rPr>
        <w:t xml:space="preserve">Figure S11.</w:t>
      </w:r>
      <w:r>
        <w:rPr>
          <w:sz w:val="20"/>
        </w:rPr>
        <w:t xml:space="preserve"> Confusion matrix for the random forest model (out-of-fold predictions). Rows represent true class membership; columns represent predicted class. The model achieves high accuracy for the majority class (Class 2) but lower sensitivity for minority classes.</w:t>
      </w:r>
    </w:p>
    <w:p>
      <w:pPr>
        <w:pStyle w:val="Heading2"/>
      </w:pPr>
      <w:r>
        <w:t>Figure S12. Subgroup machine-learning AUC</w:t>
      </w:r>
    </w:p>
    <w:p>
      <w:r>
        <w:drawing>
          <wp:inline xmlns:a="http://schemas.openxmlformats.org/drawingml/2006/main" xmlns:pic="http://schemas.openxmlformats.org/drawingml/2006/picture">
            <wp:extent cx="6217920" cy="3886200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ure_S12_subgroup_machine_learning_auc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38862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Normal"/>
      </w:pPr>
      <w:r>
        <w:rPr>
          <w:b/>
          <w:sz w:val="20"/>
        </w:rPr>
        <w:t xml:space="preserve">Figure S12.</w:t>
      </w:r>
      <w:r>
        <w:rPr>
          <w:sz w:val="20"/>
        </w:rPr>
        <w:t xml:space="preserve"> Subgroup machine learning AUC. Macro-averaged AUC for the random forest model across subgroups defined by sex, age, residence, and comorbidity burden. Error bars show 95% CIs from bootstrap resampling.</w:t>
      </w:r>
    </w:p>
    <w:p>
      <w:pPr>
        <w:pStyle w:val="Heading2"/>
      </w:pPr>
      <w:r>
        <w:t>Figure S13. Feature ablation plot</w:t>
      </w:r>
    </w:p>
    <w:p>
      <w:r>
        <w:drawing>
          <wp:inline xmlns:a="http://schemas.openxmlformats.org/drawingml/2006/main" xmlns:pic="http://schemas.openxmlformats.org/drawingml/2006/picture">
            <wp:extent cx="6217920" cy="3886200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ure_S13_feature_ablation_plot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38862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Normal"/>
      </w:pPr>
      <w:r>
        <w:rPr>
          <w:b/>
          <w:sz w:val="20"/>
        </w:rPr>
        <w:t xml:space="preserve">Figure S13.</w:t>
      </w:r>
      <w:r>
        <w:rPr>
          <w:sz w:val="20"/>
        </w:rPr>
        <w:t xml:space="preserve"> Feature ablation plot. Macro-averaged AUC as a function of the number of features included (top 5, 10, 15, 20, 25, 30, all 34). A parsimonious five-feature model retains 96.0% of the full model’s performance, with diminishing returns beyond 15 features.</w:t>
      </w:r>
    </w:p>
    <w:p>
      <w:pPr>
        <w:pStyle w:val="Heading2"/>
      </w:pPr>
      <w:r>
        <w:t>Figure S14. HRS DID cross-validation</w:t>
      </w:r>
    </w:p>
    <w:p>
      <w:r>
        <w:drawing>
          <wp:inline xmlns:a="http://schemas.openxmlformats.org/drawingml/2006/main" xmlns:pic="http://schemas.openxmlformats.org/drawingml/2006/picture">
            <wp:extent cx="6217920" cy="2074382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ure_S14_hrs_did_cross_validation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207438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Normal"/>
      </w:pPr>
      <w:r>
        <w:rPr>
          <w:b/>
          <w:sz w:val="20"/>
        </w:rPr>
        <w:t xml:space="preserve">Figure S14.</w:t>
      </w:r>
      <w:r>
        <w:rPr>
          <w:sz w:val="20"/>
        </w:rPr>
        <w:t xml:space="preserve"> HRS DID cross-validation. DID estimates for ADL and cognition in the HRS cohort, replicating the CHARLS primary analysis. Error bars show 95% CIs. Both effects were significant and directionally consistent with the CHARLS findings.</w:t>
      </w:r>
    </w:p>
    <w:sectPr w:rsidR="00FC693F" w:rsidRPr="0006063C" w:rsidSect="00034616">
      <w:footerReference w:type="default" r:id="rId23"/>
      <w:pgSz w:w="12240" w:h="15840"/>
      <w:pgMar w:top="1008" w:right="936" w:bottom="1008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4"/>
      </w:rPr>
      <w:t>Additional file 1 | Tables S1-S11 and Figures S1-S14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image" Target="media/image14.png"/><Relationship Id="rId2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