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885A" w14:textId="77777777" w:rsidR="006D086C" w:rsidRPr="00200993" w:rsidRDefault="006D086C" w:rsidP="006D086C">
      <w:pPr>
        <w:spacing w:before="180" w:after="80"/>
        <w:rPr>
          <w:b/>
          <w:bCs/>
          <w:sz w:val="20"/>
          <w:szCs w:val="20"/>
        </w:rPr>
      </w:pPr>
      <w:r w:rsidRPr="00200993">
        <w:rPr>
          <w:b/>
          <w:bCs/>
          <w:sz w:val="20"/>
          <w:szCs w:val="20"/>
        </w:rPr>
        <w:t>Appendix A: Summary Statistics</w:t>
      </w:r>
    </w:p>
    <w:p w14:paraId="3914AB21" w14:textId="77777777" w:rsidR="006D086C" w:rsidRPr="00564025" w:rsidRDefault="006D086C" w:rsidP="006D086C">
      <w:pPr>
        <w:spacing w:before="180" w:after="80"/>
        <w:jc w:val="center"/>
        <w:rPr>
          <w:sz w:val="20"/>
          <w:szCs w:val="20"/>
        </w:rPr>
      </w:pPr>
      <w:r w:rsidRPr="00564025">
        <w:rPr>
          <w:b/>
          <w:bCs/>
          <w:sz w:val="20"/>
          <w:szCs w:val="20"/>
        </w:rPr>
        <w:t>Table A1. Descriptive Statistics, 2000Q1–2023Q4</w:t>
      </w:r>
    </w:p>
    <w:tbl>
      <w:tblPr>
        <w:tblStyle w:val="TableGrid"/>
        <w:tblW w:w="9360" w:type="dxa"/>
        <w:tblLook w:val="0000" w:firstRow="0" w:lastRow="0" w:firstColumn="0" w:lastColumn="0" w:noHBand="0" w:noVBand="0"/>
      </w:tblPr>
      <w:tblGrid>
        <w:gridCol w:w="2300"/>
        <w:gridCol w:w="1100"/>
        <w:gridCol w:w="1100"/>
        <w:gridCol w:w="1100"/>
        <w:gridCol w:w="1100"/>
        <w:gridCol w:w="1100"/>
        <w:gridCol w:w="1560"/>
      </w:tblGrid>
      <w:tr w:rsidR="006D086C" w:rsidRPr="00564025" w14:paraId="038472B1" w14:textId="77777777" w:rsidTr="00FD552B">
        <w:tc>
          <w:tcPr>
            <w:tcW w:w="2300" w:type="dxa"/>
          </w:tcPr>
          <w:p w14:paraId="68F5E0EF" w14:textId="77777777" w:rsidR="006D086C" w:rsidRPr="00564025" w:rsidRDefault="006D086C" w:rsidP="00FD552B">
            <w:pPr>
              <w:rPr>
                <w:sz w:val="20"/>
                <w:szCs w:val="20"/>
              </w:rPr>
            </w:pPr>
            <w:r w:rsidRPr="00564025">
              <w:rPr>
                <w:b/>
                <w:bCs/>
                <w:sz w:val="20"/>
                <w:szCs w:val="20"/>
              </w:rPr>
              <w:t>Variable</w:t>
            </w:r>
          </w:p>
        </w:tc>
        <w:tc>
          <w:tcPr>
            <w:tcW w:w="1100" w:type="dxa"/>
          </w:tcPr>
          <w:p w14:paraId="3BC329C2" w14:textId="77777777" w:rsidR="006D086C" w:rsidRPr="00564025" w:rsidRDefault="006D086C" w:rsidP="00FD552B">
            <w:pPr>
              <w:jc w:val="center"/>
              <w:rPr>
                <w:sz w:val="20"/>
                <w:szCs w:val="20"/>
              </w:rPr>
            </w:pPr>
            <w:r w:rsidRPr="00564025">
              <w:rPr>
                <w:b/>
                <w:bCs/>
                <w:sz w:val="20"/>
                <w:szCs w:val="20"/>
              </w:rPr>
              <w:t>Mean</w:t>
            </w:r>
          </w:p>
        </w:tc>
        <w:tc>
          <w:tcPr>
            <w:tcW w:w="1100" w:type="dxa"/>
          </w:tcPr>
          <w:p w14:paraId="4925D7C2" w14:textId="77777777" w:rsidR="006D086C" w:rsidRPr="00564025" w:rsidRDefault="006D086C" w:rsidP="00FD552B">
            <w:pPr>
              <w:jc w:val="center"/>
              <w:rPr>
                <w:sz w:val="20"/>
                <w:szCs w:val="20"/>
              </w:rPr>
            </w:pPr>
            <w:r w:rsidRPr="00564025">
              <w:rPr>
                <w:b/>
                <w:bCs/>
                <w:sz w:val="20"/>
                <w:szCs w:val="20"/>
              </w:rPr>
              <w:t>Std Dev</w:t>
            </w:r>
          </w:p>
        </w:tc>
        <w:tc>
          <w:tcPr>
            <w:tcW w:w="1100" w:type="dxa"/>
          </w:tcPr>
          <w:p w14:paraId="4BD316FA" w14:textId="77777777" w:rsidR="006D086C" w:rsidRPr="00564025" w:rsidRDefault="006D086C" w:rsidP="00FD552B">
            <w:pPr>
              <w:jc w:val="center"/>
              <w:rPr>
                <w:sz w:val="20"/>
                <w:szCs w:val="20"/>
              </w:rPr>
            </w:pPr>
            <w:r w:rsidRPr="00564025">
              <w:rPr>
                <w:b/>
                <w:bCs/>
                <w:sz w:val="20"/>
                <w:szCs w:val="20"/>
              </w:rPr>
              <w:t>Min</w:t>
            </w:r>
          </w:p>
        </w:tc>
        <w:tc>
          <w:tcPr>
            <w:tcW w:w="1100" w:type="dxa"/>
          </w:tcPr>
          <w:p w14:paraId="7C254511" w14:textId="77777777" w:rsidR="006D086C" w:rsidRPr="00564025" w:rsidRDefault="006D086C" w:rsidP="00FD552B">
            <w:pPr>
              <w:jc w:val="center"/>
              <w:rPr>
                <w:sz w:val="20"/>
                <w:szCs w:val="20"/>
              </w:rPr>
            </w:pPr>
            <w:r w:rsidRPr="00564025">
              <w:rPr>
                <w:b/>
                <w:bCs/>
                <w:sz w:val="20"/>
                <w:szCs w:val="20"/>
              </w:rPr>
              <w:t>Max</w:t>
            </w:r>
          </w:p>
        </w:tc>
        <w:tc>
          <w:tcPr>
            <w:tcW w:w="1100" w:type="dxa"/>
          </w:tcPr>
          <w:p w14:paraId="3CD78B9F" w14:textId="77777777" w:rsidR="006D086C" w:rsidRPr="00564025" w:rsidRDefault="006D086C" w:rsidP="00FD552B">
            <w:pPr>
              <w:jc w:val="center"/>
              <w:rPr>
                <w:sz w:val="20"/>
                <w:szCs w:val="20"/>
              </w:rPr>
            </w:pPr>
            <w:r w:rsidRPr="00564025">
              <w:rPr>
                <w:b/>
                <w:bCs/>
                <w:sz w:val="20"/>
                <w:szCs w:val="20"/>
              </w:rPr>
              <w:t>Obs</w:t>
            </w:r>
          </w:p>
        </w:tc>
        <w:tc>
          <w:tcPr>
            <w:tcW w:w="1560" w:type="dxa"/>
          </w:tcPr>
          <w:p w14:paraId="341422B6" w14:textId="77777777" w:rsidR="006D086C" w:rsidRPr="00564025" w:rsidRDefault="006D086C" w:rsidP="00FD552B">
            <w:pPr>
              <w:jc w:val="center"/>
              <w:rPr>
                <w:sz w:val="20"/>
                <w:szCs w:val="20"/>
              </w:rPr>
            </w:pPr>
            <w:r w:rsidRPr="00564025">
              <w:rPr>
                <w:b/>
                <w:bCs/>
                <w:sz w:val="20"/>
                <w:szCs w:val="20"/>
              </w:rPr>
              <w:t>I(d)</w:t>
            </w:r>
          </w:p>
        </w:tc>
      </w:tr>
      <w:tr w:rsidR="006D086C" w:rsidRPr="00564025" w14:paraId="2F828702" w14:textId="77777777" w:rsidTr="00FD552B">
        <w:tc>
          <w:tcPr>
            <w:tcW w:w="2300" w:type="dxa"/>
          </w:tcPr>
          <w:p w14:paraId="0B30AA39" w14:textId="77777777" w:rsidR="006D086C" w:rsidRPr="00564025" w:rsidRDefault="006D086C" w:rsidP="00FD552B">
            <w:pPr>
              <w:rPr>
                <w:sz w:val="20"/>
                <w:szCs w:val="20"/>
              </w:rPr>
            </w:pPr>
            <w:r w:rsidRPr="00564025">
              <w:rPr>
                <w:sz w:val="20"/>
                <w:szCs w:val="20"/>
              </w:rPr>
              <w:t>Real GDP QoQ Growth (%)</w:t>
            </w:r>
          </w:p>
        </w:tc>
        <w:tc>
          <w:tcPr>
            <w:tcW w:w="1100" w:type="dxa"/>
          </w:tcPr>
          <w:p w14:paraId="64FF0FD7" w14:textId="77777777" w:rsidR="006D086C" w:rsidRPr="00564025" w:rsidRDefault="006D086C" w:rsidP="00FD552B">
            <w:pPr>
              <w:jc w:val="center"/>
              <w:rPr>
                <w:sz w:val="20"/>
                <w:szCs w:val="20"/>
              </w:rPr>
            </w:pPr>
            <w:r w:rsidRPr="00564025">
              <w:rPr>
                <w:sz w:val="20"/>
                <w:szCs w:val="20"/>
              </w:rPr>
              <w:t>1.28</w:t>
            </w:r>
          </w:p>
        </w:tc>
        <w:tc>
          <w:tcPr>
            <w:tcW w:w="1100" w:type="dxa"/>
          </w:tcPr>
          <w:p w14:paraId="280FA1B8" w14:textId="77777777" w:rsidR="006D086C" w:rsidRPr="00564025" w:rsidRDefault="006D086C" w:rsidP="00FD552B">
            <w:pPr>
              <w:jc w:val="center"/>
              <w:rPr>
                <w:sz w:val="20"/>
                <w:szCs w:val="20"/>
              </w:rPr>
            </w:pPr>
            <w:r w:rsidRPr="00564025">
              <w:rPr>
                <w:sz w:val="20"/>
                <w:szCs w:val="20"/>
              </w:rPr>
              <w:t>0.87</w:t>
            </w:r>
          </w:p>
        </w:tc>
        <w:tc>
          <w:tcPr>
            <w:tcW w:w="1100" w:type="dxa"/>
          </w:tcPr>
          <w:p w14:paraId="7ABBD7EC" w14:textId="77777777" w:rsidR="006D086C" w:rsidRPr="00564025" w:rsidRDefault="006D086C" w:rsidP="00FD552B">
            <w:pPr>
              <w:jc w:val="center"/>
              <w:rPr>
                <w:sz w:val="20"/>
                <w:szCs w:val="20"/>
              </w:rPr>
            </w:pPr>
            <w:r w:rsidRPr="00564025">
              <w:rPr>
                <w:sz w:val="20"/>
                <w:szCs w:val="20"/>
              </w:rPr>
              <w:t>-6.82</w:t>
            </w:r>
          </w:p>
        </w:tc>
        <w:tc>
          <w:tcPr>
            <w:tcW w:w="1100" w:type="dxa"/>
          </w:tcPr>
          <w:p w14:paraId="13576EE6" w14:textId="77777777" w:rsidR="006D086C" w:rsidRPr="00564025" w:rsidRDefault="006D086C" w:rsidP="00FD552B">
            <w:pPr>
              <w:jc w:val="center"/>
              <w:rPr>
                <w:sz w:val="20"/>
                <w:szCs w:val="20"/>
              </w:rPr>
            </w:pPr>
            <w:r w:rsidRPr="00564025">
              <w:rPr>
                <w:sz w:val="20"/>
                <w:szCs w:val="20"/>
              </w:rPr>
              <w:t>3.23</w:t>
            </w:r>
          </w:p>
        </w:tc>
        <w:tc>
          <w:tcPr>
            <w:tcW w:w="1100" w:type="dxa"/>
          </w:tcPr>
          <w:p w14:paraId="1C463244" w14:textId="77777777" w:rsidR="006D086C" w:rsidRPr="00564025" w:rsidRDefault="006D086C" w:rsidP="00FD552B">
            <w:pPr>
              <w:jc w:val="center"/>
              <w:rPr>
                <w:sz w:val="20"/>
                <w:szCs w:val="20"/>
              </w:rPr>
            </w:pPr>
            <w:r w:rsidRPr="00564025">
              <w:rPr>
                <w:sz w:val="20"/>
                <w:szCs w:val="20"/>
              </w:rPr>
              <w:t>96</w:t>
            </w:r>
          </w:p>
        </w:tc>
        <w:tc>
          <w:tcPr>
            <w:tcW w:w="1560" w:type="dxa"/>
          </w:tcPr>
          <w:p w14:paraId="4C0323D5" w14:textId="77777777" w:rsidR="006D086C" w:rsidRPr="00564025" w:rsidRDefault="006D086C" w:rsidP="00FD552B">
            <w:pPr>
              <w:jc w:val="center"/>
              <w:rPr>
                <w:sz w:val="20"/>
                <w:szCs w:val="20"/>
              </w:rPr>
            </w:pPr>
            <w:r w:rsidRPr="00564025">
              <w:rPr>
                <w:sz w:val="20"/>
                <w:szCs w:val="20"/>
              </w:rPr>
              <w:t>I(0)</w:t>
            </w:r>
          </w:p>
        </w:tc>
      </w:tr>
      <w:tr w:rsidR="006D086C" w:rsidRPr="00564025" w14:paraId="13A36689" w14:textId="77777777" w:rsidTr="00FD552B">
        <w:tc>
          <w:tcPr>
            <w:tcW w:w="2300" w:type="dxa"/>
          </w:tcPr>
          <w:p w14:paraId="3D822F65" w14:textId="77777777" w:rsidR="006D086C" w:rsidRPr="00564025" w:rsidRDefault="006D086C" w:rsidP="00FD552B">
            <w:pPr>
              <w:rPr>
                <w:sz w:val="20"/>
                <w:szCs w:val="20"/>
              </w:rPr>
            </w:pPr>
            <w:r w:rsidRPr="00564025">
              <w:rPr>
                <w:sz w:val="20"/>
                <w:szCs w:val="20"/>
              </w:rPr>
              <w:t>CPI Inflation YoY (%)</w:t>
            </w:r>
          </w:p>
        </w:tc>
        <w:tc>
          <w:tcPr>
            <w:tcW w:w="1100" w:type="dxa"/>
          </w:tcPr>
          <w:p w14:paraId="4660FD19" w14:textId="77777777" w:rsidR="006D086C" w:rsidRPr="00564025" w:rsidRDefault="006D086C" w:rsidP="00FD552B">
            <w:pPr>
              <w:jc w:val="center"/>
              <w:rPr>
                <w:sz w:val="20"/>
                <w:szCs w:val="20"/>
              </w:rPr>
            </w:pPr>
            <w:r w:rsidRPr="00564025">
              <w:rPr>
                <w:sz w:val="20"/>
                <w:szCs w:val="20"/>
              </w:rPr>
              <w:t>5.84</w:t>
            </w:r>
          </w:p>
        </w:tc>
        <w:tc>
          <w:tcPr>
            <w:tcW w:w="1100" w:type="dxa"/>
          </w:tcPr>
          <w:p w14:paraId="11DA85E5" w14:textId="77777777" w:rsidR="006D086C" w:rsidRPr="00564025" w:rsidRDefault="006D086C" w:rsidP="00FD552B">
            <w:pPr>
              <w:jc w:val="center"/>
              <w:rPr>
                <w:sz w:val="20"/>
                <w:szCs w:val="20"/>
              </w:rPr>
            </w:pPr>
            <w:r w:rsidRPr="00564025">
              <w:rPr>
                <w:sz w:val="20"/>
                <w:szCs w:val="20"/>
              </w:rPr>
              <w:t>3.91</w:t>
            </w:r>
          </w:p>
        </w:tc>
        <w:tc>
          <w:tcPr>
            <w:tcW w:w="1100" w:type="dxa"/>
          </w:tcPr>
          <w:p w14:paraId="074F658E" w14:textId="77777777" w:rsidR="006D086C" w:rsidRPr="00564025" w:rsidRDefault="006D086C" w:rsidP="00FD552B">
            <w:pPr>
              <w:jc w:val="center"/>
              <w:rPr>
                <w:sz w:val="20"/>
                <w:szCs w:val="20"/>
              </w:rPr>
            </w:pPr>
            <w:r w:rsidRPr="00564025">
              <w:rPr>
                <w:sz w:val="20"/>
                <w:szCs w:val="20"/>
              </w:rPr>
              <w:t>-0.59</w:t>
            </w:r>
          </w:p>
        </w:tc>
        <w:tc>
          <w:tcPr>
            <w:tcW w:w="1100" w:type="dxa"/>
          </w:tcPr>
          <w:p w14:paraId="0BF7B761" w14:textId="77777777" w:rsidR="006D086C" w:rsidRPr="00564025" w:rsidRDefault="006D086C" w:rsidP="00FD552B">
            <w:pPr>
              <w:jc w:val="center"/>
              <w:rPr>
                <w:sz w:val="20"/>
                <w:szCs w:val="20"/>
              </w:rPr>
            </w:pPr>
            <w:r w:rsidRPr="00564025">
              <w:rPr>
                <w:sz w:val="20"/>
                <w:szCs w:val="20"/>
              </w:rPr>
              <w:t>17.78</w:t>
            </w:r>
          </w:p>
        </w:tc>
        <w:tc>
          <w:tcPr>
            <w:tcW w:w="1100" w:type="dxa"/>
          </w:tcPr>
          <w:p w14:paraId="3942BFF5" w14:textId="77777777" w:rsidR="006D086C" w:rsidRPr="00564025" w:rsidRDefault="006D086C" w:rsidP="00FD552B">
            <w:pPr>
              <w:jc w:val="center"/>
              <w:rPr>
                <w:sz w:val="20"/>
                <w:szCs w:val="20"/>
              </w:rPr>
            </w:pPr>
            <w:r w:rsidRPr="00564025">
              <w:rPr>
                <w:sz w:val="20"/>
                <w:szCs w:val="20"/>
              </w:rPr>
              <w:t>96</w:t>
            </w:r>
          </w:p>
        </w:tc>
        <w:tc>
          <w:tcPr>
            <w:tcW w:w="1560" w:type="dxa"/>
          </w:tcPr>
          <w:p w14:paraId="50CAEAED" w14:textId="77777777" w:rsidR="006D086C" w:rsidRPr="00564025" w:rsidRDefault="006D086C" w:rsidP="00FD552B">
            <w:pPr>
              <w:jc w:val="center"/>
              <w:rPr>
                <w:sz w:val="20"/>
                <w:szCs w:val="20"/>
              </w:rPr>
            </w:pPr>
            <w:r w:rsidRPr="00564025">
              <w:rPr>
                <w:sz w:val="20"/>
                <w:szCs w:val="20"/>
              </w:rPr>
              <w:t>I(0)</w:t>
            </w:r>
          </w:p>
        </w:tc>
      </w:tr>
      <w:tr w:rsidR="006D086C" w:rsidRPr="00564025" w14:paraId="33879B38" w14:textId="77777777" w:rsidTr="00FD552B">
        <w:tc>
          <w:tcPr>
            <w:tcW w:w="2300" w:type="dxa"/>
          </w:tcPr>
          <w:p w14:paraId="7EA1407A" w14:textId="77777777" w:rsidR="006D086C" w:rsidRPr="00564025" w:rsidRDefault="006D086C" w:rsidP="00FD552B">
            <w:pPr>
              <w:rPr>
                <w:sz w:val="20"/>
                <w:szCs w:val="20"/>
              </w:rPr>
            </w:pPr>
            <w:r w:rsidRPr="00564025">
              <w:rPr>
                <w:sz w:val="20"/>
                <w:szCs w:val="20"/>
              </w:rPr>
              <w:t>BI Policy Rate (%)</w:t>
            </w:r>
          </w:p>
        </w:tc>
        <w:tc>
          <w:tcPr>
            <w:tcW w:w="1100" w:type="dxa"/>
          </w:tcPr>
          <w:p w14:paraId="0B3376B1" w14:textId="77777777" w:rsidR="006D086C" w:rsidRPr="00564025" w:rsidRDefault="006D086C" w:rsidP="00FD552B">
            <w:pPr>
              <w:jc w:val="center"/>
              <w:rPr>
                <w:sz w:val="20"/>
                <w:szCs w:val="20"/>
              </w:rPr>
            </w:pPr>
            <w:r w:rsidRPr="00564025">
              <w:rPr>
                <w:sz w:val="20"/>
                <w:szCs w:val="20"/>
              </w:rPr>
              <w:t>7.19</w:t>
            </w:r>
          </w:p>
        </w:tc>
        <w:tc>
          <w:tcPr>
            <w:tcW w:w="1100" w:type="dxa"/>
          </w:tcPr>
          <w:p w14:paraId="505D2D35" w14:textId="77777777" w:rsidR="006D086C" w:rsidRPr="00564025" w:rsidRDefault="006D086C" w:rsidP="00FD552B">
            <w:pPr>
              <w:jc w:val="center"/>
              <w:rPr>
                <w:sz w:val="20"/>
                <w:szCs w:val="20"/>
              </w:rPr>
            </w:pPr>
            <w:r w:rsidRPr="00564025">
              <w:rPr>
                <w:sz w:val="20"/>
                <w:szCs w:val="20"/>
              </w:rPr>
              <w:t>3.14</w:t>
            </w:r>
          </w:p>
        </w:tc>
        <w:tc>
          <w:tcPr>
            <w:tcW w:w="1100" w:type="dxa"/>
          </w:tcPr>
          <w:p w14:paraId="219C19FB" w14:textId="77777777" w:rsidR="006D086C" w:rsidRPr="00564025" w:rsidRDefault="006D086C" w:rsidP="00FD552B">
            <w:pPr>
              <w:jc w:val="center"/>
              <w:rPr>
                <w:sz w:val="20"/>
                <w:szCs w:val="20"/>
              </w:rPr>
            </w:pPr>
            <w:r w:rsidRPr="00564025">
              <w:rPr>
                <w:sz w:val="20"/>
                <w:szCs w:val="20"/>
              </w:rPr>
              <w:t>3.50</w:t>
            </w:r>
          </w:p>
        </w:tc>
        <w:tc>
          <w:tcPr>
            <w:tcW w:w="1100" w:type="dxa"/>
          </w:tcPr>
          <w:p w14:paraId="7C9D6FD9" w14:textId="77777777" w:rsidR="006D086C" w:rsidRPr="00564025" w:rsidRDefault="006D086C" w:rsidP="00FD552B">
            <w:pPr>
              <w:jc w:val="center"/>
              <w:rPr>
                <w:sz w:val="20"/>
                <w:szCs w:val="20"/>
              </w:rPr>
            </w:pPr>
            <w:r w:rsidRPr="00564025">
              <w:rPr>
                <w:sz w:val="20"/>
                <w:szCs w:val="20"/>
              </w:rPr>
              <w:t>18.00</w:t>
            </w:r>
          </w:p>
        </w:tc>
        <w:tc>
          <w:tcPr>
            <w:tcW w:w="1100" w:type="dxa"/>
          </w:tcPr>
          <w:p w14:paraId="3ED8C47A" w14:textId="77777777" w:rsidR="006D086C" w:rsidRPr="00564025" w:rsidRDefault="006D086C" w:rsidP="00FD552B">
            <w:pPr>
              <w:jc w:val="center"/>
              <w:rPr>
                <w:sz w:val="20"/>
                <w:szCs w:val="20"/>
              </w:rPr>
            </w:pPr>
            <w:r w:rsidRPr="00564025">
              <w:rPr>
                <w:sz w:val="20"/>
                <w:szCs w:val="20"/>
              </w:rPr>
              <w:t>95</w:t>
            </w:r>
          </w:p>
        </w:tc>
        <w:tc>
          <w:tcPr>
            <w:tcW w:w="1560" w:type="dxa"/>
          </w:tcPr>
          <w:p w14:paraId="1CF664D9" w14:textId="77777777" w:rsidR="006D086C" w:rsidRPr="00564025" w:rsidRDefault="006D086C" w:rsidP="00FD552B">
            <w:pPr>
              <w:jc w:val="center"/>
              <w:rPr>
                <w:sz w:val="20"/>
                <w:szCs w:val="20"/>
              </w:rPr>
            </w:pPr>
            <w:r w:rsidRPr="00564025">
              <w:rPr>
                <w:sz w:val="20"/>
                <w:szCs w:val="20"/>
              </w:rPr>
              <w:t>I(0)</w:t>
            </w:r>
          </w:p>
        </w:tc>
      </w:tr>
      <w:tr w:rsidR="006D086C" w:rsidRPr="00564025" w14:paraId="6BA0B5C4" w14:textId="77777777" w:rsidTr="00FD552B">
        <w:tc>
          <w:tcPr>
            <w:tcW w:w="2300" w:type="dxa"/>
          </w:tcPr>
          <w:p w14:paraId="745A8AA2" w14:textId="77777777" w:rsidR="006D086C" w:rsidRPr="00564025" w:rsidRDefault="006D086C" w:rsidP="00FD552B">
            <w:pPr>
              <w:rPr>
                <w:sz w:val="20"/>
                <w:szCs w:val="20"/>
              </w:rPr>
            </w:pPr>
            <w:r w:rsidRPr="00564025">
              <w:rPr>
                <w:sz w:val="20"/>
                <w:szCs w:val="20"/>
              </w:rPr>
              <w:t>Govt. Expenditure (log, Tril. IDR)</w:t>
            </w:r>
          </w:p>
        </w:tc>
        <w:tc>
          <w:tcPr>
            <w:tcW w:w="1100" w:type="dxa"/>
          </w:tcPr>
          <w:p w14:paraId="50855A24" w14:textId="77777777" w:rsidR="006D086C" w:rsidRPr="00564025" w:rsidRDefault="006D086C" w:rsidP="00FD552B">
            <w:pPr>
              <w:jc w:val="center"/>
              <w:rPr>
                <w:sz w:val="20"/>
                <w:szCs w:val="20"/>
              </w:rPr>
            </w:pPr>
            <w:r w:rsidRPr="00564025">
              <w:rPr>
                <w:sz w:val="20"/>
                <w:szCs w:val="20"/>
              </w:rPr>
              <w:t>5.06</w:t>
            </w:r>
          </w:p>
        </w:tc>
        <w:tc>
          <w:tcPr>
            <w:tcW w:w="1100" w:type="dxa"/>
          </w:tcPr>
          <w:p w14:paraId="26E0097F" w14:textId="77777777" w:rsidR="006D086C" w:rsidRPr="00564025" w:rsidRDefault="006D086C" w:rsidP="00FD552B">
            <w:pPr>
              <w:jc w:val="center"/>
              <w:rPr>
                <w:sz w:val="20"/>
                <w:szCs w:val="20"/>
              </w:rPr>
            </w:pPr>
            <w:r w:rsidRPr="00564025">
              <w:rPr>
                <w:sz w:val="20"/>
                <w:szCs w:val="20"/>
              </w:rPr>
              <w:t>0.29</w:t>
            </w:r>
          </w:p>
        </w:tc>
        <w:tc>
          <w:tcPr>
            <w:tcW w:w="1100" w:type="dxa"/>
          </w:tcPr>
          <w:p w14:paraId="7BD90E9F" w14:textId="77777777" w:rsidR="006D086C" w:rsidRPr="00564025" w:rsidRDefault="006D086C" w:rsidP="00FD552B">
            <w:pPr>
              <w:jc w:val="center"/>
              <w:rPr>
                <w:sz w:val="20"/>
                <w:szCs w:val="20"/>
              </w:rPr>
            </w:pPr>
            <w:r w:rsidRPr="00564025">
              <w:rPr>
                <w:sz w:val="20"/>
                <w:szCs w:val="20"/>
              </w:rPr>
              <w:t>4.25</w:t>
            </w:r>
          </w:p>
        </w:tc>
        <w:tc>
          <w:tcPr>
            <w:tcW w:w="1100" w:type="dxa"/>
          </w:tcPr>
          <w:p w14:paraId="5112E086" w14:textId="77777777" w:rsidR="006D086C" w:rsidRPr="00564025" w:rsidRDefault="006D086C" w:rsidP="00FD552B">
            <w:pPr>
              <w:jc w:val="center"/>
              <w:rPr>
                <w:sz w:val="20"/>
                <w:szCs w:val="20"/>
              </w:rPr>
            </w:pPr>
            <w:r w:rsidRPr="00564025">
              <w:rPr>
                <w:sz w:val="20"/>
                <w:szCs w:val="20"/>
              </w:rPr>
              <w:t>5.54</w:t>
            </w:r>
          </w:p>
        </w:tc>
        <w:tc>
          <w:tcPr>
            <w:tcW w:w="1100" w:type="dxa"/>
          </w:tcPr>
          <w:p w14:paraId="5C3C4AC5" w14:textId="77777777" w:rsidR="006D086C" w:rsidRPr="00564025" w:rsidRDefault="006D086C" w:rsidP="00FD552B">
            <w:pPr>
              <w:jc w:val="center"/>
              <w:rPr>
                <w:sz w:val="20"/>
                <w:szCs w:val="20"/>
              </w:rPr>
            </w:pPr>
            <w:r w:rsidRPr="00564025">
              <w:rPr>
                <w:sz w:val="20"/>
                <w:szCs w:val="20"/>
              </w:rPr>
              <w:t>97</w:t>
            </w:r>
          </w:p>
        </w:tc>
        <w:tc>
          <w:tcPr>
            <w:tcW w:w="1560" w:type="dxa"/>
          </w:tcPr>
          <w:p w14:paraId="100D5C75" w14:textId="77777777" w:rsidR="006D086C" w:rsidRPr="00564025" w:rsidRDefault="006D086C" w:rsidP="00FD552B">
            <w:pPr>
              <w:jc w:val="center"/>
              <w:rPr>
                <w:sz w:val="20"/>
                <w:szCs w:val="20"/>
              </w:rPr>
            </w:pPr>
            <w:r w:rsidRPr="00564025">
              <w:rPr>
                <w:sz w:val="20"/>
                <w:szCs w:val="20"/>
              </w:rPr>
              <w:t>I(1)→ΔI(0)</w:t>
            </w:r>
          </w:p>
        </w:tc>
      </w:tr>
      <w:tr w:rsidR="006D086C" w:rsidRPr="00564025" w14:paraId="7D466AFF" w14:textId="77777777" w:rsidTr="00FD552B">
        <w:tc>
          <w:tcPr>
            <w:tcW w:w="2300" w:type="dxa"/>
          </w:tcPr>
          <w:p w14:paraId="0F6A0210" w14:textId="77777777" w:rsidR="006D086C" w:rsidRPr="00564025" w:rsidRDefault="006D086C" w:rsidP="00FD552B">
            <w:pPr>
              <w:rPr>
                <w:sz w:val="20"/>
                <w:szCs w:val="20"/>
              </w:rPr>
            </w:pPr>
            <w:r w:rsidRPr="00564025">
              <w:rPr>
                <w:sz w:val="20"/>
                <w:szCs w:val="20"/>
              </w:rPr>
              <w:t>IDR/USD Exchange Rate (log)</w:t>
            </w:r>
          </w:p>
        </w:tc>
        <w:tc>
          <w:tcPr>
            <w:tcW w:w="1100" w:type="dxa"/>
          </w:tcPr>
          <w:p w14:paraId="70DDDBFA" w14:textId="77777777" w:rsidR="006D086C" w:rsidRPr="00564025" w:rsidRDefault="006D086C" w:rsidP="00FD552B">
            <w:pPr>
              <w:jc w:val="center"/>
              <w:rPr>
                <w:sz w:val="20"/>
                <w:szCs w:val="20"/>
              </w:rPr>
            </w:pPr>
            <w:r w:rsidRPr="00564025">
              <w:rPr>
                <w:sz w:val="20"/>
                <w:szCs w:val="20"/>
              </w:rPr>
              <w:t>9.30</w:t>
            </w:r>
          </w:p>
        </w:tc>
        <w:tc>
          <w:tcPr>
            <w:tcW w:w="1100" w:type="dxa"/>
          </w:tcPr>
          <w:p w14:paraId="0A4D008E" w14:textId="77777777" w:rsidR="006D086C" w:rsidRPr="00564025" w:rsidRDefault="006D086C" w:rsidP="00FD552B">
            <w:pPr>
              <w:jc w:val="center"/>
              <w:rPr>
                <w:sz w:val="20"/>
                <w:szCs w:val="20"/>
              </w:rPr>
            </w:pPr>
            <w:r w:rsidRPr="00564025">
              <w:rPr>
                <w:sz w:val="20"/>
                <w:szCs w:val="20"/>
              </w:rPr>
              <w:t>0.21</w:t>
            </w:r>
          </w:p>
        </w:tc>
        <w:tc>
          <w:tcPr>
            <w:tcW w:w="1100" w:type="dxa"/>
          </w:tcPr>
          <w:p w14:paraId="471B0F71" w14:textId="77777777" w:rsidR="006D086C" w:rsidRPr="00564025" w:rsidRDefault="006D086C" w:rsidP="00FD552B">
            <w:pPr>
              <w:jc w:val="center"/>
              <w:rPr>
                <w:sz w:val="20"/>
                <w:szCs w:val="20"/>
              </w:rPr>
            </w:pPr>
            <w:r w:rsidRPr="00564025">
              <w:rPr>
                <w:sz w:val="20"/>
                <w:szCs w:val="20"/>
              </w:rPr>
              <w:t>8.90</w:t>
            </w:r>
          </w:p>
        </w:tc>
        <w:tc>
          <w:tcPr>
            <w:tcW w:w="1100" w:type="dxa"/>
          </w:tcPr>
          <w:p w14:paraId="742C434E" w14:textId="77777777" w:rsidR="006D086C" w:rsidRPr="00564025" w:rsidRDefault="006D086C" w:rsidP="00FD552B">
            <w:pPr>
              <w:jc w:val="center"/>
              <w:rPr>
                <w:sz w:val="20"/>
                <w:szCs w:val="20"/>
              </w:rPr>
            </w:pPr>
            <w:r w:rsidRPr="00564025">
              <w:rPr>
                <w:sz w:val="20"/>
                <w:szCs w:val="20"/>
              </w:rPr>
              <w:t>9.71</w:t>
            </w:r>
          </w:p>
        </w:tc>
        <w:tc>
          <w:tcPr>
            <w:tcW w:w="1100" w:type="dxa"/>
          </w:tcPr>
          <w:p w14:paraId="611EFEB2" w14:textId="77777777" w:rsidR="006D086C" w:rsidRPr="00564025" w:rsidRDefault="006D086C" w:rsidP="00FD552B">
            <w:pPr>
              <w:jc w:val="center"/>
              <w:rPr>
                <w:sz w:val="20"/>
                <w:szCs w:val="20"/>
              </w:rPr>
            </w:pPr>
            <w:r w:rsidRPr="00564025">
              <w:rPr>
                <w:sz w:val="20"/>
                <w:szCs w:val="20"/>
              </w:rPr>
              <w:t>97</w:t>
            </w:r>
          </w:p>
        </w:tc>
        <w:tc>
          <w:tcPr>
            <w:tcW w:w="1560" w:type="dxa"/>
          </w:tcPr>
          <w:p w14:paraId="7D1DDA23" w14:textId="77777777" w:rsidR="006D086C" w:rsidRPr="00564025" w:rsidRDefault="006D086C" w:rsidP="00FD552B">
            <w:pPr>
              <w:jc w:val="center"/>
              <w:rPr>
                <w:sz w:val="20"/>
                <w:szCs w:val="20"/>
              </w:rPr>
            </w:pPr>
            <w:r w:rsidRPr="00564025">
              <w:rPr>
                <w:sz w:val="20"/>
                <w:szCs w:val="20"/>
              </w:rPr>
              <w:t>I(1)→ΔI(0)</w:t>
            </w:r>
          </w:p>
        </w:tc>
      </w:tr>
      <w:tr w:rsidR="006D086C" w:rsidRPr="00564025" w14:paraId="483F1498" w14:textId="77777777" w:rsidTr="00FD552B">
        <w:tc>
          <w:tcPr>
            <w:tcW w:w="2300" w:type="dxa"/>
          </w:tcPr>
          <w:p w14:paraId="1183A343" w14:textId="77777777" w:rsidR="006D086C" w:rsidRPr="00564025" w:rsidRDefault="006D086C" w:rsidP="00FD552B">
            <w:pPr>
              <w:rPr>
                <w:sz w:val="20"/>
                <w:szCs w:val="20"/>
              </w:rPr>
            </w:pPr>
            <w:r w:rsidRPr="00564025">
              <w:rPr>
                <w:sz w:val="20"/>
                <w:szCs w:val="20"/>
              </w:rPr>
              <w:t>Foreign Reserves (log, Mil. USD)</w:t>
            </w:r>
          </w:p>
        </w:tc>
        <w:tc>
          <w:tcPr>
            <w:tcW w:w="1100" w:type="dxa"/>
          </w:tcPr>
          <w:p w14:paraId="021B071A" w14:textId="77777777" w:rsidR="006D086C" w:rsidRPr="00564025" w:rsidRDefault="006D086C" w:rsidP="00FD552B">
            <w:pPr>
              <w:jc w:val="center"/>
              <w:rPr>
                <w:sz w:val="20"/>
                <w:szCs w:val="20"/>
              </w:rPr>
            </w:pPr>
            <w:r w:rsidRPr="00564025">
              <w:rPr>
                <w:sz w:val="20"/>
                <w:szCs w:val="20"/>
              </w:rPr>
              <w:t>11.27</w:t>
            </w:r>
          </w:p>
        </w:tc>
        <w:tc>
          <w:tcPr>
            <w:tcW w:w="1100" w:type="dxa"/>
          </w:tcPr>
          <w:p w14:paraId="61EC280A" w14:textId="77777777" w:rsidR="006D086C" w:rsidRPr="00564025" w:rsidRDefault="006D086C" w:rsidP="00FD552B">
            <w:pPr>
              <w:jc w:val="center"/>
              <w:rPr>
                <w:sz w:val="20"/>
                <w:szCs w:val="20"/>
              </w:rPr>
            </w:pPr>
            <w:r w:rsidRPr="00564025">
              <w:rPr>
                <w:sz w:val="20"/>
                <w:szCs w:val="20"/>
              </w:rPr>
              <w:t>0.46</w:t>
            </w:r>
          </w:p>
        </w:tc>
        <w:tc>
          <w:tcPr>
            <w:tcW w:w="1100" w:type="dxa"/>
          </w:tcPr>
          <w:p w14:paraId="3BC8FF4C" w14:textId="77777777" w:rsidR="006D086C" w:rsidRPr="00564025" w:rsidRDefault="006D086C" w:rsidP="00FD552B">
            <w:pPr>
              <w:jc w:val="center"/>
              <w:rPr>
                <w:sz w:val="20"/>
                <w:szCs w:val="20"/>
              </w:rPr>
            </w:pPr>
            <w:r w:rsidRPr="00564025">
              <w:rPr>
                <w:sz w:val="20"/>
                <w:szCs w:val="20"/>
              </w:rPr>
              <w:t>10.19</w:t>
            </w:r>
          </w:p>
        </w:tc>
        <w:tc>
          <w:tcPr>
            <w:tcW w:w="1100" w:type="dxa"/>
          </w:tcPr>
          <w:p w14:paraId="28F6D429" w14:textId="77777777" w:rsidR="006D086C" w:rsidRPr="00564025" w:rsidRDefault="006D086C" w:rsidP="00FD552B">
            <w:pPr>
              <w:jc w:val="center"/>
              <w:rPr>
                <w:sz w:val="20"/>
                <w:szCs w:val="20"/>
              </w:rPr>
            </w:pPr>
            <w:r w:rsidRPr="00564025">
              <w:rPr>
                <w:sz w:val="20"/>
                <w:szCs w:val="20"/>
              </w:rPr>
              <w:t>11.89</w:t>
            </w:r>
          </w:p>
        </w:tc>
        <w:tc>
          <w:tcPr>
            <w:tcW w:w="1100" w:type="dxa"/>
          </w:tcPr>
          <w:p w14:paraId="203602A9" w14:textId="77777777" w:rsidR="006D086C" w:rsidRPr="00564025" w:rsidRDefault="006D086C" w:rsidP="00FD552B">
            <w:pPr>
              <w:jc w:val="center"/>
              <w:rPr>
                <w:sz w:val="20"/>
                <w:szCs w:val="20"/>
              </w:rPr>
            </w:pPr>
            <w:r w:rsidRPr="00564025">
              <w:rPr>
                <w:sz w:val="20"/>
                <w:szCs w:val="20"/>
              </w:rPr>
              <w:t>97</w:t>
            </w:r>
          </w:p>
        </w:tc>
        <w:tc>
          <w:tcPr>
            <w:tcW w:w="1560" w:type="dxa"/>
          </w:tcPr>
          <w:p w14:paraId="5310D819" w14:textId="77777777" w:rsidR="006D086C" w:rsidRPr="00564025" w:rsidRDefault="006D086C" w:rsidP="00FD552B">
            <w:pPr>
              <w:jc w:val="center"/>
              <w:rPr>
                <w:sz w:val="20"/>
                <w:szCs w:val="20"/>
              </w:rPr>
            </w:pPr>
            <w:r w:rsidRPr="00564025">
              <w:rPr>
                <w:sz w:val="20"/>
                <w:szCs w:val="20"/>
              </w:rPr>
              <w:t>I(1)→ΔI(0)</w:t>
            </w:r>
          </w:p>
        </w:tc>
      </w:tr>
      <w:tr w:rsidR="006D086C" w:rsidRPr="00564025" w14:paraId="3A705C4F" w14:textId="77777777" w:rsidTr="00FD552B">
        <w:tc>
          <w:tcPr>
            <w:tcW w:w="2300" w:type="dxa"/>
          </w:tcPr>
          <w:p w14:paraId="3705D912" w14:textId="77777777" w:rsidR="006D086C" w:rsidRPr="00564025" w:rsidRDefault="006D086C" w:rsidP="00FD552B">
            <w:pPr>
              <w:rPr>
                <w:sz w:val="20"/>
                <w:szCs w:val="20"/>
              </w:rPr>
            </w:pPr>
            <w:r w:rsidRPr="00564025">
              <w:rPr>
                <w:sz w:val="20"/>
                <w:szCs w:val="20"/>
              </w:rPr>
              <w:t>World Uncertainty Index (log)</w:t>
            </w:r>
          </w:p>
        </w:tc>
        <w:tc>
          <w:tcPr>
            <w:tcW w:w="1100" w:type="dxa"/>
          </w:tcPr>
          <w:p w14:paraId="766556CF" w14:textId="77777777" w:rsidR="006D086C" w:rsidRPr="00564025" w:rsidRDefault="006D086C" w:rsidP="00FD552B">
            <w:pPr>
              <w:jc w:val="center"/>
              <w:rPr>
                <w:sz w:val="20"/>
                <w:szCs w:val="20"/>
              </w:rPr>
            </w:pPr>
            <w:r w:rsidRPr="00564025">
              <w:rPr>
                <w:sz w:val="20"/>
                <w:szCs w:val="20"/>
              </w:rPr>
              <w:t>9.97</w:t>
            </w:r>
          </w:p>
        </w:tc>
        <w:tc>
          <w:tcPr>
            <w:tcW w:w="1100" w:type="dxa"/>
          </w:tcPr>
          <w:p w14:paraId="28C04A26" w14:textId="77777777" w:rsidR="006D086C" w:rsidRPr="00564025" w:rsidRDefault="006D086C" w:rsidP="00FD552B">
            <w:pPr>
              <w:jc w:val="center"/>
              <w:rPr>
                <w:sz w:val="20"/>
                <w:szCs w:val="20"/>
              </w:rPr>
            </w:pPr>
            <w:r w:rsidRPr="00564025">
              <w:rPr>
                <w:sz w:val="20"/>
                <w:szCs w:val="20"/>
              </w:rPr>
              <w:t>0.41</w:t>
            </w:r>
          </w:p>
        </w:tc>
        <w:tc>
          <w:tcPr>
            <w:tcW w:w="1100" w:type="dxa"/>
          </w:tcPr>
          <w:p w14:paraId="73E94C86" w14:textId="77777777" w:rsidR="006D086C" w:rsidRPr="00564025" w:rsidRDefault="006D086C" w:rsidP="00FD552B">
            <w:pPr>
              <w:jc w:val="center"/>
              <w:rPr>
                <w:sz w:val="20"/>
                <w:szCs w:val="20"/>
              </w:rPr>
            </w:pPr>
            <w:r w:rsidRPr="00564025">
              <w:rPr>
                <w:sz w:val="20"/>
                <w:szCs w:val="20"/>
              </w:rPr>
              <w:t>8.93</w:t>
            </w:r>
          </w:p>
        </w:tc>
        <w:tc>
          <w:tcPr>
            <w:tcW w:w="1100" w:type="dxa"/>
          </w:tcPr>
          <w:p w14:paraId="58299DC6" w14:textId="77777777" w:rsidR="006D086C" w:rsidRPr="00564025" w:rsidRDefault="006D086C" w:rsidP="00FD552B">
            <w:pPr>
              <w:jc w:val="center"/>
              <w:rPr>
                <w:sz w:val="20"/>
                <w:szCs w:val="20"/>
              </w:rPr>
            </w:pPr>
            <w:r w:rsidRPr="00564025">
              <w:rPr>
                <w:sz w:val="20"/>
                <w:szCs w:val="20"/>
              </w:rPr>
              <w:t>10.93</w:t>
            </w:r>
          </w:p>
        </w:tc>
        <w:tc>
          <w:tcPr>
            <w:tcW w:w="1100" w:type="dxa"/>
          </w:tcPr>
          <w:p w14:paraId="4F96A0C0" w14:textId="77777777" w:rsidR="006D086C" w:rsidRPr="00564025" w:rsidRDefault="006D086C" w:rsidP="00FD552B">
            <w:pPr>
              <w:jc w:val="center"/>
              <w:rPr>
                <w:sz w:val="20"/>
                <w:szCs w:val="20"/>
              </w:rPr>
            </w:pPr>
            <w:r w:rsidRPr="00564025">
              <w:rPr>
                <w:sz w:val="20"/>
                <w:szCs w:val="20"/>
              </w:rPr>
              <w:t>96</w:t>
            </w:r>
          </w:p>
        </w:tc>
        <w:tc>
          <w:tcPr>
            <w:tcW w:w="1560" w:type="dxa"/>
          </w:tcPr>
          <w:p w14:paraId="60A1CE33" w14:textId="77777777" w:rsidR="006D086C" w:rsidRPr="00564025" w:rsidRDefault="006D086C" w:rsidP="00FD552B">
            <w:pPr>
              <w:jc w:val="center"/>
              <w:rPr>
                <w:sz w:val="20"/>
                <w:szCs w:val="20"/>
              </w:rPr>
            </w:pPr>
            <w:r w:rsidRPr="00564025">
              <w:rPr>
                <w:sz w:val="20"/>
                <w:szCs w:val="20"/>
              </w:rPr>
              <w:t>I(0)</w:t>
            </w:r>
          </w:p>
        </w:tc>
      </w:tr>
    </w:tbl>
    <w:p w14:paraId="03921E1E" w14:textId="77777777" w:rsidR="006D086C" w:rsidRPr="00564025" w:rsidRDefault="006D086C" w:rsidP="006D086C">
      <w:pPr>
        <w:rPr>
          <w:sz w:val="20"/>
          <w:szCs w:val="20"/>
        </w:rPr>
      </w:pPr>
    </w:p>
    <w:p w14:paraId="179A0917" w14:textId="77777777" w:rsidR="006D086C" w:rsidRPr="00564025" w:rsidRDefault="006D086C" w:rsidP="006D086C">
      <w:pPr>
        <w:spacing w:before="80" w:after="80" w:line="360" w:lineRule="auto"/>
        <w:jc w:val="both"/>
        <w:rPr>
          <w:sz w:val="20"/>
          <w:szCs w:val="20"/>
        </w:rPr>
      </w:pPr>
      <w:r w:rsidRPr="00564025">
        <w:rPr>
          <w:sz w:val="20"/>
          <w:szCs w:val="20"/>
        </w:rPr>
        <w:t>Note: I(d) denotes integration order based on Augmented Dickey-Fuller and Phillips-Perron tests at 5% significance. I(1) variables are first-differenced prior to estimation. Δ denotes first difference.</w:t>
      </w:r>
    </w:p>
    <w:p w14:paraId="0B5B86EF" w14:textId="77777777" w:rsidR="006D086C" w:rsidRDefault="006D086C" w:rsidP="006D086C">
      <w:pPr>
        <w:spacing w:before="80" w:after="80" w:line="360" w:lineRule="auto"/>
        <w:ind w:firstLine="720"/>
        <w:jc w:val="both"/>
        <w:rPr>
          <w:sz w:val="20"/>
          <w:szCs w:val="20"/>
        </w:rPr>
      </w:pPr>
    </w:p>
    <w:p w14:paraId="51542E8E" w14:textId="77777777" w:rsidR="006D086C" w:rsidRPr="00200993" w:rsidRDefault="006D086C" w:rsidP="006D086C">
      <w:pPr>
        <w:spacing w:before="80" w:after="80" w:line="360" w:lineRule="auto"/>
        <w:jc w:val="both"/>
        <w:rPr>
          <w:b/>
          <w:bCs/>
          <w:sz w:val="20"/>
          <w:szCs w:val="20"/>
        </w:rPr>
      </w:pPr>
      <w:r w:rsidRPr="00200993">
        <w:rPr>
          <w:b/>
          <w:bCs/>
          <w:sz w:val="20"/>
          <w:szCs w:val="20"/>
        </w:rPr>
        <w:t>Appendix B: Nash Equilibrium Validation of SCCI</w:t>
      </w:r>
    </w:p>
    <w:p w14:paraId="258ACC1D" w14:textId="77777777" w:rsidR="006D086C" w:rsidRPr="00564025" w:rsidRDefault="006D086C" w:rsidP="006D086C">
      <w:pPr>
        <w:spacing w:before="80" w:after="80" w:line="360" w:lineRule="auto"/>
        <w:ind w:firstLine="720"/>
        <w:jc w:val="both"/>
        <w:rPr>
          <w:sz w:val="20"/>
          <w:szCs w:val="20"/>
        </w:rPr>
      </w:pPr>
      <w:r w:rsidRPr="00564025">
        <w:rPr>
          <w:sz w:val="20"/>
          <w:szCs w:val="20"/>
        </w:rPr>
        <w:t>To validate the SCCI against the game-theoretic literature, we construct a simplified Nash equilibrium benchmark following Salimi et al. (2025). Both authorities are modeled as minimizing quadratic loss functions:</w:t>
      </w:r>
    </w:p>
    <w:p w14:paraId="58C535CC" w14:textId="77777777" w:rsidR="006D086C" w:rsidRPr="00564025" w:rsidRDefault="006D086C" w:rsidP="006D086C">
      <w:pPr>
        <w:spacing w:before="100" w:after="60"/>
        <w:jc w:val="center"/>
        <w:rPr>
          <w:sz w:val="20"/>
          <w:szCs w:val="20"/>
        </w:rPr>
      </w:pPr>
      <w:r w:rsidRPr="00564025">
        <w:rPr>
          <w:i/>
          <w:iCs/>
          <w:sz w:val="20"/>
          <w:szCs w:val="20"/>
        </w:rPr>
        <w:t>Lᵜᵃₜ = α₁(πₜ−π*)² + α₂(ŷₜ)² + α₃(rₜ−r*)²</w:t>
      </w:r>
    </w:p>
    <w:p w14:paraId="20ADB4F8" w14:textId="77777777" w:rsidR="006D086C" w:rsidRPr="00564025" w:rsidRDefault="006D086C" w:rsidP="006D086C">
      <w:pPr>
        <w:spacing w:after="100"/>
        <w:jc w:val="center"/>
        <w:rPr>
          <w:sz w:val="20"/>
          <w:szCs w:val="20"/>
        </w:rPr>
      </w:pPr>
      <w:r w:rsidRPr="00564025">
        <w:rPr>
          <w:i/>
          <w:iCs/>
          <w:sz w:val="20"/>
          <w:szCs w:val="20"/>
        </w:rPr>
        <w:t>Lᵜᵆₜ = β₁(ŷₜ)² + β₂(dₜ−d*)² + β₃(gₜ−g*)²</w:t>
      </w:r>
    </w:p>
    <w:p w14:paraId="43044A1D" w14:textId="77777777" w:rsidR="006D086C" w:rsidRPr="00564025" w:rsidRDefault="006D086C" w:rsidP="006D086C">
      <w:pPr>
        <w:spacing w:before="80" w:after="80" w:line="360" w:lineRule="auto"/>
        <w:ind w:firstLine="720"/>
        <w:jc w:val="both"/>
        <w:rPr>
          <w:sz w:val="20"/>
          <w:szCs w:val="20"/>
        </w:rPr>
      </w:pPr>
      <w:r w:rsidRPr="00564025">
        <w:rPr>
          <w:sz w:val="20"/>
          <w:szCs w:val="20"/>
        </w:rPr>
        <w:t>where πₜ is inflation, ŷₜ is the output gap, rₜ is the policy rate, dₜ is the fiscal deficit ratio, and gₜ is government spending growth. The asterisks denote targets. Best response functions are estimated by OLS for each authority. The Nash equilibrium is the intersection of both best response functions in each quarter. We define coordination as the deviation of actual policy from the Nash equilibrium in the direction of the cooperative Pareto optimum. We find that SCCI = +1 periods correspond to actual policy that is closer to the cooperative Pareto solution in 87% of cases, and SCCI = −1 periods correspond to Nash equilibrium divergence in 79% of cases. This validation confirms that the SCCI is a valid proxy for the game-theoretic coordination concept.</w:t>
      </w:r>
    </w:p>
    <w:p w14:paraId="5A35429F"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6C"/>
    <w:rsid w:val="002C7D54"/>
    <w:rsid w:val="0033371E"/>
    <w:rsid w:val="005C0D39"/>
    <w:rsid w:val="006D086C"/>
    <w:rsid w:val="0070406C"/>
    <w:rsid w:val="00724754"/>
    <w:rsid w:val="00C321FA"/>
    <w:rsid w:val="00C97210"/>
    <w:rsid w:val="00EB4A2D"/>
    <w:rsid w:val="00EE513F"/>
    <w:rsid w:val="00FC5004"/>
    <w:rsid w:val="00FE4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DDD4"/>
  <w15:chartTrackingRefBased/>
  <w15:docId w15:val="{1F20FC45-C1E8-457A-9769-1E79E17D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86C"/>
    <w:pPr>
      <w:spacing w:after="0" w:line="240" w:lineRule="auto"/>
    </w:pPr>
    <w:rPr>
      <w:rFonts w:ascii="Times New Roman" w:eastAsia="Times New Roman" w:hAnsi="Times New Roman" w:cs="Times New Roman"/>
      <w:kern w:val="0"/>
      <w:sz w:val="22"/>
      <w:szCs w:val="22"/>
      <w:lang w:val="id-ID" w:eastAsia="id-ID"/>
      <w14:ligatures w14:val="none"/>
    </w:rPr>
  </w:style>
  <w:style w:type="paragraph" w:styleId="Heading1">
    <w:name w:val="heading 1"/>
    <w:basedOn w:val="Normal"/>
    <w:next w:val="Normal"/>
    <w:link w:val="Heading1Char"/>
    <w:uiPriority w:val="9"/>
    <w:qFormat/>
    <w:rsid w:val="006D08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6D08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6D08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6D086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6D086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6D086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6D086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6D086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6D086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86C"/>
    <w:rPr>
      <w:rFonts w:eastAsiaTheme="majorEastAsia" w:cstheme="majorBidi"/>
      <w:color w:val="272727" w:themeColor="text1" w:themeTint="D8"/>
    </w:rPr>
  </w:style>
  <w:style w:type="paragraph" w:styleId="Title">
    <w:name w:val="Title"/>
    <w:basedOn w:val="Normal"/>
    <w:next w:val="Normal"/>
    <w:link w:val="TitleChar"/>
    <w:uiPriority w:val="10"/>
    <w:qFormat/>
    <w:rsid w:val="006D086C"/>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6D0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8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6D0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86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6D086C"/>
    <w:rPr>
      <w:i/>
      <w:iCs/>
      <w:color w:val="404040" w:themeColor="text1" w:themeTint="BF"/>
    </w:rPr>
  </w:style>
  <w:style w:type="paragraph" w:styleId="ListParagraph">
    <w:name w:val="List Paragraph"/>
    <w:basedOn w:val="Normal"/>
    <w:uiPriority w:val="34"/>
    <w:qFormat/>
    <w:rsid w:val="006D086C"/>
    <w:pPr>
      <w:spacing w:after="160"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6D086C"/>
    <w:rPr>
      <w:i/>
      <w:iCs/>
      <w:color w:val="0F4761" w:themeColor="accent1" w:themeShade="BF"/>
    </w:rPr>
  </w:style>
  <w:style w:type="paragraph" w:styleId="IntenseQuote">
    <w:name w:val="Intense Quote"/>
    <w:basedOn w:val="Normal"/>
    <w:next w:val="Normal"/>
    <w:link w:val="IntenseQuoteChar"/>
    <w:uiPriority w:val="30"/>
    <w:qFormat/>
    <w:rsid w:val="006D08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6D086C"/>
    <w:rPr>
      <w:i/>
      <w:iCs/>
      <w:color w:val="0F4761" w:themeColor="accent1" w:themeShade="BF"/>
    </w:rPr>
  </w:style>
  <w:style w:type="character" w:styleId="IntenseReference">
    <w:name w:val="Intense Reference"/>
    <w:basedOn w:val="DefaultParagraphFont"/>
    <w:uiPriority w:val="32"/>
    <w:qFormat/>
    <w:rsid w:val="006D086C"/>
    <w:rPr>
      <w:b/>
      <w:bCs/>
      <w:smallCaps/>
      <w:color w:val="0F4761" w:themeColor="accent1" w:themeShade="BF"/>
      <w:spacing w:val="5"/>
    </w:rPr>
  </w:style>
  <w:style w:type="table" w:styleId="TableGrid">
    <w:name w:val="Table Grid"/>
    <w:basedOn w:val="TableNormal"/>
    <w:uiPriority w:val="39"/>
    <w:rsid w:val="006D086C"/>
    <w:pPr>
      <w:spacing w:after="0" w:line="240" w:lineRule="auto"/>
    </w:pPr>
    <w:rPr>
      <w:rFonts w:ascii="Times New Roman" w:eastAsia="Times New Roman" w:hAnsi="Times New Roman" w:cs="Times New Roman"/>
      <w:kern w:val="0"/>
      <w:sz w:val="22"/>
      <w:szCs w:val="22"/>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2026-05-12T10:31:00Z</dcterms:created>
  <dcterms:modified xsi:type="dcterms:W3CDTF">2026-05-12T10:32:00Z</dcterms:modified>
</cp:coreProperties>
</file>