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CF665" w14:textId="66A58746" w:rsidR="00E55B1F" w:rsidRDefault="00E55B1F" w:rsidP="00E55B1F">
      <w:pPr>
        <w:spacing w:line="480" w:lineRule="auto"/>
        <w:ind w:right="2312"/>
        <w:jc w:val="both"/>
        <w:rPr>
          <w:b/>
        </w:rPr>
      </w:pPr>
      <w:r>
        <w:rPr>
          <w:b/>
        </w:rPr>
        <w:t>SUPPLEMENTARY FIGURES</w:t>
      </w:r>
    </w:p>
    <w:p w14:paraId="7DA0609C" w14:textId="77777777" w:rsidR="00E55B1F" w:rsidRDefault="00E55B1F" w:rsidP="00E55B1F">
      <w:pPr>
        <w:spacing w:line="480" w:lineRule="auto"/>
        <w:ind w:right="2312"/>
        <w:jc w:val="both"/>
        <w:rPr>
          <w:b/>
        </w:rPr>
      </w:pPr>
    </w:p>
    <w:p w14:paraId="1029E646" w14:textId="01E4A0E9" w:rsidR="00E55B1F" w:rsidRDefault="00E55B1F" w:rsidP="00E55B1F">
      <w:pPr>
        <w:spacing w:line="480" w:lineRule="auto"/>
        <w:jc w:val="both"/>
        <w:rPr>
          <w:b/>
        </w:rPr>
      </w:pPr>
      <w:r w:rsidRPr="008C23C8">
        <w:rPr>
          <w:noProof/>
        </w:rPr>
        <w:drawing>
          <wp:inline distT="0" distB="0" distL="0" distR="0" wp14:anchorId="3AFDBF3F" wp14:editId="7C817000">
            <wp:extent cx="5448138" cy="3598935"/>
            <wp:effectExtent l="0" t="0" r="0" b="0"/>
            <wp:docPr id="47205706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057068" name="Picture 1" descr="A screenshot of a computer&#10;&#10;AI-generated content may be incorrect."/>
                    <pic:cNvPicPr/>
                  </pic:nvPicPr>
                  <pic:blipFill rotWithShape="1">
                    <a:blip r:embed="rId4"/>
                    <a:srcRect l="4923" b="9195"/>
                    <a:stretch>
                      <a:fillRect/>
                    </a:stretch>
                  </pic:blipFill>
                  <pic:spPr bwMode="auto">
                    <a:xfrm>
                      <a:off x="0" y="0"/>
                      <a:ext cx="5449345" cy="3599733"/>
                    </a:xfrm>
                    <a:prstGeom prst="rect">
                      <a:avLst/>
                    </a:prstGeom>
                    <a:ln>
                      <a:noFill/>
                    </a:ln>
                    <a:extLst>
                      <a:ext uri="{53640926-AAD7-44D8-BBD7-CCE9431645EC}">
                        <a14:shadowObscured xmlns:a14="http://schemas.microsoft.com/office/drawing/2010/main"/>
                      </a:ext>
                    </a:extLst>
                  </pic:spPr>
                </pic:pic>
              </a:graphicData>
            </a:graphic>
          </wp:inline>
        </w:drawing>
      </w:r>
    </w:p>
    <w:p w14:paraId="3273D11D" w14:textId="77777777" w:rsidR="00E55B1F" w:rsidRDefault="00E55B1F" w:rsidP="00E55B1F">
      <w:pPr>
        <w:spacing w:line="360" w:lineRule="auto"/>
        <w:jc w:val="both"/>
        <w:rPr>
          <w:b/>
        </w:rPr>
      </w:pPr>
      <w:r>
        <w:rPr>
          <w:b/>
        </w:rPr>
        <w:t>Supplemental Figure 1. Study design overview</w:t>
      </w:r>
    </w:p>
    <w:p w14:paraId="202A1C87" w14:textId="77777777" w:rsidR="00E55B1F" w:rsidRDefault="00E55B1F" w:rsidP="00E55B1F">
      <w:pPr>
        <w:spacing w:line="360" w:lineRule="auto"/>
        <w:jc w:val="both"/>
      </w:pPr>
      <w:r w:rsidRPr="00BF2AE7">
        <w:t xml:space="preserve">Study design for the open-label, randomized crossover </w:t>
      </w:r>
      <w:proofErr w:type="spellStart"/>
      <w:r w:rsidRPr="00BF2AE7">
        <w:t>uChoose</w:t>
      </w:r>
      <w:proofErr w:type="spellEnd"/>
      <w:r w:rsidRPr="00BF2AE7">
        <w:t xml:space="preserve"> trial conducted among adolescent girls and young women (AGYW). Participants were randomized to one of three hormonal contraceptive methods: combined oral contraceptive pills (COCPs), injectable norethisterone enanthate (Net-EN), or the combined contraceptive vaginal ring (CCVR). In the parent </w:t>
      </w:r>
      <w:proofErr w:type="spellStart"/>
      <w:r w:rsidRPr="00BF2AE7">
        <w:t>uChoose</w:t>
      </w:r>
      <w:proofErr w:type="spellEnd"/>
      <w:r w:rsidRPr="00BF2AE7">
        <w:t xml:space="preserve"> trial, participants used an assigned hormonal contraceptive method for 16 weeks before crossing over to an alternative method, with no washout period between interventions; the primary outcomes of the parent trial were acceptability, feasibility, and adherence. The present HPV sub-study was restricted to samples collected at baseline and after the initial 16-week randomized exposure period, prior to crossover, and evaluated HPV prevalence and genotype dynamics. Accordingly, analyses presented here reflect comparisons across contraceptive methods during the first exposure period only. Numbers (n) indicate the number of participants with available and typeable HPV genotyping data for the specific outcome and time point shown; variation in n across contraceptive arms reflects missing or insufficient samples for genotyping at specific visits.</w:t>
      </w:r>
    </w:p>
    <w:p w14:paraId="0A953C77" w14:textId="77777777" w:rsidR="00E55B1F" w:rsidRDefault="00E55B1F" w:rsidP="00E55B1F">
      <w:pPr>
        <w:spacing w:line="480" w:lineRule="auto"/>
        <w:jc w:val="both"/>
      </w:pPr>
    </w:p>
    <w:p w14:paraId="27A9296B" w14:textId="1FA6B1C2" w:rsidR="00E55B1F" w:rsidRDefault="00E55B1F" w:rsidP="00E55B1F">
      <w:pPr>
        <w:spacing w:line="480" w:lineRule="auto"/>
        <w:jc w:val="both"/>
        <w:rPr>
          <w:b/>
          <w:bCs/>
        </w:rPr>
      </w:pPr>
      <w:r w:rsidRPr="008C23C8">
        <w:rPr>
          <w:noProof/>
        </w:rPr>
        <w:lastRenderedPageBreak/>
        <w:drawing>
          <wp:inline distT="0" distB="0" distL="0" distR="0" wp14:anchorId="58FE28AE" wp14:editId="1FCC3A2C">
            <wp:extent cx="6177064" cy="4550541"/>
            <wp:effectExtent l="0" t="0" r="0" b="0"/>
            <wp:docPr id="559037301"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037301" name="Picture 1" descr="A screenshot of a computer screen&#10;&#10;AI-generated content may be incorrect."/>
                    <pic:cNvPicPr/>
                  </pic:nvPicPr>
                  <pic:blipFill rotWithShape="1">
                    <a:blip r:embed="rId5"/>
                    <a:srcRect b="5655"/>
                    <a:stretch>
                      <a:fillRect/>
                    </a:stretch>
                  </pic:blipFill>
                  <pic:spPr bwMode="auto">
                    <a:xfrm>
                      <a:off x="0" y="0"/>
                      <a:ext cx="6207578" cy="4573020"/>
                    </a:xfrm>
                    <a:prstGeom prst="rect">
                      <a:avLst/>
                    </a:prstGeom>
                    <a:ln>
                      <a:noFill/>
                    </a:ln>
                    <a:extLst>
                      <a:ext uri="{53640926-AAD7-44D8-BBD7-CCE9431645EC}">
                        <a14:shadowObscured xmlns:a14="http://schemas.microsoft.com/office/drawing/2010/main"/>
                      </a:ext>
                    </a:extLst>
                  </pic:spPr>
                </pic:pic>
              </a:graphicData>
            </a:graphic>
          </wp:inline>
        </w:drawing>
      </w:r>
    </w:p>
    <w:p w14:paraId="1A3D5768" w14:textId="2939C0E0" w:rsidR="00E55B1F" w:rsidRPr="00D309A3" w:rsidRDefault="00E55B1F" w:rsidP="00E55B1F">
      <w:pPr>
        <w:spacing w:line="360" w:lineRule="auto"/>
        <w:jc w:val="both"/>
        <w:rPr>
          <w:b/>
          <w:bCs/>
        </w:rPr>
      </w:pPr>
      <w:r w:rsidRPr="00D309A3">
        <w:rPr>
          <w:b/>
          <w:bCs/>
        </w:rPr>
        <w:t>Supplementary Figure 2. Distribution of HPV genotypes at baseline and 16 weeks by randomized contraceptive arm.</w:t>
      </w:r>
    </w:p>
    <w:p w14:paraId="3E4EF0C5" w14:textId="77777777" w:rsidR="00E55B1F" w:rsidRDefault="00E55B1F" w:rsidP="00E55B1F">
      <w:pPr>
        <w:spacing w:line="360" w:lineRule="auto"/>
        <w:jc w:val="both"/>
      </w:pPr>
      <w:r w:rsidRPr="00BF2AE7">
        <w:t xml:space="preserve">Distribution of HPV genotypes among adolescent girls and young women (AGYW) at baseline and at 16 weeks, using all available samples at each time point. Each bar graph represents the prevalence of a specific HPV genotype. Light colours indicate low-risk HPV (LR-HPV) types, while dark colours represent high-risk HPV (HR-HPV) types. Genotypes no longer classified as high-risk by the International Agency for Research on Cancer (IARC) are shown in green italics. Genotypes targeted by the bivalent (HPV-16, -18), quadrivalent (HPV-6, -11, -16, -18), and </w:t>
      </w:r>
      <w:proofErr w:type="spellStart"/>
      <w:r w:rsidRPr="00BF2AE7">
        <w:t>nonavalent</w:t>
      </w:r>
      <w:proofErr w:type="spellEnd"/>
      <w:r w:rsidRPr="00BF2AE7">
        <w:t xml:space="preserve"> (HPV-6, -11, -16, -18, -31, -33, -45, -52, -58) vaccines are highlighted in bold. Although the parent </w:t>
      </w:r>
      <w:proofErr w:type="spellStart"/>
      <w:r w:rsidRPr="00BF2AE7">
        <w:t>uChoose</w:t>
      </w:r>
      <w:proofErr w:type="spellEnd"/>
      <w:r w:rsidRPr="00BF2AE7">
        <w:t xml:space="preserve"> trial employed a crossover design, the present HPV sub-study includes only data from the first randomized exposure period (baseline to 16 weeks), prior to crossover.</w:t>
      </w:r>
    </w:p>
    <w:p w14:paraId="7577940C" w14:textId="77777777" w:rsidR="00E55B1F" w:rsidRDefault="00E55B1F" w:rsidP="00E55B1F">
      <w:pPr>
        <w:spacing w:line="480" w:lineRule="auto"/>
        <w:jc w:val="both"/>
        <w:rPr>
          <w:b/>
        </w:rPr>
      </w:pPr>
    </w:p>
    <w:p w14:paraId="5445B454" w14:textId="77777777" w:rsidR="00E55B1F" w:rsidRDefault="00E55B1F" w:rsidP="00E55B1F">
      <w:pPr>
        <w:spacing w:line="480" w:lineRule="auto"/>
        <w:jc w:val="both"/>
        <w:rPr>
          <w:b/>
        </w:rPr>
      </w:pPr>
    </w:p>
    <w:p w14:paraId="28B8A029" w14:textId="77777777" w:rsidR="00E55B1F" w:rsidRDefault="00E55B1F" w:rsidP="00E55B1F">
      <w:pPr>
        <w:spacing w:line="480" w:lineRule="auto"/>
        <w:jc w:val="both"/>
        <w:rPr>
          <w:b/>
        </w:rPr>
      </w:pPr>
    </w:p>
    <w:p w14:paraId="5E55A73E" w14:textId="16FDCF71" w:rsidR="00E55B1F" w:rsidRDefault="00E55B1F" w:rsidP="00E55B1F">
      <w:pPr>
        <w:spacing w:line="480" w:lineRule="auto"/>
        <w:jc w:val="both"/>
        <w:rPr>
          <w:b/>
        </w:rPr>
      </w:pPr>
      <w:r w:rsidRPr="008C23C8">
        <w:rPr>
          <w:noProof/>
        </w:rPr>
        <w:lastRenderedPageBreak/>
        <w:drawing>
          <wp:inline distT="0" distB="0" distL="0" distR="0" wp14:anchorId="220BD454" wp14:editId="664741D2">
            <wp:extent cx="5731276" cy="2548647"/>
            <wp:effectExtent l="0" t="0" r="0" b="0"/>
            <wp:docPr id="928140653" name="Picture 1" descr="A group of colorful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140653" name="Picture 1" descr="A group of colorful bars&#10;&#10;AI-generated content may be incorrect."/>
                    <pic:cNvPicPr/>
                  </pic:nvPicPr>
                  <pic:blipFill rotWithShape="1">
                    <a:blip r:embed="rId6"/>
                    <a:srcRect b="26274"/>
                    <a:stretch>
                      <a:fillRect/>
                    </a:stretch>
                  </pic:blipFill>
                  <pic:spPr bwMode="auto">
                    <a:xfrm>
                      <a:off x="0" y="0"/>
                      <a:ext cx="5731510" cy="2548751"/>
                    </a:xfrm>
                    <a:prstGeom prst="rect">
                      <a:avLst/>
                    </a:prstGeom>
                    <a:ln>
                      <a:noFill/>
                    </a:ln>
                    <a:extLst>
                      <a:ext uri="{53640926-AAD7-44D8-BBD7-CCE9431645EC}">
                        <a14:shadowObscured xmlns:a14="http://schemas.microsoft.com/office/drawing/2010/main"/>
                      </a:ext>
                    </a:extLst>
                  </pic:spPr>
                </pic:pic>
              </a:graphicData>
            </a:graphic>
          </wp:inline>
        </w:drawing>
      </w:r>
    </w:p>
    <w:p w14:paraId="07779270" w14:textId="468B0543" w:rsidR="00E55B1F" w:rsidRDefault="00E55B1F" w:rsidP="00E55B1F">
      <w:pPr>
        <w:spacing w:line="360" w:lineRule="auto"/>
        <w:jc w:val="both"/>
        <w:rPr>
          <w:b/>
        </w:rPr>
      </w:pPr>
      <w:r>
        <w:rPr>
          <w:b/>
        </w:rPr>
        <w:t>Supplementary Figure 3. HPV Genotype Distribution Across Contraceptive Arms.</w:t>
      </w:r>
    </w:p>
    <w:p w14:paraId="113992C1" w14:textId="77777777" w:rsidR="00E55B1F" w:rsidRDefault="00E55B1F" w:rsidP="00E55B1F">
      <w:pPr>
        <w:spacing w:line="360" w:lineRule="auto"/>
        <w:jc w:val="both"/>
      </w:pPr>
      <w:r>
        <w:t xml:space="preserve">Stacked bars show the prevalence of HR HPV types (including HPV-66 and -68 which were previously classified as HR) that were newly acquired between 0 and 16 weeks (left panel), cleared (middle panel), or persisted (right panel), stratified by genotype and contraceptive method, </w:t>
      </w:r>
      <w:r w:rsidRPr="00B001EF">
        <w:t>based on paired baseline and week 16 samples only</w:t>
      </w:r>
      <w:r>
        <w:t xml:space="preserve">. Panels represent data for Net-EN (n=36), COCPs (n=25), and CCVR (n=26), based on paired samples between baseline and week 16 visits. </w:t>
      </w:r>
    </w:p>
    <w:p w14:paraId="2CE07567" w14:textId="38E462C9" w:rsidR="00A67144" w:rsidRDefault="00A67144"/>
    <w:sectPr w:rsidR="00A671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1F"/>
    <w:rsid w:val="000156C0"/>
    <w:rsid w:val="00037802"/>
    <w:rsid w:val="00066F70"/>
    <w:rsid w:val="000B71E4"/>
    <w:rsid w:val="000F5CB5"/>
    <w:rsid w:val="0016199F"/>
    <w:rsid w:val="001852C8"/>
    <w:rsid w:val="001A002D"/>
    <w:rsid w:val="001D0D4C"/>
    <w:rsid w:val="002406D4"/>
    <w:rsid w:val="002C7A6C"/>
    <w:rsid w:val="002E4175"/>
    <w:rsid w:val="0031324E"/>
    <w:rsid w:val="00376DC2"/>
    <w:rsid w:val="003D3B93"/>
    <w:rsid w:val="003F2C98"/>
    <w:rsid w:val="00426971"/>
    <w:rsid w:val="00442EB8"/>
    <w:rsid w:val="00451B91"/>
    <w:rsid w:val="004D7F83"/>
    <w:rsid w:val="005054DA"/>
    <w:rsid w:val="00562209"/>
    <w:rsid w:val="0058124A"/>
    <w:rsid w:val="005A0C56"/>
    <w:rsid w:val="005B7FFA"/>
    <w:rsid w:val="005C44E6"/>
    <w:rsid w:val="00602433"/>
    <w:rsid w:val="006041B1"/>
    <w:rsid w:val="00655C7D"/>
    <w:rsid w:val="00696BC8"/>
    <w:rsid w:val="006F007C"/>
    <w:rsid w:val="006F3BAC"/>
    <w:rsid w:val="007167D5"/>
    <w:rsid w:val="00741EB7"/>
    <w:rsid w:val="00751FFD"/>
    <w:rsid w:val="00785C0F"/>
    <w:rsid w:val="00790B1F"/>
    <w:rsid w:val="007B2F4D"/>
    <w:rsid w:val="007B6E6C"/>
    <w:rsid w:val="008027BF"/>
    <w:rsid w:val="00897FA3"/>
    <w:rsid w:val="008D1DB7"/>
    <w:rsid w:val="008D39AE"/>
    <w:rsid w:val="009A792B"/>
    <w:rsid w:val="00A67144"/>
    <w:rsid w:val="00B00E89"/>
    <w:rsid w:val="00B040AD"/>
    <w:rsid w:val="00B43991"/>
    <w:rsid w:val="00BD3518"/>
    <w:rsid w:val="00BF276B"/>
    <w:rsid w:val="00C03772"/>
    <w:rsid w:val="00C1315D"/>
    <w:rsid w:val="00C76EEF"/>
    <w:rsid w:val="00CC1AE6"/>
    <w:rsid w:val="00CE5127"/>
    <w:rsid w:val="00D0727F"/>
    <w:rsid w:val="00D50189"/>
    <w:rsid w:val="00D50F2F"/>
    <w:rsid w:val="00D604C1"/>
    <w:rsid w:val="00D64436"/>
    <w:rsid w:val="00D87488"/>
    <w:rsid w:val="00DE77A1"/>
    <w:rsid w:val="00E16BEB"/>
    <w:rsid w:val="00E55B1F"/>
    <w:rsid w:val="00EA0950"/>
    <w:rsid w:val="00F13776"/>
    <w:rsid w:val="00F169E3"/>
    <w:rsid w:val="00FA476A"/>
    <w:rsid w:val="00FB5EAD"/>
    <w:rsid w:val="00FB708C"/>
    <w:rsid w:val="00FD18F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554DCC9F"/>
  <w15:chartTrackingRefBased/>
  <w15:docId w15:val="{A99ABD09-8E5D-394D-BD58-388F624B3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B1F"/>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E55B1F"/>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55B1F"/>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55B1F"/>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55B1F"/>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E55B1F"/>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E55B1F"/>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E55B1F"/>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E55B1F"/>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E55B1F"/>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B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5B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5B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5B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5B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5B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B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B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B1F"/>
    <w:rPr>
      <w:rFonts w:eastAsiaTheme="majorEastAsia" w:cstheme="majorBidi"/>
      <w:color w:val="272727" w:themeColor="text1" w:themeTint="D8"/>
    </w:rPr>
  </w:style>
  <w:style w:type="paragraph" w:styleId="Title">
    <w:name w:val="Title"/>
    <w:basedOn w:val="Normal"/>
    <w:next w:val="Normal"/>
    <w:link w:val="TitleChar"/>
    <w:uiPriority w:val="10"/>
    <w:qFormat/>
    <w:rsid w:val="00E55B1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55B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B1F"/>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55B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B1F"/>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E55B1F"/>
    <w:rPr>
      <w:i/>
      <w:iCs/>
      <w:color w:val="404040" w:themeColor="text1" w:themeTint="BF"/>
    </w:rPr>
  </w:style>
  <w:style w:type="paragraph" w:styleId="ListParagraph">
    <w:name w:val="List Paragraph"/>
    <w:basedOn w:val="Normal"/>
    <w:uiPriority w:val="34"/>
    <w:qFormat/>
    <w:rsid w:val="00E55B1F"/>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E55B1F"/>
    <w:rPr>
      <w:i/>
      <w:iCs/>
      <w:color w:val="0F4761" w:themeColor="accent1" w:themeShade="BF"/>
    </w:rPr>
  </w:style>
  <w:style w:type="paragraph" w:styleId="IntenseQuote">
    <w:name w:val="Intense Quote"/>
    <w:basedOn w:val="Normal"/>
    <w:next w:val="Normal"/>
    <w:link w:val="IntenseQuoteChar"/>
    <w:uiPriority w:val="30"/>
    <w:qFormat/>
    <w:rsid w:val="00E55B1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E55B1F"/>
    <w:rPr>
      <w:i/>
      <w:iCs/>
      <w:color w:val="0F4761" w:themeColor="accent1" w:themeShade="BF"/>
    </w:rPr>
  </w:style>
  <w:style w:type="character" w:styleId="IntenseReference">
    <w:name w:val="Intense Reference"/>
    <w:basedOn w:val="DefaultParagraphFont"/>
    <w:uiPriority w:val="32"/>
    <w:qFormat/>
    <w:rsid w:val="00E55B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Passmore</dc:creator>
  <cp:keywords/>
  <dc:description/>
  <cp:lastModifiedBy>Jo-Ann Passmore</cp:lastModifiedBy>
  <cp:revision>1</cp:revision>
  <dcterms:created xsi:type="dcterms:W3CDTF">2026-05-12T09:11:00Z</dcterms:created>
  <dcterms:modified xsi:type="dcterms:W3CDTF">2026-05-12T09:15:00Z</dcterms:modified>
</cp:coreProperties>
</file>