
<file path=[Content_Types].xml><?xml version="1.0" encoding="utf-8"?>
<Types xmlns="http://schemas.openxmlformats.org/package/2006/content-types">
  <Default Extension="tiff" ContentType="image/tif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1E14DE">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lang w:val="en-US" w:eastAsia="zh-CN" w:bidi="ar"/>
        </w:rPr>
      </w:pPr>
      <w:r>
        <w:rPr>
          <w:rFonts w:hint="eastAsia" w:ascii="Times New Roman" w:hAnsi="Times New Roman" w:eastAsia="宋体" w:cs="Times New Roman"/>
          <w:b/>
          <w:bCs/>
          <w:color w:val="000000"/>
          <w:kern w:val="0"/>
          <w:sz w:val="21"/>
          <w:szCs w:val="21"/>
          <w:lang w:val="en-US" w:eastAsia="zh-CN" w:bidi="ar"/>
        </w:rPr>
        <w:t xml:space="preserve">Table </w:t>
      </w:r>
      <w:r>
        <w:rPr>
          <w:rFonts w:hint="default" w:ascii="Times New Roman" w:hAnsi="Times New Roman" w:eastAsia="宋体" w:cs="Times New Roman"/>
          <w:b/>
          <w:bCs/>
          <w:color w:val="000000"/>
          <w:kern w:val="0"/>
          <w:sz w:val="21"/>
          <w:szCs w:val="21"/>
          <w:lang w:val="en-US" w:eastAsia="zh-CN" w:bidi="ar"/>
        </w:rPr>
        <w:t>1.</w:t>
      </w:r>
      <w:r>
        <w:rPr>
          <w:rFonts w:hint="eastAsia" w:ascii="Times New Roman" w:hAnsi="Times New Roman" w:eastAsia="宋体" w:cs="Times New Roman"/>
          <w:b/>
          <w:bCs/>
          <w:color w:val="000000"/>
          <w:kern w:val="0"/>
          <w:sz w:val="21"/>
          <w:szCs w:val="21"/>
          <w:lang w:val="en-US" w:eastAsia="zh-CN" w:bidi="ar"/>
        </w:rPr>
        <w:t xml:space="preserve"> S</w:t>
      </w:r>
      <w:r>
        <w:rPr>
          <w:rFonts w:hint="default" w:ascii="Times New Roman" w:hAnsi="Times New Roman" w:eastAsia="宋体" w:cs="Times New Roman"/>
          <w:b/>
          <w:bCs/>
          <w:color w:val="000000"/>
          <w:kern w:val="0"/>
          <w:sz w:val="21"/>
          <w:szCs w:val="21"/>
          <w:lang w:val="en-US" w:eastAsia="zh-CN" w:bidi="ar"/>
        </w:rPr>
        <w:t>iRNA Sequences</w:t>
      </w:r>
    </w:p>
    <w:p w14:paraId="4B5F68AA">
      <w:pPr>
        <w:keepNext w:val="0"/>
        <w:keepLines w:val="0"/>
        <w:widowControl/>
        <w:numPr>
          <w:ilvl w:val="0"/>
          <w:numId w:val="0"/>
        </w:numPr>
        <w:suppressLineNumbers w:val="0"/>
        <w:jc w:val="left"/>
        <w:rPr>
          <w:rFonts w:hint="eastAsia" w:ascii="Times New Roman" w:hAnsi="Times New Roman" w:eastAsia="宋体" w:cs="Times New Roman"/>
          <w:b/>
          <w:bCs/>
          <w:color w:val="000000"/>
          <w:kern w:val="0"/>
          <w:sz w:val="21"/>
          <w:szCs w:val="21"/>
          <w:lang w:val="en-US" w:eastAsia="zh-CN" w:bidi="ar"/>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6"/>
        <w:gridCol w:w="2027"/>
        <w:gridCol w:w="3899"/>
      </w:tblGrid>
      <w:tr w14:paraId="1D562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6" w:type="dxa"/>
            <w:vMerge w:val="restart"/>
          </w:tcPr>
          <w:p w14:paraId="183CABBA">
            <w:pPr>
              <w:widowControl w:val="0"/>
              <w:numPr>
                <w:ilvl w:val="0"/>
                <w:numId w:val="0"/>
              </w:numPr>
              <w:jc w:val="both"/>
              <w:rPr>
                <w:rFonts w:hint="default" w:ascii="Times New Roman" w:hAnsi="Times New Roman" w:cs="Times New Roman"/>
                <w:vertAlign w:val="baseline"/>
                <w:lang w:val="en-US" w:eastAsia="zh-CN"/>
              </w:rPr>
            </w:pPr>
            <w:r>
              <w:rPr>
                <w:rFonts w:hint="default" w:ascii="Times New Roman" w:hAnsi="Times New Roman" w:eastAsia="宋体" w:cs="Times New Roman"/>
                <w:color w:val="000000"/>
                <w:kern w:val="0"/>
                <w:sz w:val="21"/>
                <w:szCs w:val="21"/>
                <w:lang w:val="en-US" w:eastAsia="zh-CN" w:bidi="ar"/>
              </w:rPr>
              <w:t>FN1-1</w:t>
            </w:r>
          </w:p>
        </w:tc>
        <w:tc>
          <w:tcPr>
            <w:tcW w:w="2027" w:type="dxa"/>
          </w:tcPr>
          <w:p w14:paraId="1ADE8BD8">
            <w:pPr>
              <w:widowControl w:val="0"/>
              <w:numPr>
                <w:ilvl w:val="0"/>
                <w:numId w:val="0"/>
              </w:numPr>
              <w:jc w:val="both"/>
              <w:rPr>
                <w:rFonts w:hint="default" w:ascii="Times New Roman" w:hAnsi="Times New Roman" w:cs="Times New Roman"/>
                <w:vertAlign w:val="baseline"/>
                <w:lang w:val="en-US" w:eastAsia="zh-CN"/>
              </w:rPr>
            </w:pPr>
            <w:r>
              <w:rPr>
                <w:rFonts w:hint="default" w:ascii="Times New Roman" w:hAnsi="Times New Roman" w:eastAsia="宋体" w:cs="Times New Roman"/>
                <w:color w:val="000000"/>
                <w:kern w:val="0"/>
                <w:sz w:val="21"/>
                <w:szCs w:val="21"/>
                <w:lang w:val="en-US" w:eastAsia="zh-CN" w:bidi="ar"/>
              </w:rPr>
              <w:t xml:space="preserve">Forward  </w:t>
            </w:r>
          </w:p>
        </w:tc>
        <w:tc>
          <w:tcPr>
            <w:tcW w:w="3899" w:type="dxa"/>
          </w:tcPr>
          <w:p w14:paraId="43D9C0BF">
            <w:pPr>
              <w:keepNext w:val="0"/>
              <w:keepLines w:val="0"/>
              <w:widowControl/>
              <w:suppressLineNumbers w:val="0"/>
              <w:jc w:val="left"/>
              <w:rPr>
                <w:rFonts w:hint="default" w:ascii="Times New Roman" w:hAnsi="Times New Roman" w:cs="Times New Roman"/>
                <w:vertAlign w:val="baseline"/>
                <w:lang w:val="en-US" w:eastAsia="zh-CN"/>
              </w:rPr>
            </w:pPr>
            <w:r>
              <w:rPr>
                <w:rFonts w:hint="default" w:ascii="Times New Roman" w:hAnsi="Times New Roman" w:eastAsia="宋体" w:cs="Times New Roman"/>
                <w:color w:val="000000"/>
                <w:kern w:val="0"/>
                <w:sz w:val="21"/>
                <w:szCs w:val="21"/>
                <w:lang w:val="en-US" w:eastAsia="zh-CN" w:bidi="ar"/>
              </w:rPr>
              <w:t xml:space="preserve">GGUGGACUGUACUUGUCUATT </w:t>
            </w:r>
          </w:p>
        </w:tc>
      </w:tr>
      <w:tr w14:paraId="4CAB8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6" w:type="dxa"/>
            <w:vMerge w:val="continue"/>
          </w:tcPr>
          <w:p w14:paraId="714EB164">
            <w:pPr>
              <w:widowControl w:val="0"/>
              <w:numPr>
                <w:ilvl w:val="0"/>
                <w:numId w:val="0"/>
              </w:numPr>
              <w:jc w:val="both"/>
              <w:rPr>
                <w:rFonts w:hint="default" w:ascii="Times New Roman" w:hAnsi="Times New Roman" w:cs="Times New Roman"/>
                <w:vertAlign w:val="baseline"/>
                <w:lang w:val="en-US" w:eastAsia="zh-CN"/>
              </w:rPr>
            </w:pPr>
          </w:p>
        </w:tc>
        <w:tc>
          <w:tcPr>
            <w:tcW w:w="2027" w:type="dxa"/>
          </w:tcPr>
          <w:p w14:paraId="67AA700A">
            <w:pPr>
              <w:widowControl w:val="0"/>
              <w:numPr>
                <w:ilvl w:val="0"/>
                <w:numId w:val="0"/>
              </w:numPr>
              <w:jc w:val="both"/>
              <w:rPr>
                <w:rFonts w:hint="default" w:ascii="Times New Roman" w:hAnsi="Times New Roman" w:cs="Times New Roman"/>
                <w:vertAlign w:val="baseline"/>
                <w:lang w:val="en-US" w:eastAsia="zh-CN"/>
              </w:rPr>
            </w:pPr>
            <w:r>
              <w:rPr>
                <w:rFonts w:hint="default" w:ascii="Times New Roman" w:hAnsi="Times New Roman" w:eastAsia="宋体" w:cs="Times New Roman"/>
                <w:color w:val="000000"/>
                <w:kern w:val="0"/>
                <w:sz w:val="21"/>
                <w:szCs w:val="21"/>
                <w:lang w:val="en-US" w:eastAsia="zh-CN" w:bidi="ar"/>
              </w:rPr>
              <w:t xml:space="preserve">Reverse </w:t>
            </w:r>
          </w:p>
        </w:tc>
        <w:tc>
          <w:tcPr>
            <w:tcW w:w="3899" w:type="dxa"/>
          </w:tcPr>
          <w:p w14:paraId="27FB4710">
            <w:pPr>
              <w:widowControl w:val="0"/>
              <w:numPr>
                <w:ilvl w:val="0"/>
                <w:numId w:val="0"/>
              </w:numPr>
              <w:jc w:val="both"/>
              <w:rPr>
                <w:rFonts w:hint="default" w:ascii="Times New Roman" w:hAnsi="Times New Roman" w:cs="Times New Roman"/>
                <w:vertAlign w:val="baseline"/>
                <w:lang w:val="en-US" w:eastAsia="zh-CN"/>
              </w:rPr>
            </w:pPr>
            <w:r>
              <w:rPr>
                <w:rFonts w:hint="default" w:ascii="Times New Roman" w:hAnsi="Times New Roman" w:eastAsia="宋体" w:cs="Times New Roman"/>
                <w:color w:val="000000"/>
                <w:kern w:val="0"/>
                <w:sz w:val="21"/>
                <w:szCs w:val="21"/>
                <w:lang w:val="en-US" w:eastAsia="zh-CN" w:bidi="ar"/>
              </w:rPr>
              <w:t>UAGACAAGUACAGUCCACCTT</w:t>
            </w:r>
          </w:p>
        </w:tc>
      </w:tr>
      <w:tr w14:paraId="788DF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6" w:type="dxa"/>
            <w:vMerge w:val="restart"/>
          </w:tcPr>
          <w:p w14:paraId="2BB7B233">
            <w:pPr>
              <w:widowControl w:val="0"/>
              <w:numPr>
                <w:ilvl w:val="0"/>
                <w:numId w:val="0"/>
              </w:numPr>
              <w:jc w:val="both"/>
              <w:rPr>
                <w:rFonts w:hint="default" w:ascii="Times New Roman" w:hAnsi="Times New Roman" w:cs="Times New Roman"/>
                <w:vertAlign w:val="baseline"/>
                <w:lang w:val="en-US" w:eastAsia="zh-CN"/>
              </w:rPr>
            </w:pPr>
            <w:r>
              <w:rPr>
                <w:rFonts w:hint="default" w:ascii="Times New Roman" w:hAnsi="Times New Roman" w:eastAsia="宋体" w:cs="Times New Roman"/>
                <w:color w:val="000000"/>
                <w:kern w:val="0"/>
                <w:sz w:val="21"/>
                <w:szCs w:val="21"/>
                <w:lang w:val="en-US" w:eastAsia="zh-CN" w:bidi="ar"/>
              </w:rPr>
              <w:t>FN1-2</w:t>
            </w:r>
          </w:p>
        </w:tc>
        <w:tc>
          <w:tcPr>
            <w:tcW w:w="2027" w:type="dxa"/>
          </w:tcPr>
          <w:p w14:paraId="78B9E415">
            <w:pPr>
              <w:widowControl w:val="0"/>
              <w:numPr>
                <w:ilvl w:val="0"/>
                <w:numId w:val="0"/>
              </w:numPr>
              <w:jc w:val="both"/>
              <w:rPr>
                <w:rFonts w:hint="default" w:ascii="Times New Roman" w:hAnsi="Times New Roman" w:cs="Times New Roman"/>
                <w:vertAlign w:val="baseline"/>
                <w:lang w:val="en-US" w:eastAsia="zh-CN"/>
              </w:rPr>
            </w:pPr>
            <w:r>
              <w:rPr>
                <w:rFonts w:hint="default" w:ascii="Times New Roman" w:hAnsi="Times New Roman" w:eastAsia="宋体" w:cs="Times New Roman"/>
                <w:color w:val="000000"/>
                <w:kern w:val="0"/>
                <w:sz w:val="21"/>
                <w:szCs w:val="21"/>
                <w:lang w:val="en-US" w:eastAsia="zh-CN" w:bidi="ar"/>
              </w:rPr>
              <w:t xml:space="preserve">Forward  </w:t>
            </w:r>
          </w:p>
        </w:tc>
        <w:tc>
          <w:tcPr>
            <w:tcW w:w="3899" w:type="dxa"/>
          </w:tcPr>
          <w:p w14:paraId="6AF3AB57">
            <w:pPr>
              <w:widowControl w:val="0"/>
              <w:numPr>
                <w:ilvl w:val="0"/>
                <w:numId w:val="0"/>
              </w:numPr>
              <w:jc w:val="both"/>
              <w:rPr>
                <w:rFonts w:hint="default" w:ascii="Times New Roman" w:hAnsi="Times New Roman" w:cs="Times New Roman"/>
                <w:vertAlign w:val="baseline"/>
                <w:lang w:val="en-US" w:eastAsia="zh-CN"/>
              </w:rPr>
            </w:pPr>
            <w:r>
              <w:rPr>
                <w:rFonts w:hint="default" w:ascii="Times New Roman" w:hAnsi="Times New Roman" w:eastAsia="宋体" w:cs="Times New Roman"/>
                <w:color w:val="000000"/>
                <w:kern w:val="0"/>
                <w:sz w:val="21"/>
                <w:szCs w:val="21"/>
                <w:lang w:val="en-US" w:eastAsia="zh-CN" w:bidi="ar"/>
              </w:rPr>
              <w:t>GCAGUAGCACAGAGCUCAATT</w:t>
            </w:r>
          </w:p>
        </w:tc>
      </w:tr>
      <w:tr w14:paraId="77FDC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596" w:type="dxa"/>
            <w:vMerge w:val="continue"/>
          </w:tcPr>
          <w:p w14:paraId="4B1EE9ED">
            <w:pPr>
              <w:widowControl w:val="0"/>
              <w:numPr>
                <w:ilvl w:val="0"/>
                <w:numId w:val="0"/>
              </w:numPr>
              <w:jc w:val="both"/>
              <w:rPr>
                <w:rFonts w:hint="default" w:ascii="Times New Roman" w:hAnsi="Times New Roman" w:cs="Times New Roman"/>
                <w:vertAlign w:val="baseline"/>
                <w:lang w:val="en-US" w:eastAsia="zh-CN"/>
              </w:rPr>
            </w:pPr>
          </w:p>
        </w:tc>
        <w:tc>
          <w:tcPr>
            <w:tcW w:w="2027" w:type="dxa"/>
          </w:tcPr>
          <w:p w14:paraId="157C7FD7">
            <w:pPr>
              <w:widowControl w:val="0"/>
              <w:numPr>
                <w:ilvl w:val="0"/>
                <w:numId w:val="0"/>
              </w:numPr>
              <w:jc w:val="both"/>
              <w:rPr>
                <w:rFonts w:hint="default" w:ascii="Times New Roman" w:hAnsi="Times New Roman" w:cs="Times New Roman"/>
                <w:vertAlign w:val="baseline"/>
                <w:lang w:val="en-US" w:eastAsia="zh-CN"/>
              </w:rPr>
            </w:pPr>
            <w:r>
              <w:rPr>
                <w:rFonts w:hint="default" w:ascii="Times New Roman" w:hAnsi="Times New Roman" w:eastAsia="宋体" w:cs="Times New Roman"/>
                <w:color w:val="000000"/>
                <w:kern w:val="0"/>
                <w:sz w:val="21"/>
                <w:szCs w:val="21"/>
                <w:lang w:val="en-US" w:eastAsia="zh-CN" w:bidi="ar"/>
              </w:rPr>
              <w:t xml:space="preserve">Reverse </w:t>
            </w:r>
          </w:p>
        </w:tc>
        <w:tc>
          <w:tcPr>
            <w:tcW w:w="3899" w:type="dxa"/>
          </w:tcPr>
          <w:p w14:paraId="72196D80">
            <w:pPr>
              <w:widowControl w:val="0"/>
              <w:numPr>
                <w:ilvl w:val="0"/>
                <w:numId w:val="0"/>
              </w:numPr>
              <w:jc w:val="both"/>
              <w:rPr>
                <w:rFonts w:hint="default" w:ascii="Times New Roman" w:hAnsi="Times New Roman" w:cs="Times New Roman"/>
                <w:vertAlign w:val="baseline"/>
                <w:lang w:val="en-US" w:eastAsia="zh-CN"/>
              </w:rPr>
            </w:pPr>
            <w:r>
              <w:rPr>
                <w:rFonts w:hint="default" w:ascii="Times New Roman" w:hAnsi="Times New Roman" w:eastAsia="宋体" w:cs="Times New Roman"/>
                <w:color w:val="000000"/>
                <w:kern w:val="0"/>
                <w:sz w:val="21"/>
                <w:szCs w:val="21"/>
                <w:lang w:val="en-US" w:eastAsia="zh-CN" w:bidi="ar"/>
              </w:rPr>
              <w:t>UUGAGCUCUGUGCUACUGCTT</w:t>
            </w:r>
          </w:p>
        </w:tc>
      </w:tr>
      <w:tr w14:paraId="0EF01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6" w:type="dxa"/>
            <w:vMerge w:val="restart"/>
          </w:tcPr>
          <w:p w14:paraId="47D1E76A">
            <w:pPr>
              <w:widowControl w:val="0"/>
              <w:numPr>
                <w:ilvl w:val="0"/>
                <w:numId w:val="0"/>
              </w:numPr>
              <w:jc w:val="both"/>
              <w:rPr>
                <w:rFonts w:hint="default" w:ascii="Times New Roman" w:hAnsi="Times New Roman" w:cs="Times New Roman"/>
                <w:vertAlign w:val="baseline"/>
                <w:lang w:val="en-US" w:eastAsia="zh-CN"/>
              </w:rPr>
            </w:pPr>
            <w:r>
              <w:rPr>
                <w:rFonts w:hint="default" w:ascii="Times New Roman" w:hAnsi="Times New Roman" w:eastAsia="宋体" w:cs="Times New Roman"/>
                <w:color w:val="000000"/>
                <w:kern w:val="0"/>
                <w:sz w:val="21"/>
                <w:szCs w:val="21"/>
                <w:lang w:val="en-US" w:eastAsia="zh-CN" w:bidi="ar"/>
              </w:rPr>
              <w:t>FN1-3</w:t>
            </w:r>
          </w:p>
        </w:tc>
        <w:tc>
          <w:tcPr>
            <w:tcW w:w="2027" w:type="dxa"/>
          </w:tcPr>
          <w:p w14:paraId="2E8D70D9">
            <w:pPr>
              <w:widowControl w:val="0"/>
              <w:numPr>
                <w:ilvl w:val="0"/>
                <w:numId w:val="0"/>
              </w:numPr>
              <w:jc w:val="both"/>
              <w:rPr>
                <w:rFonts w:hint="default" w:ascii="Times New Roman" w:hAnsi="Times New Roman" w:cs="Times New Roman"/>
                <w:vertAlign w:val="baseline"/>
                <w:lang w:val="en-US" w:eastAsia="zh-CN"/>
              </w:rPr>
            </w:pPr>
            <w:r>
              <w:rPr>
                <w:rFonts w:hint="default" w:ascii="Times New Roman" w:hAnsi="Times New Roman" w:eastAsia="宋体" w:cs="Times New Roman"/>
                <w:color w:val="000000"/>
                <w:kern w:val="0"/>
                <w:sz w:val="21"/>
                <w:szCs w:val="21"/>
                <w:lang w:val="en-US" w:eastAsia="zh-CN" w:bidi="ar"/>
              </w:rPr>
              <w:t xml:space="preserve">Forward  </w:t>
            </w:r>
          </w:p>
        </w:tc>
        <w:tc>
          <w:tcPr>
            <w:tcW w:w="3899" w:type="dxa"/>
          </w:tcPr>
          <w:p w14:paraId="7797910E">
            <w:pPr>
              <w:widowControl w:val="0"/>
              <w:numPr>
                <w:ilvl w:val="0"/>
                <w:numId w:val="0"/>
              </w:numPr>
              <w:jc w:val="both"/>
              <w:rPr>
                <w:rFonts w:hint="default" w:ascii="Times New Roman" w:hAnsi="Times New Roman" w:cs="Times New Roman"/>
                <w:vertAlign w:val="baseline"/>
                <w:lang w:val="en-US" w:eastAsia="zh-CN"/>
              </w:rPr>
            </w:pPr>
            <w:r>
              <w:rPr>
                <w:rFonts w:hint="default" w:ascii="Times New Roman" w:hAnsi="Times New Roman" w:eastAsia="宋体" w:cs="Times New Roman"/>
                <w:color w:val="000000"/>
                <w:kern w:val="0"/>
                <w:sz w:val="21"/>
                <w:szCs w:val="21"/>
                <w:lang w:val="en-US" w:eastAsia="zh-CN" w:bidi="ar"/>
              </w:rPr>
              <w:t>GCUAUUACAGAAUCACCUATT</w:t>
            </w:r>
          </w:p>
        </w:tc>
      </w:tr>
      <w:tr w14:paraId="126A2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6" w:type="dxa"/>
            <w:vMerge w:val="continue"/>
          </w:tcPr>
          <w:p w14:paraId="4EC253D1">
            <w:pPr>
              <w:widowControl w:val="0"/>
              <w:numPr>
                <w:ilvl w:val="0"/>
                <w:numId w:val="0"/>
              </w:numPr>
              <w:jc w:val="both"/>
              <w:rPr>
                <w:rFonts w:hint="default" w:ascii="Times New Roman" w:hAnsi="Times New Roman" w:cs="Times New Roman"/>
                <w:vertAlign w:val="baseline"/>
                <w:lang w:val="en-US" w:eastAsia="zh-CN"/>
              </w:rPr>
            </w:pPr>
          </w:p>
        </w:tc>
        <w:tc>
          <w:tcPr>
            <w:tcW w:w="2027" w:type="dxa"/>
          </w:tcPr>
          <w:p w14:paraId="1804EFF5">
            <w:pPr>
              <w:widowControl w:val="0"/>
              <w:numPr>
                <w:ilvl w:val="0"/>
                <w:numId w:val="0"/>
              </w:numPr>
              <w:jc w:val="both"/>
              <w:rPr>
                <w:rFonts w:hint="default" w:ascii="Times New Roman" w:hAnsi="Times New Roman" w:cs="Times New Roman"/>
                <w:vertAlign w:val="baseline"/>
                <w:lang w:val="en-US" w:eastAsia="zh-CN"/>
              </w:rPr>
            </w:pPr>
            <w:r>
              <w:rPr>
                <w:rFonts w:hint="default" w:ascii="Times New Roman" w:hAnsi="Times New Roman" w:eastAsia="宋体" w:cs="Times New Roman"/>
                <w:color w:val="000000"/>
                <w:kern w:val="0"/>
                <w:sz w:val="21"/>
                <w:szCs w:val="21"/>
                <w:lang w:val="en-US" w:eastAsia="zh-CN" w:bidi="ar"/>
              </w:rPr>
              <w:t xml:space="preserve">Reverse </w:t>
            </w:r>
          </w:p>
        </w:tc>
        <w:tc>
          <w:tcPr>
            <w:tcW w:w="3899" w:type="dxa"/>
          </w:tcPr>
          <w:p w14:paraId="454DC20C">
            <w:pPr>
              <w:widowControl w:val="0"/>
              <w:numPr>
                <w:ilvl w:val="0"/>
                <w:numId w:val="0"/>
              </w:numPr>
              <w:jc w:val="both"/>
              <w:rPr>
                <w:rFonts w:hint="default" w:ascii="Times New Roman" w:hAnsi="Times New Roman" w:cs="Times New Roman"/>
                <w:vertAlign w:val="baseline"/>
                <w:lang w:val="en-US" w:eastAsia="zh-CN"/>
              </w:rPr>
            </w:pPr>
            <w:r>
              <w:rPr>
                <w:rFonts w:hint="default" w:ascii="Times New Roman" w:hAnsi="Times New Roman" w:eastAsia="宋体" w:cs="Times New Roman"/>
                <w:color w:val="000000"/>
                <w:kern w:val="0"/>
                <w:sz w:val="21"/>
                <w:szCs w:val="21"/>
                <w:lang w:val="en-US" w:eastAsia="zh-CN" w:bidi="ar"/>
              </w:rPr>
              <w:t>UAGGUGAUUCUGUAAUAGCTT</w:t>
            </w:r>
          </w:p>
        </w:tc>
      </w:tr>
      <w:tr w14:paraId="64813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6" w:type="dxa"/>
            <w:vMerge w:val="restart"/>
          </w:tcPr>
          <w:p w14:paraId="3160B1F9">
            <w:pPr>
              <w:widowControl w:val="0"/>
              <w:numPr>
                <w:ilvl w:val="0"/>
                <w:numId w:val="0"/>
              </w:numPr>
              <w:jc w:val="both"/>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FOXC1-1</w:t>
            </w:r>
          </w:p>
        </w:tc>
        <w:tc>
          <w:tcPr>
            <w:tcW w:w="2027" w:type="dxa"/>
          </w:tcPr>
          <w:p w14:paraId="33136C83">
            <w:pPr>
              <w:widowControl w:val="0"/>
              <w:numPr>
                <w:ilvl w:val="0"/>
                <w:numId w:val="0"/>
              </w:numPr>
              <w:jc w:val="both"/>
              <w:rPr>
                <w:rFonts w:hint="default" w:ascii="Times New Roman" w:hAnsi="Times New Roman" w:cs="Times New Roman"/>
                <w:vertAlign w:val="baseline"/>
                <w:lang w:val="en-US" w:eastAsia="zh-CN"/>
              </w:rPr>
            </w:pPr>
            <w:r>
              <w:rPr>
                <w:rFonts w:hint="default" w:ascii="Times New Roman" w:hAnsi="Times New Roman" w:eastAsia="宋体" w:cs="Times New Roman"/>
                <w:color w:val="000000"/>
                <w:kern w:val="0"/>
                <w:sz w:val="21"/>
                <w:szCs w:val="21"/>
                <w:lang w:val="en-US" w:eastAsia="zh-CN" w:bidi="ar"/>
              </w:rPr>
              <w:t xml:space="preserve">Forward  </w:t>
            </w:r>
          </w:p>
        </w:tc>
        <w:tc>
          <w:tcPr>
            <w:tcW w:w="3899" w:type="dxa"/>
          </w:tcPr>
          <w:p w14:paraId="0A7BDF1A">
            <w:pPr>
              <w:widowControl w:val="0"/>
              <w:numPr>
                <w:ilvl w:val="0"/>
                <w:numId w:val="0"/>
              </w:numPr>
              <w:jc w:val="both"/>
              <w:rPr>
                <w:rFonts w:hint="default" w:ascii="Times New Roman" w:hAnsi="Times New Roman" w:cs="Times New Roman"/>
                <w:vertAlign w:val="baseline"/>
                <w:lang w:val="en-US" w:eastAsia="zh-CN"/>
              </w:rPr>
            </w:pPr>
            <w:r>
              <w:rPr>
                <w:rFonts w:hint="default" w:ascii="Times New Roman" w:hAnsi="Times New Roman" w:eastAsia="宋体" w:cs="Times New Roman"/>
                <w:color w:val="000000"/>
                <w:kern w:val="0"/>
                <w:sz w:val="21"/>
                <w:szCs w:val="21"/>
                <w:lang w:val="en-US" w:eastAsia="zh-CN" w:bidi="ar"/>
              </w:rPr>
              <w:t>CGUCUAUGACUGUAGCAAATT</w:t>
            </w:r>
          </w:p>
        </w:tc>
      </w:tr>
      <w:tr w14:paraId="06702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6" w:type="dxa"/>
            <w:vMerge w:val="continue"/>
          </w:tcPr>
          <w:p w14:paraId="5C60B7CB">
            <w:pPr>
              <w:widowControl w:val="0"/>
              <w:numPr>
                <w:ilvl w:val="0"/>
                <w:numId w:val="0"/>
              </w:numPr>
              <w:jc w:val="both"/>
              <w:rPr>
                <w:rFonts w:hint="default" w:ascii="Times New Roman" w:hAnsi="Times New Roman" w:cs="Times New Roman"/>
                <w:vertAlign w:val="baseline"/>
                <w:lang w:val="en-US" w:eastAsia="zh-CN"/>
              </w:rPr>
            </w:pPr>
          </w:p>
        </w:tc>
        <w:tc>
          <w:tcPr>
            <w:tcW w:w="2027" w:type="dxa"/>
          </w:tcPr>
          <w:p w14:paraId="7BA1DE82">
            <w:pPr>
              <w:widowControl w:val="0"/>
              <w:numPr>
                <w:ilvl w:val="0"/>
                <w:numId w:val="0"/>
              </w:numPr>
              <w:jc w:val="both"/>
              <w:rPr>
                <w:rFonts w:hint="default" w:ascii="Times New Roman" w:hAnsi="Times New Roman" w:cs="Times New Roman"/>
                <w:vertAlign w:val="baseline"/>
                <w:lang w:val="en-US" w:eastAsia="zh-CN"/>
              </w:rPr>
            </w:pPr>
            <w:r>
              <w:rPr>
                <w:rFonts w:hint="default" w:ascii="Times New Roman" w:hAnsi="Times New Roman" w:eastAsia="宋体" w:cs="Times New Roman"/>
                <w:color w:val="000000"/>
                <w:kern w:val="0"/>
                <w:sz w:val="21"/>
                <w:szCs w:val="21"/>
                <w:lang w:val="en-US" w:eastAsia="zh-CN" w:bidi="ar"/>
              </w:rPr>
              <w:t xml:space="preserve">Reverse </w:t>
            </w:r>
          </w:p>
        </w:tc>
        <w:tc>
          <w:tcPr>
            <w:tcW w:w="3899" w:type="dxa"/>
          </w:tcPr>
          <w:p w14:paraId="08F77420">
            <w:pPr>
              <w:widowControl w:val="0"/>
              <w:numPr>
                <w:ilvl w:val="0"/>
                <w:numId w:val="0"/>
              </w:numPr>
              <w:jc w:val="both"/>
              <w:rPr>
                <w:rFonts w:hint="default" w:ascii="Times New Roman" w:hAnsi="Times New Roman" w:cs="Times New Roman"/>
                <w:vertAlign w:val="baseline"/>
                <w:lang w:val="en-US" w:eastAsia="zh-CN"/>
              </w:rPr>
            </w:pPr>
            <w:r>
              <w:rPr>
                <w:rFonts w:hint="default" w:ascii="Times New Roman" w:hAnsi="Times New Roman" w:eastAsia="宋体" w:cs="Times New Roman"/>
                <w:color w:val="000000"/>
                <w:kern w:val="0"/>
                <w:sz w:val="21"/>
                <w:szCs w:val="21"/>
                <w:lang w:val="en-US" w:eastAsia="zh-CN" w:bidi="ar"/>
              </w:rPr>
              <w:t>UUUGCUACAGUCAUAGACGTT</w:t>
            </w:r>
          </w:p>
        </w:tc>
      </w:tr>
      <w:tr w14:paraId="6593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6" w:type="dxa"/>
            <w:vMerge w:val="restart"/>
          </w:tcPr>
          <w:p w14:paraId="3605FF83">
            <w:pPr>
              <w:widowControl w:val="0"/>
              <w:numPr>
                <w:ilvl w:val="0"/>
                <w:numId w:val="0"/>
              </w:numPr>
              <w:jc w:val="both"/>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FOXC1-2</w:t>
            </w:r>
          </w:p>
        </w:tc>
        <w:tc>
          <w:tcPr>
            <w:tcW w:w="2027" w:type="dxa"/>
          </w:tcPr>
          <w:p w14:paraId="58081AAA">
            <w:pPr>
              <w:widowControl w:val="0"/>
              <w:numPr>
                <w:ilvl w:val="0"/>
                <w:numId w:val="0"/>
              </w:numPr>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Forward </w:t>
            </w:r>
          </w:p>
        </w:tc>
        <w:tc>
          <w:tcPr>
            <w:tcW w:w="3899" w:type="dxa"/>
          </w:tcPr>
          <w:p w14:paraId="66A30BDD">
            <w:pPr>
              <w:widowControl w:val="0"/>
              <w:numPr>
                <w:ilvl w:val="0"/>
                <w:numId w:val="0"/>
              </w:numPr>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GGCACAACCUCUCGCUCAATT</w:t>
            </w:r>
          </w:p>
        </w:tc>
      </w:tr>
      <w:tr w14:paraId="6A080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6" w:type="dxa"/>
            <w:vMerge w:val="continue"/>
          </w:tcPr>
          <w:p w14:paraId="4AFD2F0F">
            <w:pPr>
              <w:widowControl w:val="0"/>
              <w:numPr>
                <w:ilvl w:val="0"/>
                <w:numId w:val="0"/>
              </w:numPr>
              <w:jc w:val="both"/>
              <w:rPr>
                <w:rFonts w:hint="default" w:ascii="Times New Roman" w:hAnsi="Times New Roman" w:cs="Times New Roman"/>
                <w:vertAlign w:val="baseline"/>
                <w:lang w:val="en-US" w:eastAsia="zh-CN"/>
              </w:rPr>
            </w:pPr>
          </w:p>
        </w:tc>
        <w:tc>
          <w:tcPr>
            <w:tcW w:w="2027" w:type="dxa"/>
          </w:tcPr>
          <w:p w14:paraId="04C0C82C">
            <w:pPr>
              <w:widowControl w:val="0"/>
              <w:numPr>
                <w:ilvl w:val="0"/>
                <w:numId w:val="0"/>
              </w:numPr>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Reverse </w:t>
            </w:r>
          </w:p>
        </w:tc>
        <w:tc>
          <w:tcPr>
            <w:tcW w:w="3899" w:type="dxa"/>
          </w:tcPr>
          <w:p w14:paraId="20066752">
            <w:pPr>
              <w:widowControl w:val="0"/>
              <w:numPr>
                <w:ilvl w:val="0"/>
                <w:numId w:val="0"/>
              </w:numPr>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UUGAGCGAGAGGUUGUGCCTT</w:t>
            </w:r>
          </w:p>
        </w:tc>
      </w:tr>
    </w:tbl>
    <w:p w14:paraId="61764E66">
      <w:pPr>
        <w:widowControl w:val="0"/>
        <w:numPr>
          <w:ilvl w:val="0"/>
          <w:numId w:val="0"/>
        </w:numPr>
        <w:jc w:val="both"/>
        <w:rPr>
          <w:rFonts w:hint="default"/>
          <w:lang w:val="en-US" w:eastAsia="zh-CN"/>
        </w:rPr>
      </w:pPr>
    </w:p>
    <w:p w14:paraId="6E9438C1">
      <w:pPr>
        <w:keepNext w:val="0"/>
        <w:keepLines w:val="0"/>
        <w:widowControl/>
        <w:numPr>
          <w:ilvl w:val="0"/>
          <w:numId w:val="0"/>
        </w:numPr>
        <w:suppressLineNumbers w:val="0"/>
        <w:ind w:left="0" w:leftChars="0" w:firstLine="0" w:firstLineChars="0"/>
        <w:jc w:val="left"/>
        <w:rPr>
          <w:rFonts w:hint="default" w:ascii="Times New Roman" w:hAnsi="Times New Roman" w:eastAsia="宋体" w:cs="Times New Roman"/>
          <w:b/>
          <w:bCs/>
          <w:color w:val="000000"/>
          <w:kern w:val="0"/>
          <w:sz w:val="21"/>
          <w:szCs w:val="21"/>
          <w:lang w:val="en-US" w:eastAsia="zh-CN" w:bidi="ar"/>
        </w:rPr>
      </w:pPr>
      <w:r>
        <w:rPr>
          <w:rFonts w:hint="eastAsia" w:ascii="Times New Roman" w:hAnsi="Times New Roman" w:eastAsia="宋体" w:cs="Times New Roman"/>
          <w:b/>
          <w:bCs/>
          <w:color w:val="000000"/>
          <w:kern w:val="0"/>
          <w:sz w:val="21"/>
          <w:szCs w:val="21"/>
          <w:lang w:val="en-US" w:eastAsia="zh-CN" w:bidi="ar"/>
        </w:rPr>
        <w:t xml:space="preserve">Table </w:t>
      </w:r>
      <w:r>
        <w:rPr>
          <w:rFonts w:hint="default" w:ascii="Times New Roman" w:hAnsi="Times New Roman" w:eastAsia="宋体" w:cs="Times New Roman"/>
          <w:b/>
          <w:bCs/>
          <w:color w:val="000000"/>
          <w:kern w:val="0"/>
          <w:sz w:val="21"/>
          <w:szCs w:val="21"/>
          <w:lang w:val="en-US" w:eastAsia="zh-CN" w:bidi="ar"/>
        </w:rPr>
        <w:t>2.</w:t>
      </w:r>
      <w:r>
        <w:rPr>
          <w:rFonts w:hint="eastAsia" w:ascii="Times New Roman" w:hAnsi="Times New Roman" w:eastAsia="宋体" w:cs="Times New Roman"/>
          <w:b/>
          <w:bCs/>
          <w:color w:val="000000"/>
          <w:kern w:val="0"/>
          <w:sz w:val="21"/>
          <w:szCs w:val="21"/>
          <w:lang w:val="en-US" w:eastAsia="zh-CN" w:bidi="ar"/>
        </w:rPr>
        <w:t xml:space="preserve"> </w:t>
      </w:r>
      <w:r>
        <w:rPr>
          <w:rFonts w:hint="default" w:ascii="Times New Roman" w:hAnsi="Times New Roman" w:eastAsia="宋体" w:cs="Times New Roman"/>
          <w:b/>
          <w:bCs/>
          <w:color w:val="000000"/>
          <w:kern w:val="0"/>
          <w:sz w:val="21"/>
          <w:szCs w:val="21"/>
          <w:lang w:val="en-US" w:eastAsia="zh-CN" w:bidi="ar"/>
        </w:rPr>
        <w:t xml:space="preserve">RT-qPCR primers </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8"/>
        <w:gridCol w:w="2302"/>
        <w:gridCol w:w="3962"/>
      </w:tblGrid>
      <w:tr w14:paraId="35EB4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vMerge w:val="restart"/>
          </w:tcPr>
          <w:p w14:paraId="1EF76BD4">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FN1</w:t>
            </w:r>
          </w:p>
        </w:tc>
        <w:tc>
          <w:tcPr>
            <w:tcW w:w="2302" w:type="dxa"/>
          </w:tcPr>
          <w:p w14:paraId="29238A5B">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Forward</w:t>
            </w:r>
          </w:p>
        </w:tc>
        <w:tc>
          <w:tcPr>
            <w:tcW w:w="3962" w:type="dxa"/>
          </w:tcPr>
          <w:p w14:paraId="42291D7F">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GAGAATAAGCTGTACCATCGCAA</w:t>
            </w:r>
          </w:p>
        </w:tc>
      </w:tr>
      <w:tr w14:paraId="3F618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vMerge w:val="continue"/>
          </w:tcPr>
          <w:p w14:paraId="48E5BF26">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p>
        </w:tc>
        <w:tc>
          <w:tcPr>
            <w:tcW w:w="2302" w:type="dxa"/>
          </w:tcPr>
          <w:p w14:paraId="7D2A8BD8">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Reverse</w:t>
            </w:r>
          </w:p>
        </w:tc>
        <w:tc>
          <w:tcPr>
            <w:tcW w:w="3962" w:type="dxa"/>
          </w:tcPr>
          <w:p w14:paraId="0F00F52C">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CGACCACATAGGAAGTCCCAG</w:t>
            </w:r>
          </w:p>
        </w:tc>
      </w:tr>
      <w:tr w14:paraId="29804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vMerge w:val="restart"/>
          </w:tcPr>
          <w:p w14:paraId="15FE1638">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 xml:space="preserve">TNF-a </w:t>
            </w:r>
          </w:p>
        </w:tc>
        <w:tc>
          <w:tcPr>
            <w:tcW w:w="2302" w:type="dxa"/>
          </w:tcPr>
          <w:p w14:paraId="491EF322">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Forward</w:t>
            </w:r>
          </w:p>
        </w:tc>
        <w:tc>
          <w:tcPr>
            <w:tcW w:w="3962" w:type="dxa"/>
          </w:tcPr>
          <w:p w14:paraId="0B5BE24E">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CCCACGTCGTAGCAAACCAC</w:t>
            </w:r>
          </w:p>
        </w:tc>
      </w:tr>
      <w:tr w14:paraId="1D58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vMerge w:val="continue"/>
          </w:tcPr>
          <w:p w14:paraId="1C796657">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p>
        </w:tc>
        <w:tc>
          <w:tcPr>
            <w:tcW w:w="2302" w:type="dxa"/>
          </w:tcPr>
          <w:p w14:paraId="3F5AB4B7">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Reverse</w:t>
            </w:r>
          </w:p>
        </w:tc>
        <w:tc>
          <w:tcPr>
            <w:tcW w:w="3962" w:type="dxa"/>
          </w:tcPr>
          <w:p w14:paraId="5551CC37">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GCAGCCTTGTCCCTTGAA</w:t>
            </w:r>
          </w:p>
        </w:tc>
      </w:tr>
      <w:tr w14:paraId="434C1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vMerge w:val="restart"/>
          </w:tcPr>
          <w:p w14:paraId="7B8BCC73">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 xml:space="preserve">Nos2 </w:t>
            </w:r>
          </w:p>
        </w:tc>
        <w:tc>
          <w:tcPr>
            <w:tcW w:w="2302" w:type="dxa"/>
          </w:tcPr>
          <w:p w14:paraId="3E6D94CC">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Forward</w:t>
            </w:r>
          </w:p>
        </w:tc>
        <w:tc>
          <w:tcPr>
            <w:tcW w:w="3962" w:type="dxa"/>
          </w:tcPr>
          <w:p w14:paraId="38A7CA65">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GTTCTCAGCCCAACAATACAAGA</w:t>
            </w:r>
          </w:p>
        </w:tc>
      </w:tr>
      <w:tr w14:paraId="69EA8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vMerge w:val="continue"/>
          </w:tcPr>
          <w:p w14:paraId="732B4486">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p>
        </w:tc>
        <w:tc>
          <w:tcPr>
            <w:tcW w:w="2302" w:type="dxa"/>
          </w:tcPr>
          <w:p w14:paraId="5CCC10E7">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Reverse</w:t>
            </w:r>
          </w:p>
        </w:tc>
        <w:tc>
          <w:tcPr>
            <w:tcW w:w="3962" w:type="dxa"/>
          </w:tcPr>
          <w:p w14:paraId="72C5A4DA">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GTGGACGGGTCGATGTCAC</w:t>
            </w:r>
          </w:p>
        </w:tc>
      </w:tr>
      <w:tr w14:paraId="6DA4F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vMerge w:val="restart"/>
          </w:tcPr>
          <w:p w14:paraId="6C25AC9E">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IL-1β</w:t>
            </w:r>
          </w:p>
        </w:tc>
        <w:tc>
          <w:tcPr>
            <w:tcW w:w="2302" w:type="dxa"/>
          </w:tcPr>
          <w:p w14:paraId="287B877A">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Forward</w:t>
            </w:r>
          </w:p>
        </w:tc>
        <w:tc>
          <w:tcPr>
            <w:tcW w:w="3962" w:type="dxa"/>
          </w:tcPr>
          <w:p w14:paraId="348A5AAF">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 xml:space="preserve">TCATCTCGGAGCCTGTAGTG </w:t>
            </w:r>
          </w:p>
        </w:tc>
      </w:tr>
      <w:tr w14:paraId="2102C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vMerge w:val="continue"/>
          </w:tcPr>
          <w:p w14:paraId="74DEA589">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p>
        </w:tc>
        <w:tc>
          <w:tcPr>
            <w:tcW w:w="2302" w:type="dxa"/>
          </w:tcPr>
          <w:p w14:paraId="56A9F36C">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Reverse</w:t>
            </w:r>
          </w:p>
        </w:tc>
        <w:tc>
          <w:tcPr>
            <w:tcW w:w="3962" w:type="dxa"/>
          </w:tcPr>
          <w:p w14:paraId="6AA50C9C">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AGAGCATCCAGCTTCAAATC</w:t>
            </w:r>
          </w:p>
        </w:tc>
      </w:tr>
      <w:tr w14:paraId="78D41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vMerge w:val="restart"/>
          </w:tcPr>
          <w:p w14:paraId="3134BDFF">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 xml:space="preserve">IL-6 </w:t>
            </w:r>
          </w:p>
        </w:tc>
        <w:tc>
          <w:tcPr>
            <w:tcW w:w="2302" w:type="dxa"/>
          </w:tcPr>
          <w:p w14:paraId="7E7D88BF">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Forward</w:t>
            </w:r>
          </w:p>
        </w:tc>
        <w:tc>
          <w:tcPr>
            <w:tcW w:w="3962" w:type="dxa"/>
          </w:tcPr>
          <w:p w14:paraId="5927C939">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ACTCTGGCTTTGTCTTTCTTGTTATCT</w:t>
            </w:r>
          </w:p>
        </w:tc>
      </w:tr>
      <w:tr w14:paraId="6CEFA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vMerge w:val="continue"/>
          </w:tcPr>
          <w:p w14:paraId="120705CA">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p>
        </w:tc>
        <w:tc>
          <w:tcPr>
            <w:tcW w:w="2302" w:type="dxa"/>
          </w:tcPr>
          <w:p w14:paraId="787CBFAA">
            <w:pPr>
              <w:keepNext w:val="0"/>
              <w:keepLines w:val="0"/>
              <w:widowControl/>
              <w:numPr>
                <w:ilvl w:val="0"/>
                <w:numId w:val="0"/>
              </w:numPr>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Reverse</w:t>
            </w:r>
          </w:p>
        </w:tc>
        <w:tc>
          <w:tcPr>
            <w:tcW w:w="3962" w:type="dxa"/>
          </w:tcPr>
          <w:p w14:paraId="5DA19192">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TGTATGAACAACGATGATGCACTT</w:t>
            </w:r>
          </w:p>
        </w:tc>
      </w:tr>
      <w:tr w14:paraId="2F481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vMerge w:val="restart"/>
          </w:tcPr>
          <w:p w14:paraId="04573E7B">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IL-12</w:t>
            </w:r>
          </w:p>
        </w:tc>
        <w:tc>
          <w:tcPr>
            <w:tcW w:w="2302" w:type="dxa"/>
          </w:tcPr>
          <w:p w14:paraId="5D534E13">
            <w:pPr>
              <w:keepNext w:val="0"/>
              <w:keepLines w:val="0"/>
              <w:widowControl/>
              <w:numPr>
                <w:ilvl w:val="0"/>
                <w:numId w:val="0"/>
              </w:numPr>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Forward</w:t>
            </w:r>
          </w:p>
        </w:tc>
        <w:tc>
          <w:tcPr>
            <w:tcW w:w="3962" w:type="dxa"/>
          </w:tcPr>
          <w:p w14:paraId="4A261FE0">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ACAGGTGAGGTTCACTGTTTCT</w:t>
            </w:r>
          </w:p>
        </w:tc>
      </w:tr>
      <w:tr w14:paraId="2A2EC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vMerge w:val="continue"/>
          </w:tcPr>
          <w:p w14:paraId="02097E80">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p>
        </w:tc>
        <w:tc>
          <w:tcPr>
            <w:tcW w:w="2302" w:type="dxa"/>
          </w:tcPr>
          <w:p w14:paraId="4DC18D5F">
            <w:pPr>
              <w:keepNext w:val="0"/>
              <w:keepLines w:val="0"/>
              <w:widowControl/>
              <w:numPr>
                <w:ilvl w:val="0"/>
                <w:numId w:val="0"/>
              </w:numPr>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Reverse</w:t>
            </w:r>
          </w:p>
        </w:tc>
        <w:tc>
          <w:tcPr>
            <w:tcW w:w="3962" w:type="dxa"/>
          </w:tcPr>
          <w:p w14:paraId="57F58A64">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TGGTTTGCCATCGTTTTGCTG</w:t>
            </w:r>
          </w:p>
        </w:tc>
      </w:tr>
      <w:tr w14:paraId="7509F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vMerge w:val="restart"/>
          </w:tcPr>
          <w:p w14:paraId="4A06EB42">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Mrc1</w:t>
            </w:r>
          </w:p>
        </w:tc>
        <w:tc>
          <w:tcPr>
            <w:tcW w:w="2302" w:type="dxa"/>
          </w:tcPr>
          <w:p w14:paraId="449C4A98">
            <w:pPr>
              <w:keepNext w:val="0"/>
              <w:keepLines w:val="0"/>
              <w:widowControl/>
              <w:numPr>
                <w:ilvl w:val="0"/>
                <w:numId w:val="0"/>
              </w:numPr>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Forward</w:t>
            </w:r>
          </w:p>
        </w:tc>
        <w:tc>
          <w:tcPr>
            <w:tcW w:w="3962" w:type="dxa"/>
          </w:tcPr>
          <w:p w14:paraId="5E6CE017">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 xml:space="preserve">CTCTGTTCAGCTATTGGACGC </w:t>
            </w:r>
          </w:p>
        </w:tc>
      </w:tr>
      <w:tr w14:paraId="55BAB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vMerge w:val="continue"/>
          </w:tcPr>
          <w:p w14:paraId="6F75BD86">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p>
        </w:tc>
        <w:tc>
          <w:tcPr>
            <w:tcW w:w="2302" w:type="dxa"/>
          </w:tcPr>
          <w:p w14:paraId="5F8292AE">
            <w:pPr>
              <w:keepNext w:val="0"/>
              <w:keepLines w:val="0"/>
              <w:widowControl/>
              <w:numPr>
                <w:ilvl w:val="0"/>
                <w:numId w:val="0"/>
              </w:numPr>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Reverse</w:t>
            </w:r>
          </w:p>
        </w:tc>
        <w:tc>
          <w:tcPr>
            <w:tcW w:w="3962" w:type="dxa"/>
          </w:tcPr>
          <w:p w14:paraId="6DFEBBC2">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CGGAATTTCTGGGATTCAGCTTC</w:t>
            </w:r>
          </w:p>
        </w:tc>
      </w:tr>
      <w:tr w14:paraId="7CD98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vMerge w:val="restart"/>
          </w:tcPr>
          <w:p w14:paraId="1D429362">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 xml:space="preserve">Chil3 </w:t>
            </w:r>
          </w:p>
        </w:tc>
        <w:tc>
          <w:tcPr>
            <w:tcW w:w="2302" w:type="dxa"/>
          </w:tcPr>
          <w:p w14:paraId="13703AE7">
            <w:pPr>
              <w:keepNext w:val="0"/>
              <w:keepLines w:val="0"/>
              <w:widowControl/>
              <w:numPr>
                <w:ilvl w:val="0"/>
                <w:numId w:val="0"/>
              </w:numPr>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Forward</w:t>
            </w:r>
          </w:p>
        </w:tc>
        <w:tc>
          <w:tcPr>
            <w:tcW w:w="3962" w:type="dxa"/>
          </w:tcPr>
          <w:p w14:paraId="6B1C7433">
            <w:pPr>
              <w:keepNext w:val="0"/>
              <w:keepLines w:val="0"/>
              <w:widowControl/>
              <w:numPr>
                <w:ilvl w:val="0"/>
                <w:numId w:val="0"/>
              </w:numPr>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AAGAACACTGAGCTAAAAACTCTCCT</w:t>
            </w:r>
          </w:p>
        </w:tc>
      </w:tr>
      <w:tr w14:paraId="12C8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vMerge w:val="continue"/>
          </w:tcPr>
          <w:p w14:paraId="7E70FEDF">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p>
        </w:tc>
        <w:tc>
          <w:tcPr>
            <w:tcW w:w="2302" w:type="dxa"/>
          </w:tcPr>
          <w:p w14:paraId="51EC8D72">
            <w:pPr>
              <w:keepNext w:val="0"/>
              <w:keepLines w:val="0"/>
              <w:widowControl/>
              <w:numPr>
                <w:ilvl w:val="0"/>
                <w:numId w:val="0"/>
              </w:numPr>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Reverse  </w:t>
            </w:r>
          </w:p>
        </w:tc>
        <w:tc>
          <w:tcPr>
            <w:tcW w:w="3962" w:type="dxa"/>
          </w:tcPr>
          <w:p w14:paraId="5B7D5731">
            <w:pPr>
              <w:keepNext w:val="0"/>
              <w:keepLines w:val="0"/>
              <w:widowControl/>
              <w:numPr>
                <w:ilvl w:val="0"/>
                <w:numId w:val="0"/>
              </w:numPr>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GAGACCATGGCACTGAACG</w:t>
            </w:r>
          </w:p>
        </w:tc>
      </w:tr>
      <w:tr w14:paraId="4EE26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vMerge w:val="restart"/>
          </w:tcPr>
          <w:p w14:paraId="72D35E03">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Fizz1</w:t>
            </w:r>
          </w:p>
        </w:tc>
        <w:tc>
          <w:tcPr>
            <w:tcW w:w="2302" w:type="dxa"/>
          </w:tcPr>
          <w:p w14:paraId="411BE4FA">
            <w:pPr>
              <w:keepNext w:val="0"/>
              <w:keepLines w:val="0"/>
              <w:widowControl/>
              <w:numPr>
                <w:ilvl w:val="0"/>
                <w:numId w:val="0"/>
              </w:numPr>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Forward </w:t>
            </w:r>
          </w:p>
        </w:tc>
        <w:tc>
          <w:tcPr>
            <w:tcW w:w="3962" w:type="dxa"/>
          </w:tcPr>
          <w:p w14:paraId="235C8FAC">
            <w:pPr>
              <w:keepNext w:val="0"/>
              <w:keepLines w:val="0"/>
              <w:widowControl/>
              <w:numPr>
                <w:ilvl w:val="0"/>
                <w:numId w:val="0"/>
              </w:numPr>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CCCTCCACTGTAACGAAGACTC</w:t>
            </w:r>
          </w:p>
        </w:tc>
      </w:tr>
      <w:tr w14:paraId="2F887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vMerge w:val="continue"/>
          </w:tcPr>
          <w:p w14:paraId="3CABF898">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p>
        </w:tc>
        <w:tc>
          <w:tcPr>
            <w:tcW w:w="2302" w:type="dxa"/>
          </w:tcPr>
          <w:p w14:paraId="57501532">
            <w:pPr>
              <w:keepNext w:val="0"/>
              <w:keepLines w:val="0"/>
              <w:widowControl/>
              <w:numPr>
                <w:ilvl w:val="0"/>
                <w:numId w:val="0"/>
              </w:numPr>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Reverse  </w:t>
            </w:r>
          </w:p>
        </w:tc>
        <w:tc>
          <w:tcPr>
            <w:tcW w:w="3962" w:type="dxa"/>
          </w:tcPr>
          <w:p w14:paraId="49112556">
            <w:pPr>
              <w:keepNext w:val="0"/>
              <w:keepLines w:val="0"/>
              <w:widowControl/>
              <w:numPr>
                <w:ilvl w:val="0"/>
                <w:numId w:val="0"/>
              </w:numPr>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CACACCCAGTAGCAGTCATCC </w:t>
            </w:r>
          </w:p>
        </w:tc>
      </w:tr>
      <w:tr w14:paraId="6134C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2258" w:type="dxa"/>
            <w:vMerge w:val="restart"/>
          </w:tcPr>
          <w:p w14:paraId="273CE7D0">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 xml:space="preserve">Actin </w:t>
            </w:r>
          </w:p>
        </w:tc>
        <w:tc>
          <w:tcPr>
            <w:tcW w:w="2302" w:type="dxa"/>
          </w:tcPr>
          <w:p w14:paraId="78F1D5BC">
            <w:pPr>
              <w:keepNext w:val="0"/>
              <w:keepLines w:val="0"/>
              <w:widowControl/>
              <w:numPr>
                <w:ilvl w:val="0"/>
                <w:numId w:val="0"/>
              </w:numPr>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 Forward </w:t>
            </w:r>
          </w:p>
        </w:tc>
        <w:tc>
          <w:tcPr>
            <w:tcW w:w="3962" w:type="dxa"/>
          </w:tcPr>
          <w:p w14:paraId="0D2438D9">
            <w:pPr>
              <w:keepNext w:val="0"/>
              <w:keepLines w:val="0"/>
              <w:widowControl/>
              <w:numPr>
                <w:ilvl w:val="0"/>
                <w:numId w:val="0"/>
              </w:numPr>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GTGACGTTGACATCCGTAAAGA</w:t>
            </w:r>
          </w:p>
        </w:tc>
      </w:tr>
      <w:tr w14:paraId="2C82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vMerge w:val="continue"/>
          </w:tcPr>
          <w:p w14:paraId="5C54B846">
            <w:pPr>
              <w:keepNext w:val="0"/>
              <w:keepLines w:val="0"/>
              <w:widowControl/>
              <w:numPr>
                <w:ilvl w:val="0"/>
                <w:numId w:val="0"/>
              </w:numPr>
              <w:suppressLineNumbers w:val="0"/>
              <w:jc w:val="left"/>
              <w:rPr>
                <w:rFonts w:hint="default" w:ascii="Times New Roman" w:hAnsi="Times New Roman" w:eastAsia="宋体" w:cs="Times New Roman"/>
                <w:b/>
                <w:bCs/>
                <w:color w:val="000000"/>
                <w:kern w:val="0"/>
                <w:sz w:val="21"/>
                <w:szCs w:val="21"/>
                <w:vertAlign w:val="baseline"/>
                <w:lang w:val="en-US" w:eastAsia="zh-CN" w:bidi="ar"/>
              </w:rPr>
            </w:pPr>
          </w:p>
        </w:tc>
        <w:tc>
          <w:tcPr>
            <w:tcW w:w="2302" w:type="dxa"/>
          </w:tcPr>
          <w:p w14:paraId="6526E387">
            <w:pPr>
              <w:keepNext w:val="0"/>
              <w:keepLines w:val="0"/>
              <w:widowControl/>
              <w:numPr>
                <w:ilvl w:val="0"/>
                <w:numId w:val="0"/>
              </w:numPr>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Reverse  </w:t>
            </w:r>
          </w:p>
        </w:tc>
        <w:tc>
          <w:tcPr>
            <w:tcW w:w="3962" w:type="dxa"/>
          </w:tcPr>
          <w:p w14:paraId="32DA1F9D">
            <w:pPr>
              <w:keepNext w:val="0"/>
              <w:keepLines w:val="0"/>
              <w:widowControl/>
              <w:numPr>
                <w:ilvl w:val="0"/>
                <w:numId w:val="0"/>
              </w:numPr>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GCCGGACTCATCGTACTCC</w:t>
            </w:r>
          </w:p>
        </w:tc>
      </w:tr>
    </w:tbl>
    <w:p w14:paraId="4195AAD0">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 xml:space="preserve">     </w:t>
      </w:r>
      <w:r>
        <w:rPr>
          <w:rFonts w:hint="default" w:ascii="Times New Roman" w:hAnsi="Times New Roman" w:eastAsia="宋体" w:cs="Times New Roman"/>
          <w:color w:val="000000"/>
          <w:kern w:val="0"/>
          <w:sz w:val="21"/>
          <w:szCs w:val="21"/>
          <w:lang w:val="en-US" w:eastAsia="zh-CN" w:bidi="ar"/>
        </w:rPr>
        <w:t xml:space="preserve">  </w:t>
      </w:r>
      <w:r>
        <w:rPr>
          <w:rFonts w:hint="eastAsia" w:ascii="Times New Roman" w:hAnsi="Times New Roman" w:eastAsia="宋体" w:cs="Times New Roman"/>
          <w:color w:val="000000"/>
          <w:kern w:val="0"/>
          <w:sz w:val="21"/>
          <w:szCs w:val="21"/>
          <w:lang w:val="en-US" w:eastAsia="zh-CN" w:bidi="ar"/>
        </w:rPr>
        <w:t xml:space="preserve">   </w:t>
      </w:r>
    </w:p>
    <w:p w14:paraId="22402ACB">
      <w:pPr>
        <w:keepNext w:val="0"/>
        <w:keepLines w:val="0"/>
        <w:widowControl/>
        <w:numPr>
          <w:ilvl w:val="0"/>
          <w:numId w:val="0"/>
        </w:numPr>
        <w:suppressLineNumbers w:val="0"/>
        <w:ind w:left="0" w:leftChars="0" w:firstLine="0" w:firstLineChars="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b/>
          <w:bCs/>
          <w:color w:val="000000"/>
          <w:kern w:val="0"/>
          <w:sz w:val="21"/>
          <w:szCs w:val="21"/>
          <w:lang w:val="en-US" w:eastAsia="zh-CN" w:bidi="ar"/>
        </w:rPr>
        <w:t>Table 3</w:t>
      </w:r>
      <w:r>
        <w:rPr>
          <w:rFonts w:hint="default" w:ascii="Times New Roman" w:hAnsi="Times New Roman" w:eastAsia="宋体" w:cs="Times New Roman"/>
          <w:b/>
          <w:bCs/>
          <w:color w:val="000000"/>
          <w:kern w:val="0"/>
          <w:sz w:val="21"/>
          <w:szCs w:val="21"/>
          <w:lang w:val="en-US" w:eastAsia="zh-CN" w:bidi="ar"/>
        </w:rPr>
        <w:t>.</w:t>
      </w:r>
      <w:r>
        <w:rPr>
          <w:rFonts w:hint="eastAsia" w:ascii="Times New Roman" w:hAnsi="Times New Roman" w:eastAsia="宋体" w:cs="Times New Roman"/>
          <w:b/>
          <w:bCs/>
          <w:color w:val="000000"/>
          <w:kern w:val="0"/>
          <w:sz w:val="21"/>
          <w:szCs w:val="21"/>
          <w:lang w:val="en-US" w:eastAsia="zh-CN" w:bidi="ar"/>
        </w:rPr>
        <w:t xml:space="preserve">  </w:t>
      </w:r>
      <w:r>
        <w:rPr>
          <w:rFonts w:hint="default" w:ascii="Times New Roman" w:hAnsi="Times New Roman" w:eastAsia="宋体" w:cs="Times New Roman"/>
          <w:b/>
          <w:bCs/>
          <w:color w:val="000000"/>
          <w:kern w:val="0"/>
          <w:sz w:val="21"/>
          <w:szCs w:val="21"/>
          <w:lang w:val="en-US" w:eastAsia="zh-CN" w:bidi="ar"/>
        </w:rPr>
        <w:t xml:space="preserve">Antibodies </w:t>
      </w:r>
      <w:r>
        <w:rPr>
          <w:rFonts w:hint="eastAsia" w:ascii="Times New Roman" w:hAnsi="Times New Roman" w:eastAsia="宋体" w:cs="Times New Roman"/>
          <w:color w:val="000000"/>
          <w:kern w:val="0"/>
          <w:sz w:val="21"/>
          <w:szCs w:val="21"/>
          <w:lang w:val="en-US" w:eastAsia="zh-CN" w:bidi="ar"/>
        </w:rPr>
        <w:t xml:space="preserve"> </w:t>
      </w:r>
    </w:p>
    <w:tbl>
      <w:tblPr>
        <w:tblStyle w:val="4"/>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9"/>
        <w:gridCol w:w="1870"/>
        <w:gridCol w:w="1715"/>
        <w:gridCol w:w="2805"/>
      </w:tblGrid>
      <w:tr w14:paraId="5D8C3B0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129" w:type="dxa"/>
            <w:tcBorders>
              <w:bottom w:val="single" w:color="auto" w:sz="4" w:space="0"/>
            </w:tcBorders>
            <w:vAlign w:val="top"/>
          </w:tcPr>
          <w:p w14:paraId="42FF82CA">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Target</w:t>
            </w:r>
          </w:p>
        </w:tc>
        <w:tc>
          <w:tcPr>
            <w:tcW w:w="1870" w:type="dxa"/>
            <w:tcBorders>
              <w:bottom w:val="single" w:color="auto" w:sz="4" w:space="0"/>
            </w:tcBorders>
            <w:vAlign w:val="top"/>
          </w:tcPr>
          <w:p w14:paraId="2ACD5207">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Dilution</w:t>
            </w:r>
          </w:p>
        </w:tc>
        <w:tc>
          <w:tcPr>
            <w:tcW w:w="1715" w:type="dxa"/>
            <w:tcBorders>
              <w:bottom w:val="single" w:color="auto" w:sz="4" w:space="0"/>
            </w:tcBorders>
            <w:vAlign w:val="top"/>
          </w:tcPr>
          <w:p w14:paraId="4B43D584">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Application</w:t>
            </w:r>
          </w:p>
        </w:tc>
        <w:tc>
          <w:tcPr>
            <w:tcW w:w="2805" w:type="dxa"/>
            <w:tcBorders>
              <w:bottom w:val="single" w:color="auto" w:sz="4" w:space="0"/>
            </w:tcBorders>
            <w:vAlign w:val="top"/>
          </w:tcPr>
          <w:p w14:paraId="39122D9D">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Vendor</w:t>
            </w:r>
          </w:p>
        </w:tc>
      </w:tr>
      <w:tr w14:paraId="3C69C3C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9" w:type="dxa"/>
            <w:tcBorders>
              <w:top w:val="single" w:color="auto" w:sz="4" w:space="0"/>
              <w:tl2br w:val="nil"/>
              <w:tr2bl w:val="nil"/>
            </w:tcBorders>
            <w:vAlign w:val="top"/>
          </w:tcPr>
          <w:p w14:paraId="0C0EE9EE">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FN1</w:t>
            </w:r>
          </w:p>
        </w:tc>
        <w:tc>
          <w:tcPr>
            <w:tcW w:w="1870" w:type="dxa"/>
            <w:tcBorders>
              <w:top w:val="single" w:color="auto" w:sz="4" w:space="0"/>
              <w:tl2br w:val="nil"/>
              <w:tr2bl w:val="nil"/>
            </w:tcBorders>
            <w:vAlign w:val="top"/>
          </w:tcPr>
          <w:p w14:paraId="452CFCA8">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1:1000</w:t>
            </w:r>
          </w:p>
        </w:tc>
        <w:tc>
          <w:tcPr>
            <w:tcW w:w="1715" w:type="dxa"/>
            <w:tcBorders>
              <w:top w:val="single" w:color="auto" w:sz="4" w:space="0"/>
              <w:tl2br w:val="nil"/>
              <w:tr2bl w:val="nil"/>
            </w:tcBorders>
            <w:vAlign w:val="top"/>
          </w:tcPr>
          <w:p w14:paraId="66EF92B8">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WB</w:t>
            </w:r>
          </w:p>
        </w:tc>
        <w:tc>
          <w:tcPr>
            <w:tcW w:w="2805" w:type="dxa"/>
            <w:tcBorders>
              <w:top w:val="single" w:color="auto" w:sz="4" w:space="0"/>
              <w:tl2br w:val="nil"/>
              <w:tr2bl w:val="nil"/>
            </w:tcBorders>
            <w:vAlign w:val="top"/>
          </w:tcPr>
          <w:p w14:paraId="7367217F">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Abcam</w:t>
            </w:r>
          </w:p>
        </w:tc>
      </w:tr>
      <w:tr w14:paraId="567DA30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9" w:type="dxa"/>
            <w:tcBorders>
              <w:tl2br w:val="nil"/>
              <w:tr2bl w:val="nil"/>
            </w:tcBorders>
            <w:vAlign w:val="top"/>
          </w:tcPr>
          <w:p w14:paraId="66A15F55">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PI3K</w:t>
            </w:r>
          </w:p>
        </w:tc>
        <w:tc>
          <w:tcPr>
            <w:tcW w:w="1870" w:type="dxa"/>
            <w:tcBorders>
              <w:tl2br w:val="nil"/>
              <w:tr2bl w:val="nil"/>
            </w:tcBorders>
            <w:vAlign w:val="top"/>
          </w:tcPr>
          <w:p w14:paraId="42FEFB3B">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1:1000</w:t>
            </w:r>
          </w:p>
        </w:tc>
        <w:tc>
          <w:tcPr>
            <w:tcW w:w="1715" w:type="dxa"/>
            <w:tcBorders>
              <w:tl2br w:val="nil"/>
              <w:tr2bl w:val="nil"/>
            </w:tcBorders>
            <w:vAlign w:val="top"/>
          </w:tcPr>
          <w:p w14:paraId="4E0D919A">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WB</w:t>
            </w:r>
          </w:p>
        </w:tc>
        <w:tc>
          <w:tcPr>
            <w:tcW w:w="2805" w:type="dxa"/>
            <w:tcBorders>
              <w:tl2br w:val="nil"/>
              <w:tr2bl w:val="nil"/>
            </w:tcBorders>
            <w:vAlign w:val="top"/>
          </w:tcPr>
          <w:p w14:paraId="3E4B9213">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Affinity Biosciences</w:t>
            </w:r>
          </w:p>
        </w:tc>
      </w:tr>
      <w:tr w14:paraId="2785DA9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9" w:type="dxa"/>
            <w:tcBorders>
              <w:tl2br w:val="nil"/>
              <w:tr2bl w:val="nil"/>
            </w:tcBorders>
            <w:vAlign w:val="top"/>
          </w:tcPr>
          <w:p w14:paraId="115E2659">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Phospho-PI3K</w:t>
            </w:r>
          </w:p>
        </w:tc>
        <w:tc>
          <w:tcPr>
            <w:tcW w:w="1870" w:type="dxa"/>
            <w:tcBorders>
              <w:tl2br w:val="nil"/>
              <w:tr2bl w:val="nil"/>
            </w:tcBorders>
            <w:vAlign w:val="top"/>
          </w:tcPr>
          <w:p w14:paraId="1C6CD83A">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1:1000</w:t>
            </w:r>
          </w:p>
        </w:tc>
        <w:tc>
          <w:tcPr>
            <w:tcW w:w="1715" w:type="dxa"/>
            <w:tcBorders>
              <w:tl2br w:val="nil"/>
              <w:tr2bl w:val="nil"/>
            </w:tcBorders>
            <w:vAlign w:val="top"/>
          </w:tcPr>
          <w:p w14:paraId="0E9BBF1D">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WB</w:t>
            </w:r>
          </w:p>
        </w:tc>
        <w:tc>
          <w:tcPr>
            <w:tcW w:w="2805" w:type="dxa"/>
            <w:tcBorders>
              <w:tl2br w:val="nil"/>
              <w:tr2bl w:val="nil"/>
            </w:tcBorders>
            <w:vAlign w:val="top"/>
          </w:tcPr>
          <w:p w14:paraId="5D6F6F74">
            <w:pPr>
              <w:keepNext w:val="0"/>
              <w:keepLines w:val="0"/>
              <w:widowControl/>
              <w:suppressLineNumbers w:val="0"/>
              <w:jc w:val="left"/>
              <w:rPr>
                <w:rFonts w:hint="default" w:ascii="Times New Roman" w:hAnsi="Times New Roman" w:cs="Times New Roman"/>
                <w:lang w:val="en-US"/>
              </w:rPr>
            </w:pPr>
            <w:r>
              <w:rPr>
                <w:rFonts w:hint="default" w:ascii="Times New Roman" w:hAnsi="Times New Roman" w:eastAsia="宋体" w:cs="Times New Roman"/>
                <w:color w:val="000000"/>
                <w:kern w:val="0"/>
                <w:sz w:val="21"/>
                <w:szCs w:val="21"/>
                <w:lang w:val="en-US" w:eastAsia="zh-CN" w:bidi="ar"/>
              </w:rPr>
              <w:t>Affinity Biosciences</w:t>
            </w:r>
          </w:p>
        </w:tc>
      </w:tr>
      <w:tr w14:paraId="635703C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9" w:type="dxa"/>
            <w:tcBorders>
              <w:tl2br w:val="nil"/>
              <w:tr2bl w:val="nil"/>
            </w:tcBorders>
            <w:vAlign w:val="top"/>
          </w:tcPr>
          <w:p w14:paraId="7B648690">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AKT1</w:t>
            </w:r>
          </w:p>
        </w:tc>
        <w:tc>
          <w:tcPr>
            <w:tcW w:w="1870" w:type="dxa"/>
            <w:tcBorders>
              <w:tl2br w:val="nil"/>
              <w:tr2bl w:val="nil"/>
            </w:tcBorders>
            <w:vAlign w:val="top"/>
          </w:tcPr>
          <w:p w14:paraId="58658349">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1:1000</w:t>
            </w:r>
          </w:p>
        </w:tc>
        <w:tc>
          <w:tcPr>
            <w:tcW w:w="1715" w:type="dxa"/>
            <w:tcBorders>
              <w:tl2br w:val="nil"/>
              <w:tr2bl w:val="nil"/>
            </w:tcBorders>
            <w:vAlign w:val="top"/>
          </w:tcPr>
          <w:p w14:paraId="6E49928E">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WB</w:t>
            </w:r>
          </w:p>
        </w:tc>
        <w:tc>
          <w:tcPr>
            <w:tcW w:w="2805" w:type="dxa"/>
            <w:tcBorders>
              <w:tl2br w:val="nil"/>
              <w:tr2bl w:val="nil"/>
            </w:tcBorders>
            <w:vAlign w:val="top"/>
          </w:tcPr>
          <w:p w14:paraId="565B5F13">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Selleck</w:t>
            </w:r>
          </w:p>
        </w:tc>
      </w:tr>
      <w:tr w14:paraId="49C5889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9" w:type="dxa"/>
            <w:tcBorders>
              <w:tl2br w:val="nil"/>
              <w:tr2bl w:val="nil"/>
            </w:tcBorders>
            <w:vAlign w:val="top"/>
          </w:tcPr>
          <w:p w14:paraId="53D4EEEC">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Phospho-AKT1</w:t>
            </w:r>
          </w:p>
        </w:tc>
        <w:tc>
          <w:tcPr>
            <w:tcW w:w="1870" w:type="dxa"/>
            <w:tcBorders>
              <w:tl2br w:val="nil"/>
              <w:tr2bl w:val="nil"/>
            </w:tcBorders>
            <w:vAlign w:val="top"/>
          </w:tcPr>
          <w:p w14:paraId="74A0EF75">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1:1000</w:t>
            </w:r>
          </w:p>
        </w:tc>
        <w:tc>
          <w:tcPr>
            <w:tcW w:w="1715" w:type="dxa"/>
            <w:tcBorders>
              <w:tl2br w:val="nil"/>
              <w:tr2bl w:val="nil"/>
            </w:tcBorders>
            <w:vAlign w:val="top"/>
          </w:tcPr>
          <w:p w14:paraId="6630623C">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WB</w:t>
            </w:r>
          </w:p>
        </w:tc>
        <w:tc>
          <w:tcPr>
            <w:tcW w:w="2805" w:type="dxa"/>
            <w:tcBorders>
              <w:tl2br w:val="nil"/>
              <w:tr2bl w:val="nil"/>
            </w:tcBorders>
            <w:vAlign w:val="top"/>
          </w:tcPr>
          <w:p w14:paraId="6337CB48">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Selleck</w:t>
            </w:r>
          </w:p>
        </w:tc>
      </w:tr>
      <w:tr w14:paraId="5657A5C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9" w:type="dxa"/>
            <w:tcBorders>
              <w:tl2br w:val="nil"/>
              <w:tr2bl w:val="nil"/>
            </w:tcBorders>
            <w:vAlign w:val="top"/>
          </w:tcPr>
          <w:p w14:paraId="477D3727">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AKT2</w:t>
            </w:r>
          </w:p>
        </w:tc>
        <w:tc>
          <w:tcPr>
            <w:tcW w:w="1870" w:type="dxa"/>
            <w:tcBorders>
              <w:tl2br w:val="nil"/>
              <w:tr2bl w:val="nil"/>
            </w:tcBorders>
            <w:vAlign w:val="top"/>
          </w:tcPr>
          <w:p w14:paraId="66619A8C">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1:1000</w:t>
            </w:r>
          </w:p>
        </w:tc>
        <w:tc>
          <w:tcPr>
            <w:tcW w:w="1715" w:type="dxa"/>
            <w:tcBorders>
              <w:tl2br w:val="nil"/>
              <w:tr2bl w:val="nil"/>
            </w:tcBorders>
            <w:vAlign w:val="top"/>
          </w:tcPr>
          <w:p w14:paraId="64215DB5">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WB</w:t>
            </w:r>
          </w:p>
        </w:tc>
        <w:tc>
          <w:tcPr>
            <w:tcW w:w="2805" w:type="dxa"/>
            <w:tcBorders>
              <w:tl2br w:val="nil"/>
              <w:tr2bl w:val="nil"/>
            </w:tcBorders>
            <w:vAlign w:val="top"/>
          </w:tcPr>
          <w:p w14:paraId="7DE4A6E1">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Selleck</w:t>
            </w:r>
          </w:p>
        </w:tc>
      </w:tr>
      <w:tr w14:paraId="6E74075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9" w:type="dxa"/>
            <w:tcBorders>
              <w:tl2br w:val="nil"/>
              <w:tr2bl w:val="nil"/>
            </w:tcBorders>
            <w:vAlign w:val="top"/>
          </w:tcPr>
          <w:p w14:paraId="17019EB5">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Phospho-AKT2</w:t>
            </w:r>
          </w:p>
        </w:tc>
        <w:tc>
          <w:tcPr>
            <w:tcW w:w="1870" w:type="dxa"/>
            <w:tcBorders>
              <w:tl2br w:val="nil"/>
              <w:tr2bl w:val="nil"/>
            </w:tcBorders>
            <w:vAlign w:val="top"/>
          </w:tcPr>
          <w:p w14:paraId="0C1C6DD9">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1:1000</w:t>
            </w:r>
          </w:p>
        </w:tc>
        <w:tc>
          <w:tcPr>
            <w:tcW w:w="1715" w:type="dxa"/>
            <w:tcBorders>
              <w:tl2br w:val="nil"/>
              <w:tr2bl w:val="nil"/>
            </w:tcBorders>
            <w:vAlign w:val="top"/>
          </w:tcPr>
          <w:p w14:paraId="004763F2">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WB</w:t>
            </w:r>
          </w:p>
        </w:tc>
        <w:tc>
          <w:tcPr>
            <w:tcW w:w="2805" w:type="dxa"/>
            <w:tcBorders>
              <w:tl2br w:val="nil"/>
              <w:tr2bl w:val="nil"/>
            </w:tcBorders>
            <w:vAlign w:val="top"/>
          </w:tcPr>
          <w:p w14:paraId="3F73A48C">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Selleck</w:t>
            </w:r>
          </w:p>
        </w:tc>
      </w:tr>
      <w:tr w14:paraId="7426012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9" w:type="dxa"/>
            <w:tcBorders>
              <w:tl2br w:val="nil"/>
              <w:tr2bl w:val="nil"/>
            </w:tcBorders>
            <w:vAlign w:val="top"/>
          </w:tcPr>
          <w:p w14:paraId="5FF199E1">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STAT1</w:t>
            </w:r>
          </w:p>
        </w:tc>
        <w:tc>
          <w:tcPr>
            <w:tcW w:w="1870" w:type="dxa"/>
            <w:tcBorders>
              <w:tl2br w:val="nil"/>
              <w:tr2bl w:val="nil"/>
            </w:tcBorders>
            <w:vAlign w:val="top"/>
          </w:tcPr>
          <w:p w14:paraId="154391A7">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1:1000</w:t>
            </w:r>
          </w:p>
        </w:tc>
        <w:tc>
          <w:tcPr>
            <w:tcW w:w="1715" w:type="dxa"/>
            <w:tcBorders>
              <w:tl2br w:val="nil"/>
              <w:tr2bl w:val="nil"/>
            </w:tcBorders>
            <w:vAlign w:val="top"/>
          </w:tcPr>
          <w:p w14:paraId="31A78BB1">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WB</w:t>
            </w:r>
          </w:p>
        </w:tc>
        <w:tc>
          <w:tcPr>
            <w:tcW w:w="2805" w:type="dxa"/>
            <w:tcBorders>
              <w:tl2br w:val="nil"/>
              <w:tr2bl w:val="nil"/>
            </w:tcBorders>
            <w:vAlign w:val="top"/>
          </w:tcPr>
          <w:p w14:paraId="24E2FFF6">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Beyotime</w:t>
            </w:r>
          </w:p>
        </w:tc>
      </w:tr>
      <w:tr w14:paraId="739986A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9" w:type="dxa"/>
            <w:tcBorders>
              <w:tl2br w:val="nil"/>
              <w:tr2bl w:val="nil"/>
            </w:tcBorders>
            <w:vAlign w:val="top"/>
          </w:tcPr>
          <w:p w14:paraId="666806CA">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Phospho-STAT1</w:t>
            </w:r>
          </w:p>
        </w:tc>
        <w:tc>
          <w:tcPr>
            <w:tcW w:w="1870" w:type="dxa"/>
            <w:tcBorders>
              <w:tl2br w:val="nil"/>
              <w:tr2bl w:val="nil"/>
            </w:tcBorders>
            <w:vAlign w:val="top"/>
          </w:tcPr>
          <w:p w14:paraId="684F41A6">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1:1000</w:t>
            </w:r>
          </w:p>
        </w:tc>
        <w:tc>
          <w:tcPr>
            <w:tcW w:w="1715" w:type="dxa"/>
            <w:tcBorders>
              <w:tl2br w:val="nil"/>
              <w:tr2bl w:val="nil"/>
            </w:tcBorders>
            <w:vAlign w:val="top"/>
          </w:tcPr>
          <w:p w14:paraId="667E5373">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WB</w:t>
            </w:r>
          </w:p>
        </w:tc>
        <w:tc>
          <w:tcPr>
            <w:tcW w:w="2805" w:type="dxa"/>
            <w:tcBorders>
              <w:tl2br w:val="nil"/>
              <w:tr2bl w:val="nil"/>
            </w:tcBorders>
            <w:vAlign w:val="top"/>
          </w:tcPr>
          <w:p w14:paraId="4C597120">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Selleck</w:t>
            </w:r>
          </w:p>
        </w:tc>
      </w:tr>
      <w:tr w14:paraId="202704F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9" w:type="dxa"/>
            <w:tcBorders>
              <w:tl2br w:val="nil"/>
              <w:tr2bl w:val="nil"/>
            </w:tcBorders>
            <w:vAlign w:val="top"/>
          </w:tcPr>
          <w:p w14:paraId="409F5251">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STAT6</w:t>
            </w:r>
          </w:p>
        </w:tc>
        <w:tc>
          <w:tcPr>
            <w:tcW w:w="1870" w:type="dxa"/>
            <w:tcBorders>
              <w:tl2br w:val="nil"/>
              <w:tr2bl w:val="nil"/>
            </w:tcBorders>
            <w:vAlign w:val="top"/>
          </w:tcPr>
          <w:p w14:paraId="0724C9AF">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1:1000</w:t>
            </w:r>
          </w:p>
        </w:tc>
        <w:tc>
          <w:tcPr>
            <w:tcW w:w="1715" w:type="dxa"/>
            <w:tcBorders>
              <w:tl2br w:val="nil"/>
              <w:tr2bl w:val="nil"/>
            </w:tcBorders>
            <w:vAlign w:val="top"/>
          </w:tcPr>
          <w:p w14:paraId="58A80B12">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WB</w:t>
            </w:r>
          </w:p>
        </w:tc>
        <w:tc>
          <w:tcPr>
            <w:tcW w:w="2805" w:type="dxa"/>
            <w:tcBorders>
              <w:tl2br w:val="nil"/>
              <w:tr2bl w:val="nil"/>
            </w:tcBorders>
            <w:vAlign w:val="top"/>
          </w:tcPr>
          <w:p w14:paraId="321E071C">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ZEN-BIO</w:t>
            </w:r>
          </w:p>
        </w:tc>
      </w:tr>
      <w:tr w14:paraId="11996E3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 w:hRule="atLeast"/>
        </w:trPr>
        <w:tc>
          <w:tcPr>
            <w:tcW w:w="2129" w:type="dxa"/>
            <w:tcBorders>
              <w:tl2br w:val="nil"/>
              <w:tr2bl w:val="nil"/>
            </w:tcBorders>
            <w:vAlign w:val="top"/>
          </w:tcPr>
          <w:p w14:paraId="09807597">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Phospho-STAT6</w:t>
            </w:r>
          </w:p>
        </w:tc>
        <w:tc>
          <w:tcPr>
            <w:tcW w:w="1870" w:type="dxa"/>
            <w:tcBorders>
              <w:tl2br w:val="nil"/>
              <w:tr2bl w:val="nil"/>
            </w:tcBorders>
            <w:vAlign w:val="top"/>
          </w:tcPr>
          <w:p w14:paraId="36989EF1">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1:1000</w:t>
            </w:r>
          </w:p>
        </w:tc>
        <w:tc>
          <w:tcPr>
            <w:tcW w:w="1715" w:type="dxa"/>
            <w:tcBorders>
              <w:tl2br w:val="nil"/>
              <w:tr2bl w:val="nil"/>
            </w:tcBorders>
            <w:vAlign w:val="top"/>
          </w:tcPr>
          <w:p w14:paraId="71C9FD5C">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WB</w:t>
            </w:r>
          </w:p>
        </w:tc>
        <w:tc>
          <w:tcPr>
            <w:tcW w:w="2805" w:type="dxa"/>
            <w:tcBorders>
              <w:tl2br w:val="nil"/>
              <w:tr2bl w:val="nil"/>
            </w:tcBorders>
            <w:vAlign w:val="top"/>
          </w:tcPr>
          <w:p w14:paraId="6E388582">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Selleck</w:t>
            </w:r>
          </w:p>
        </w:tc>
      </w:tr>
      <w:tr w14:paraId="451EA2C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9" w:type="dxa"/>
            <w:tcBorders>
              <w:tl2br w:val="nil"/>
              <w:tr2bl w:val="nil"/>
            </w:tcBorders>
            <w:vAlign w:val="top"/>
          </w:tcPr>
          <w:p w14:paraId="4E084F60">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β-actin</w:t>
            </w:r>
          </w:p>
        </w:tc>
        <w:tc>
          <w:tcPr>
            <w:tcW w:w="1870" w:type="dxa"/>
            <w:tcBorders>
              <w:tl2br w:val="nil"/>
              <w:tr2bl w:val="nil"/>
            </w:tcBorders>
            <w:vAlign w:val="top"/>
          </w:tcPr>
          <w:p w14:paraId="54B292F9">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1:2000</w:t>
            </w:r>
          </w:p>
        </w:tc>
        <w:tc>
          <w:tcPr>
            <w:tcW w:w="1715" w:type="dxa"/>
            <w:tcBorders>
              <w:tl2br w:val="nil"/>
              <w:tr2bl w:val="nil"/>
            </w:tcBorders>
            <w:vAlign w:val="top"/>
          </w:tcPr>
          <w:p w14:paraId="225D2169">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WB</w:t>
            </w:r>
          </w:p>
        </w:tc>
        <w:tc>
          <w:tcPr>
            <w:tcW w:w="2805" w:type="dxa"/>
            <w:tcBorders>
              <w:tl2br w:val="nil"/>
              <w:tr2bl w:val="nil"/>
            </w:tcBorders>
            <w:vAlign w:val="top"/>
          </w:tcPr>
          <w:p w14:paraId="7543A6CB">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Proteintech</w:t>
            </w:r>
          </w:p>
        </w:tc>
      </w:tr>
      <w:tr w14:paraId="58DB632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9" w:type="dxa"/>
            <w:tcBorders>
              <w:tl2br w:val="nil"/>
              <w:tr2bl w:val="nil"/>
            </w:tcBorders>
            <w:vAlign w:val="top"/>
          </w:tcPr>
          <w:p w14:paraId="70473E9D">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HRP-conjugated goat</w:t>
            </w:r>
          </w:p>
        </w:tc>
        <w:tc>
          <w:tcPr>
            <w:tcW w:w="1870" w:type="dxa"/>
            <w:tcBorders>
              <w:tl2br w:val="nil"/>
              <w:tr2bl w:val="nil"/>
            </w:tcBorders>
            <w:vAlign w:val="top"/>
          </w:tcPr>
          <w:p w14:paraId="66D44639">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1:10000</w:t>
            </w:r>
          </w:p>
        </w:tc>
        <w:tc>
          <w:tcPr>
            <w:tcW w:w="1715" w:type="dxa"/>
            <w:tcBorders>
              <w:tl2br w:val="nil"/>
              <w:tr2bl w:val="nil"/>
            </w:tcBorders>
            <w:vAlign w:val="top"/>
          </w:tcPr>
          <w:p w14:paraId="58303855">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WB</w:t>
            </w:r>
          </w:p>
        </w:tc>
        <w:tc>
          <w:tcPr>
            <w:tcW w:w="2805" w:type="dxa"/>
            <w:tcBorders>
              <w:tl2br w:val="nil"/>
              <w:tr2bl w:val="nil"/>
            </w:tcBorders>
            <w:vAlign w:val="top"/>
          </w:tcPr>
          <w:p w14:paraId="1C004462">
            <w:pPr>
              <w:keepNext w:val="0"/>
              <w:keepLines w:val="0"/>
              <w:widowControl/>
              <w:suppressLineNumbers w:val="0"/>
              <w:jc w:val="left"/>
              <w:rPr>
                <w:rFonts w:hint="default" w:ascii="Times New Roman" w:hAnsi="Times New Roman" w:cs="Times New Roman"/>
              </w:rPr>
            </w:pPr>
            <w:r>
              <w:rPr>
                <w:rFonts w:hint="eastAsia" w:ascii="Times New Roman" w:hAnsi="Times New Roman" w:eastAsia="宋体" w:cs="Times New Roman"/>
                <w:color w:val="000000"/>
                <w:kern w:val="0"/>
                <w:sz w:val="21"/>
                <w:szCs w:val="21"/>
                <w:lang w:val="en-US" w:eastAsia="zh-CN" w:bidi="ar"/>
              </w:rPr>
              <w:t>Jihua Biotechnology Services</w:t>
            </w:r>
          </w:p>
        </w:tc>
      </w:tr>
      <w:tr w14:paraId="7804F6F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9" w:type="dxa"/>
            <w:tcBorders>
              <w:tl2br w:val="nil"/>
              <w:tr2bl w:val="nil"/>
            </w:tcBorders>
            <w:vAlign w:val="top"/>
          </w:tcPr>
          <w:p w14:paraId="4A82224D">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F4/80</w:t>
            </w:r>
          </w:p>
        </w:tc>
        <w:tc>
          <w:tcPr>
            <w:tcW w:w="1870" w:type="dxa"/>
            <w:tcBorders>
              <w:tl2br w:val="nil"/>
              <w:tr2bl w:val="nil"/>
            </w:tcBorders>
            <w:vAlign w:val="top"/>
          </w:tcPr>
          <w:p w14:paraId="338ABEC7">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1:1000</w:t>
            </w:r>
          </w:p>
        </w:tc>
        <w:tc>
          <w:tcPr>
            <w:tcW w:w="1715" w:type="dxa"/>
            <w:tcBorders>
              <w:tl2br w:val="nil"/>
              <w:tr2bl w:val="nil"/>
            </w:tcBorders>
            <w:vAlign w:val="top"/>
          </w:tcPr>
          <w:p w14:paraId="3D3B326F">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IF</w:t>
            </w:r>
          </w:p>
        </w:tc>
        <w:tc>
          <w:tcPr>
            <w:tcW w:w="2805" w:type="dxa"/>
            <w:tcBorders>
              <w:tl2br w:val="nil"/>
              <w:tr2bl w:val="nil"/>
            </w:tcBorders>
            <w:vAlign w:val="top"/>
          </w:tcPr>
          <w:p w14:paraId="6F3FEF03">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Immumoway</w:t>
            </w:r>
          </w:p>
        </w:tc>
      </w:tr>
      <w:tr w14:paraId="52FFBC0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9" w:type="dxa"/>
            <w:tcBorders>
              <w:tl2br w:val="nil"/>
              <w:tr2bl w:val="nil"/>
            </w:tcBorders>
            <w:vAlign w:val="top"/>
          </w:tcPr>
          <w:p w14:paraId="32308355">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FN1</w:t>
            </w:r>
          </w:p>
        </w:tc>
        <w:tc>
          <w:tcPr>
            <w:tcW w:w="1870" w:type="dxa"/>
            <w:tcBorders>
              <w:tl2br w:val="nil"/>
              <w:tr2bl w:val="nil"/>
            </w:tcBorders>
            <w:vAlign w:val="top"/>
          </w:tcPr>
          <w:p w14:paraId="0C0A3917">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1:1000</w:t>
            </w:r>
          </w:p>
        </w:tc>
        <w:tc>
          <w:tcPr>
            <w:tcW w:w="1715" w:type="dxa"/>
            <w:tcBorders>
              <w:tl2br w:val="nil"/>
              <w:tr2bl w:val="nil"/>
            </w:tcBorders>
            <w:vAlign w:val="top"/>
          </w:tcPr>
          <w:p w14:paraId="4705512A">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IF</w:t>
            </w:r>
          </w:p>
        </w:tc>
        <w:tc>
          <w:tcPr>
            <w:tcW w:w="2805" w:type="dxa"/>
            <w:tcBorders>
              <w:tl2br w:val="nil"/>
              <w:tr2bl w:val="nil"/>
            </w:tcBorders>
            <w:vAlign w:val="top"/>
          </w:tcPr>
          <w:p w14:paraId="7A3051FF">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Abcam</w:t>
            </w:r>
          </w:p>
        </w:tc>
      </w:tr>
      <w:tr w14:paraId="00D1BA0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9" w:type="dxa"/>
            <w:tcBorders>
              <w:tl2br w:val="nil"/>
              <w:tr2bl w:val="nil"/>
            </w:tcBorders>
            <w:vAlign w:val="top"/>
          </w:tcPr>
          <w:p w14:paraId="2A88AC3D">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GZMB</w:t>
            </w:r>
          </w:p>
        </w:tc>
        <w:tc>
          <w:tcPr>
            <w:tcW w:w="1870" w:type="dxa"/>
            <w:tcBorders>
              <w:tl2br w:val="nil"/>
              <w:tr2bl w:val="nil"/>
            </w:tcBorders>
            <w:vAlign w:val="top"/>
          </w:tcPr>
          <w:p w14:paraId="621B4228">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 xml:space="preserve">5 </w:t>
            </w:r>
            <w:r>
              <w:rPr>
                <w:rFonts w:hint="default" w:ascii="Times New Roman" w:hAnsi="Times New Roman" w:eastAsia="宋体" w:cs="Times New Roman"/>
                <w:color w:val="000000"/>
                <w:kern w:val="0"/>
                <w:sz w:val="21"/>
                <w:szCs w:val="21"/>
                <w:lang w:val="en-US" w:eastAsia="zh-CN" w:bidi="ar"/>
              </w:rPr>
              <w:t>μL/test</w:t>
            </w:r>
          </w:p>
        </w:tc>
        <w:tc>
          <w:tcPr>
            <w:tcW w:w="1715" w:type="dxa"/>
            <w:tcBorders>
              <w:tl2br w:val="nil"/>
              <w:tr2bl w:val="nil"/>
            </w:tcBorders>
            <w:vAlign w:val="top"/>
          </w:tcPr>
          <w:p w14:paraId="161DF0D6">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FC</w:t>
            </w:r>
          </w:p>
        </w:tc>
        <w:tc>
          <w:tcPr>
            <w:tcW w:w="2805" w:type="dxa"/>
            <w:tcBorders>
              <w:tl2br w:val="nil"/>
              <w:tr2bl w:val="nil"/>
            </w:tcBorders>
            <w:vAlign w:val="top"/>
          </w:tcPr>
          <w:p w14:paraId="7E274EE3">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B</w:t>
            </w:r>
            <w:r>
              <w:rPr>
                <w:rFonts w:hint="default" w:ascii="Times New Roman" w:hAnsi="Times New Roman" w:eastAsia="宋体" w:cs="Times New Roman"/>
                <w:color w:val="000000"/>
                <w:kern w:val="0"/>
                <w:sz w:val="21"/>
                <w:szCs w:val="21"/>
                <w:lang w:val="en-US" w:eastAsia="zh-CN" w:bidi="ar"/>
              </w:rPr>
              <w:t>iolegend</w:t>
            </w:r>
          </w:p>
        </w:tc>
      </w:tr>
      <w:tr w14:paraId="2807233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9" w:type="dxa"/>
            <w:tcBorders>
              <w:tl2br w:val="nil"/>
              <w:tr2bl w:val="nil"/>
            </w:tcBorders>
            <w:vAlign w:val="top"/>
          </w:tcPr>
          <w:p w14:paraId="5B3FECC9">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IFN-γ</w:t>
            </w:r>
          </w:p>
        </w:tc>
        <w:tc>
          <w:tcPr>
            <w:tcW w:w="1870" w:type="dxa"/>
            <w:tcBorders>
              <w:tl2br w:val="nil"/>
              <w:tr2bl w:val="nil"/>
            </w:tcBorders>
            <w:vAlign w:val="top"/>
          </w:tcPr>
          <w:p w14:paraId="09209FD8">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 xml:space="preserve">5 </w:t>
            </w:r>
            <w:r>
              <w:rPr>
                <w:rFonts w:hint="default" w:ascii="Times New Roman" w:hAnsi="Times New Roman" w:eastAsia="宋体" w:cs="Times New Roman"/>
                <w:color w:val="000000"/>
                <w:kern w:val="0"/>
                <w:sz w:val="21"/>
                <w:szCs w:val="21"/>
                <w:lang w:val="en-US" w:eastAsia="zh-CN" w:bidi="ar"/>
              </w:rPr>
              <w:t>μL/test</w:t>
            </w:r>
          </w:p>
        </w:tc>
        <w:tc>
          <w:tcPr>
            <w:tcW w:w="1715" w:type="dxa"/>
            <w:tcBorders>
              <w:tl2br w:val="nil"/>
              <w:tr2bl w:val="nil"/>
            </w:tcBorders>
            <w:vAlign w:val="top"/>
          </w:tcPr>
          <w:p w14:paraId="4F98D171">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FC</w:t>
            </w:r>
          </w:p>
        </w:tc>
        <w:tc>
          <w:tcPr>
            <w:tcW w:w="2805" w:type="dxa"/>
            <w:tcBorders>
              <w:tl2br w:val="nil"/>
              <w:tr2bl w:val="nil"/>
            </w:tcBorders>
            <w:vAlign w:val="top"/>
          </w:tcPr>
          <w:p w14:paraId="49173906">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B</w:t>
            </w:r>
            <w:r>
              <w:rPr>
                <w:rFonts w:hint="default" w:ascii="Times New Roman" w:hAnsi="Times New Roman" w:eastAsia="宋体" w:cs="Times New Roman"/>
                <w:color w:val="000000"/>
                <w:kern w:val="0"/>
                <w:sz w:val="21"/>
                <w:szCs w:val="21"/>
                <w:lang w:val="en-US" w:eastAsia="zh-CN" w:bidi="ar"/>
              </w:rPr>
              <w:t>iolegend</w:t>
            </w:r>
          </w:p>
        </w:tc>
      </w:tr>
    </w:tbl>
    <w:p w14:paraId="2C1C66D2">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p>
    <w:p w14:paraId="5B628BBE">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WB*:Western blot; </w:t>
      </w:r>
      <w:r>
        <w:rPr>
          <w:rFonts w:hint="eastAsia" w:ascii="Times New Roman" w:hAnsi="Times New Roman" w:eastAsia="宋体" w:cs="Times New Roman"/>
          <w:color w:val="000000"/>
          <w:kern w:val="0"/>
          <w:sz w:val="21"/>
          <w:szCs w:val="21"/>
          <w:lang w:val="en-US" w:eastAsia="zh-CN" w:bidi="ar"/>
        </w:rPr>
        <w:t xml:space="preserve"> </w:t>
      </w:r>
      <w:r>
        <w:rPr>
          <w:rFonts w:hint="default" w:ascii="Times New Roman" w:hAnsi="Times New Roman" w:eastAsia="宋体" w:cs="Times New Roman"/>
          <w:color w:val="000000"/>
          <w:kern w:val="0"/>
          <w:sz w:val="21"/>
          <w:szCs w:val="21"/>
          <w:lang w:val="en-US" w:eastAsia="zh-CN" w:bidi="ar"/>
        </w:rPr>
        <w:t xml:space="preserve">IF**: Immunofluorescence; </w:t>
      </w:r>
      <w:r>
        <w:rPr>
          <w:rFonts w:hint="eastAsia" w:ascii="Times New Roman" w:hAnsi="Times New Roman" w:eastAsia="宋体" w:cs="Times New Roman"/>
          <w:color w:val="000000"/>
          <w:kern w:val="0"/>
          <w:sz w:val="21"/>
          <w:szCs w:val="21"/>
          <w:lang w:val="en-US" w:eastAsia="zh-CN" w:bidi="ar"/>
        </w:rPr>
        <w:t xml:space="preserve"> </w:t>
      </w:r>
      <w:r>
        <w:rPr>
          <w:rFonts w:hint="default" w:ascii="Times New Roman" w:hAnsi="Times New Roman" w:eastAsia="宋体" w:cs="Times New Roman"/>
          <w:color w:val="000000"/>
          <w:kern w:val="0"/>
          <w:sz w:val="21"/>
          <w:szCs w:val="21"/>
          <w:lang w:val="en-US" w:eastAsia="zh-CN" w:bidi="ar"/>
        </w:rPr>
        <w:t>FC*** : Flow Cytometry</w:t>
      </w:r>
    </w:p>
    <w:p w14:paraId="19E888F4">
      <w:pPr>
        <w:keepNext w:val="0"/>
        <w:keepLines w:val="0"/>
        <w:widowControl/>
        <w:suppressLineNumbers w:val="0"/>
        <w:jc w:val="left"/>
      </w:pPr>
    </w:p>
    <w:p w14:paraId="05A5B746">
      <w:pPr>
        <w:keepNext w:val="0"/>
        <w:keepLines w:val="0"/>
        <w:widowControl/>
        <w:numPr>
          <w:ilvl w:val="0"/>
          <w:numId w:val="0"/>
        </w:numPr>
        <w:suppressLineNumbers w:val="0"/>
        <w:jc w:val="left"/>
        <w:rPr>
          <w:rFonts w:hint="default" w:ascii="Times New Roman" w:hAnsi="Times New Roman" w:eastAsia="宋体" w:cs="Times New Roman"/>
          <w:color w:val="000000"/>
          <w:kern w:val="0"/>
          <w:sz w:val="21"/>
          <w:szCs w:val="21"/>
          <w:lang w:val="en-US" w:eastAsia="zh-CN" w:bidi="ar"/>
        </w:rPr>
      </w:pPr>
    </w:p>
    <w:p w14:paraId="4DB0ED23">
      <w:pPr>
        <w:widowControl w:val="0"/>
        <w:numPr>
          <w:ilvl w:val="0"/>
          <w:numId w:val="0"/>
        </w:numPr>
        <w:jc w:val="both"/>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 xml:space="preserve">Figure S1 </w:t>
      </w:r>
    </w:p>
    <w:p w14:paraId="38195F37">
      <w:pPr>
        <w:widowControl w:val="0"/>
        <w:numPr>
          <w:ilvl w:val="0"/>
          <w:numId w:val="0"/>
        </w:numPr>
        <w:jc w:val="both"/>
        <w:rPr>
          <w:rFonts w:hint="default"/>
          <w:lang w:val="en-US" w:eastAsia="zh-CN"/>
        </w:rPr>
      </w:pPr>
      <w:r>
        <w:rPr>
          <w:rFonts w:hint="default"/>
          <w:lang w:val="en-US" w:eastAsia="zh-CN"/>
        </w:rPr>
        <w:drawing>
          <wp:inline distT="0" distB="0" distL="114300" distR="114300">
            <wp:extent cx="5264150" cy="5478145"/>
            <wp:effectExtent l="0" t="0" r="3175" b="8255"/>
            <wp:docPr id="1" name="图片 1" descr="Figure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s1"/>
                    <pic:cNvPicPr>
                      <a:picLocks noChangeAspect="1"/>
                    </pic:cNvPicPr>
                  </pic:nvPicPr>
                  <pic:blipFill>
                    <a:blip r:embed="rId4"/>
                    <a:stretch>
                      <a:fillRect/>
                    </a:stretch>
                  </pic:blipFill>
                  <pic:spPr>
                    <a:xfrm>
                      <a:off x="0" y="0"/>
                      <a:ext cx="5264150" cy="5478145"/>
                    </a:xfrm>
                    <a:prstGeom prst="rect">
                      <a:avLst/>
                    </a:prstGeom>
                  </pic:spPr>
                </pic:pic>
              </a:graphicData>
            </a:graphic>
          </wp:inline>
        </w:drawing>
      </w:r>
    </w:p>
    <w:p w14:paraId="2CB58DDA">
      <w:pPr>
        <w:keepNext w:val="0"/>
        <w:keepLines w:val="0"/>
        <w:pageBreakBefore w:val="0"/>
        <w:kinsoku/>
        <w:wordWrap/>
        <w:overflowPunct/>
        <w:topLinePunct w:val="0"/>
        <w:autoSpaceDE/>
        <w:autoSpaceDN/>
        <w:bidi w:val="0"/>
        <w:adjustRightInd/>
        <w:snapToGrid/>
        <w:spacing w:line="480" w:lineRule="auto"/>
        <w:textAlignment w:val="auto"/>
        <w:rPr>
          <w:rFonts w:ascii="Times New Roman" w:hAnsi="Times New Roman" w:cs="Times New Roman"/>
          <w:b/>
          <w:bCs/>
          <w:sz w:val="24"/>
          <w:szCs w:val="24"/>
        </w:rPr>
      </w:pPr>
      <w:r>
        <w:rPr>
          <w:rFonts w:ascii="Times New Roman" w:hAnsi="Times New Roman" w:cs="Times New Roman"/>
          <w:b/>
          <w:bCs/>
          <w:sz w:val="24"/>
          <w:szCs w:val="24"/>
        </w:rPr>
        <w:t>Supplementary</w:t>
      </w:r>
      <w:r>
        <w:rPr>
          <w:rFonts w:hint="eastAsia" w:ascii="Times New Roman" w:hAnsi="Times New Roman" w:cs="Times New Roman"/>
          <w:b/>
          <w:bCs/>
          <w:sz w:val="24"/>
          <w:szCs w:val="24"/>
        </w:rPr>
        <w:t xml:space="preserve"> Figure</w:t>
      </w:r>
      <w:r>
        <w:rPr>
          <w:rFonts w:ascii="Times New Roman" w:hAnsi="Times New Roman" w:cs="Times New Roman"/>
          <w:b/>
          <w:bCs/>
          <w:sz w:val="24"/>
          <w:szCs w:val="24"/>
        </w:rPr>
        <w:t>1</w:t>
      </w:r>
      <w:r>
        <w:rPr>
          <w:rFonts w:hint="eastAsia" w:ascii="Times New Roman" w:hAnsi="Times New Roman" w:cs="Times New Roman"/>
          <w:b/>
          <w:bCs/>
          <w:sz w:val="24"/>
          <w:szCs w:val="24"/>
        </w:rPr>
        <w:t xml:space="preserve">. </w:t>
      </w:r>
      <w:r>
        <w:rPr>
          <w:rFonts w:ascii="Times New Roman" w:hAnsi="Times New Roman" w:cs="Times New Roman"/>
          <w:b/>
          <w:bCs/>
          <w:sz w:val="24"/>
          <w:szCs w:val="24"/>
        </w:rPr>
        <w:t>Differential gene expression and correlation analysis</w:t>
      </w:r>
    </w:p>
    <w:p w14:paraId="564ECF9E">
      <w:pPr>
        <w:keepNext w:val="0"/>
        <w:keepLines w:val="0"/>
        <w:pageBreakBefore w:val="0"/>
        <w:kinsoku/>
        <w:wordWrap/>
        <w:overflowPunct/>
        <w:topLinePunct w:val="0"/>
        <w:autoSpaceDE/>
        <w:autoSpaceDN/>
        <w:bidi w:val="0"/>
        <w:adjustRightInd/>
        <w:snapToGrid/>
        <w:spacing w:line="480" w:lineRule="auto"/>
        <w:textAlignment w:val="auto"/>
        <w:rPr>
          <w:rFonts w:ascii="Times New Roman" w:hAnsi="Times New Roman" w:cs="Times New Roman"/>
          <w:sz w:val="24"/>
          <w:szCs w:val="24"/>
        </w:rPr>
      </w:pPr>
      <w:r>
        <w:rPr>
          <w:rFonts w:ascii="Times New Roman" w:hAnsi="Times New Roman" w:cs="Times New Roman"/>
          <w:sz w:val="24"/>
          <w:szCs w:val="24"/>
        </w:rPr>
        <w:t>（A）IL-1β、Plxna4、CD36、Ephx2、Ybey、Ald1a7、TNN-1、Vegfc and Ifitm1 mRNA levels in distal tumors from irradiated and control mice. （B）Analysis of the correlation between FN1 expression and M1 macrophage markers, including the immunosuppressive receptors CD163 and CD209, using the TIMER2 database.</w:t>
      </w:r>
      <w:r>
        <w:rPr>
          <w:rFonts w:hint="eastAsia" w:ascii="Times New Roman" w:hAnsi="Times New Roman" w:cs="Times New Roman"/>
          <w:sz w:val="24"/>
          <w:szCs w:val="24"/>
        </w:rPr>
        <w:t xml:space="preserve"> </w:t>
      </w:r>
      <w:r>
        <w:rPr>
          <w:rFonts w:ascii="Times New Roman" w:hAnsi="Times New Roman" w:cs="Times New Roman"/>
          <w:sz w:val="24"/>
          <w:szCs w:val="24"/>
        </w:rPr>
        <w:t>Data in (</w:t>
      </w:r>
      <w:r>
        <w:rPr>
          <w:rFonts w:hint="eastAsia" w:ascii="Times New Roman" w:hAnsi="Times New Roman" w:cs="Times New Roman"/>
          <w:sz w:val="24"/>
          <w:szCs w:val="24"/>
        </w:rPr>
        <w:t>A</w:t>
      </w:r>
      <w:r>
        <w:rPr>
          <w:rFonts w:ascii="Times New Roman" w:hAnsi="Times New Roman" w:cs="Times New Roman"/>
          <w:sz w:val="24"/>
          <w:szCs w:val="24"/>
        </w:rPr>
        <w:t>) are shown as mean ± SD</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(n = </w:t>
      </w:r>
      <w:r>
        <w:rPr>
          <w:rFonts w:hint="eastAsia" w:ascii="Times New Roman" w:hAnsi="Times New Roman" w:cs="Times New Roman"/>
          <w:sz w:val="24"/>
          <w:szCs w:val="24"/>
        </w:rPr>
        <w:t>9</w:t>
      </w:r>
      <w:r>
        <w:rPr>
          <w:rFonts w:ascii="Times New Roman" w:hAnsi="Times New Roman" w:cs="Times New Roman"/>
          <w:sz w:val="24"/>
          <w:szCs w:val="24"/>
        </w:rPr>
        <w:t>). ns, not significant (</w:t>
      </w:r>
      <w:r>
        <w:rPr>
          <w:rFonts w:ascii="Times New Roman" w:hAnsi="Times New Roman" w:cs="Times New Roman"/>
          <w:i/>
          <w:iCs/>
          <w:sz w:val="24"/>
          <w:szCs w:val="24"/>
        </w:rPr>
        <w:t>P</w:t>
      </w:r>
      <w:r>
        <w:rPr>
          <w:rFonts w:ascii="Times New Roman" w:hAnsi="Times New Roman" w:cs="Times New Roman"/>
          <w:sz w:val="24"/>
          <w:szCs w:val="24"/>
        </w:rPr>
        <w:t xml:space="preserve"> &gt; 0.05)</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by </w:t>
      </w:r>
      <w:r>
        <w:rPr>
          <w:rFonts w:hint="eastAsia" w:ascii="Times New Roman" w:hAnsi="Times New Roman" w:cs="Times New Roman"/>
          <w:sz w:val="24"/>
          <w:szCs w:val="24"/>
          <w:lang w:val="en-US" w:eastAsia="zh-CN"/>
        </w:rPr>
        <w:t xml:space="preserve">two-sided </w:t>
      </w:r>
      <w:r>
        <w:rPr>
          <w:rFonts w:ascii="Times New Roman" w:hAnsi="Times New Roman" w:cs="Times New Roman"/>
          <w:sz w:val="24"/>
          <w:szCs w:val="24"/>
        </w:rPr>
        <w:t xml:space="preserve">Student’s t test. </w:t>
      </w:r>
    </w:p>
    <w:p w14:paraId="37D030F6">
      <w:pPr>
        <w:rPr>
          <w:rFonts w:hint="default"/>
          <w:lang w:val="en-US" w:eastAsia="zh-CN"/>
        </w:rPr>
      </w:pPr>
      <w:r>
        <w:rPr>
          <w:rFonts w:hint="default"/>
          <w:lang w:val="en-US" w:eastAsia="zh-CN"/>
        </w:rPr>
        <w:br w:type="page"/>
      </w:r>
    </w:p>
    <w:p w14:paraId="3866381A">
      <w:pPr>
        <w:widowControl w:val="0"/>
        <w:numPr>
          <w:ilvl w:val="0"/>
          <w:numId w:val="0"/>
        </w:numPr>
        <w:jc w:val="both"/>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 xml:space="preserve">Figure S2 </w:t>
      </w:r>
    </w:p>
    <w:p w14:paraId="01C1EC19">
      <w:pPr>
        <w:widowControl w:val="0"/>
        <w:numPr>
          <w:ilvl w:val="0"/>
          <w:numId w:val="0"/>
        </w:numPr>
        <w:jc w:val="both"/>
        <w:rPr>
          <w:rFonts w:hint="default"/>
          <w:lang w:val="en-US" w:eastAsia="zh-CN"/>
        </w:rPr>
      </w:pPr>
      <w:r>
        <w:rPr>
          <w:rFonts w:hint="default"/>
          <w:lang w:val="en-US" w:eastAsia="zh-CN"/>
        </w:rPr>
        <w:drawing>
          <wp:inline distT="0" distB="0" distL="114300" distR="114300">
            <wp:extent cx="4505325" cy="8313420"/>
            <wp:effectExtent l="0" t="0" r="0" b="1905"/>
            <wp:docPr id="2" name="图片 2" descr="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S2"/>
                    <pic:cNvPicPr>
                      <a:picLocks noChangeAspect="1"/>
                    </pic:cNvPicPr>
                  </pic:nvPicPr>
                  <pic:blipFill>
                    <a:blip r:embed="rId5"/>
                    <a:stretch>
                      <a:fillRect/>
                    </a:stretch>
                  </pic:blipFill>
                  <pic:spPr>
                    <a:xfrm>
                      <a:off x="0" y="0"/>
                      <a:ext cx="4505325" cy="8313420"/>
                    </a:xfrm>
                    <a:prstGeom prst="rect">
                      <a:avLst/>
                    </a:prstGeom>
                  </pic:spPr>
                </pic:pic>
              </a:graphicData>
            </a:graphic>
          </wp:inline>
        </w:drawing>
      </w:r>
    </w:p>
    <w:p w14:paraId="5E97F6B0">
      <w:pPr>
        <w:keepNext w:val="0"/>
        <w:keepLines w:val="0"/>
        <w:pageBreakBefore w:val="0"/>
        <w:kinsoku/>
        <w:wordWrap/>
        <w:overflowPunct/>
        <w:topLinePunct w:val="0"/>
        <w:autoSpaceDE/>
        <w:autoSpaceDN/>
        <w:bidi w:val="0"/>
        <w:adjustRightInd/>
        <w:snapToGrid/>
        <w:spacing w:line="480" w:lineRule="auto"/>
        <w:textAlignment w:val="auto"/>
        <w:rPr>
          <w:rFonts w:ascii="Times New Roman" w:hAnsi="Times New Roman" w:cs="Times New Roman"/>
          <w:sz w:val="24"/>
          <w:szCs w:val="24"/>
        </w:rPr>
      </w:pPr>
      <w:r>
        <w:rPr>
          <w:rFonts w:ascii="Times New Roman" w:hAnsi="Times New Roman" w:cs="Times New Roman"/>
          <w:b/>
          <w:bCs/>
          <w:sz w:val="24"/>
          <w:szCs w:val="24"/>
        </w:rPr>
        <w:t>Supplementary</w:t>
      </w:r>
      <w:r>
        <w:rPr>
          <w:rFonts w:hint="eastAsia" w:ascii="Times New Roman" w:hAnsi="Times New Roman" w:cs="Times New Roman"/>
          <w:b/>
          <w:bCs/>
          <w:sz w:val="24"/>
          <w:szCs w:val="24"/>
        </w:rPr>
        <w:t xml:space="preserve"> Figure</w:t>
      </w:r>
      <w:r>
        <w:rPr>
          <w:rFonts w:ascii="Times New Roman" w:hAnsi="Times New Roman" w:cs="Times New Roman"/>
          <w:sz w:val="24"/>
          <w:szCs w:val="24"/>
        </w:rPr>
        <w:t xml:space="preserve"> </w:t>
      </w:r>
      <w:r>
        <w:rPr>
          <w:rFonts w:ascii="Times New Roman" w:hAnsi="Times New Roman" w:cs="Times New Roman"/>
          <w:b/>
          <w:bCs/>
          <w:sz w:val="24"/>
          <w:szCs w:val="24"/>
        </w:rPr>
        <w:t>2</w:t>
      </w:r>
      <w:r>
        <w:rPr>
          <w:rFonts w:hint="eastAsia" w:ascii="Times New Roman" w:hAnsi="Times New Roman" w:cs="Times New Roman"/>
          <w:b/>
          <w:bCs/>
          <w:sz w:val="24"/>
          <w:szCs w:val="24"/>
        </w:rPr>
        <w:t>.</w:t>
      </w:r>
      <w:r>
        <w:rPr>
          <w:rFonts w:ascii="Times New Roman" w:hAnsi="Times New Roman" w:cs="Times New Roman"/>
          <w:b/>
          <w:bCs/>
          <w:sz w:val="24"/>
          <w:szCs w:val="24"/>
        </w:rPr>
        <w:t xml:space="preserve"> Efficiency of FN1 genetic manipulation in macrophages and related analyses</w:t>
      </w:r>
    </w:p>
    <w:p w14:paraId="337B7A5F">
      <w:pPr>
        <w:keepNext w:val="0"/>
        <w:keepLines w:val="0"/>
        <w:pageBreakBefore w:val="0"/>
        <w:kinsoku/>
        <w:wordWrap/>
        <w:overflowPunct/>
        <w:topLinePunct w:val="0"/>
        <w:autoSpaceDE/>
        <w:autoSpaceDN/>
        <w:bidi w:val="0"/>
        <w:adjustRightInd/>
        <w:snapToGrid/>
        <w:spacing w:line="480" w:lineRule="auto"/>
        <w:textAlignment w:val="auto"/>
        <w:rPr>
          <w:rFonts w:ascii="Times New Roman" w:hAnsi="Times New Roman" w:cs="Times New Roman"/>
          <w:sz w:val="24"/>
          <w:szCs w:val="24"/>
        </w:rPr>
      </w:pPr>
      <w:r>
        <w:rPr>
          <w:rFonts w:ascii="Times New Roman" w:hAnsi="Times New Roman" w:cs="Times New Roman"/>
          <w:sz w:val="24"/>
          <w:szCs w:val="24"/>
        </w:rPr>
        <w:t>(A) Knockdown efficiency of FN1 in BMDMs assessed by RT-qPCR and Western blot.(B) Overexpression efficiency of FN1 in BMDMs assessed by RT-qPCR and Western blot.(C) Overexpression efficiency of FN1 and expression levels of immunostimulatory genes in J774A.1 cells, as determined by RT-qPCR.(D) Correlation analysis between FN1 expression and CD8⁺ T cells along with their immunosuppressive receptors, based on the TIMER2 database.</w:t>
      </w:r>
      <w:r>
        <w:rPr>
          <w:rFonts w:hint="eastAsia" w:ascii="Times New Roman" w:hAnsi="Times New Roman" w:cs="Times New Roman"/>
          <w:sz w:val="24"/>
          <w:szCs w:val="24"/>
        </w:rPr>
        <w:t xml:space="preserve"> </w:t>
      </w:r>
      <w:r>
        <w:rPr>
          <w:rFonts w:ascii="Times New Roman" w:hAnsi="Times New Roman" w:cs="Times New Roman"/>
          <w:sz w:val="24"/>
          <w:szCs w:val="24"/>
        </w:rPr>
        <w:t>Data in (</w:t>
      </w:r>
      <w:r>
        <w:rPr>
          <w:rFonts w:hint="eastAsia" w:ascii="Times New Roman" w:hAnsi="Times New Roman" w:cs="Times New Roman"/>
          <w:sz w:val="24"/>
          <w:szCs w:val="24"/>
        </w:rPr>
        <w:t>A</w:t>
      </w:r>
      <w:r>
        <w:rPr>
          <w:rFonts w:ascii="Times New Roman" w:hAnsi="Times New Roman" w:cs="Times New Roman"/>
          <w:sz w:val="24"/>
          <w:szCs w:val="24"/>
        </w:rPr>
        <w:t xml:space="preserve">) are shown as mean± SD (n = </w:t>
      </w:r>
      <w:r>
        <w:rPr>
          <w:rFonts w:hint="eastAsia" w:ascii="Times New Roman" w:hAnsi="Times New Roman" w:cs="Times New Roman"/>
          <w:sz w:val="24"/>
          <w:szCs w:val="24"/>
        </w:rPr>
        <w:t>3</w:t>
      </w:r>
      <w:r>
        <w:rPr>
          <w:rFonts w:ascii="Times New Roman" w:hAnsi="Times New Roman" w:cs="Times New Roman"/>
          <w:sz w:val="24"/>
          <w:szCs w:val="24"/>
        </w:rPr>
        <w:t>). ***</w:t>
      </w:r>
      <w:r>
        <w:rPr>
          <w:rFonts w:ascii="Times New Roman" w:hAnsi="Times New Roman" w:cs="Times New Roman"/>
          <w:i/>
          <w:iCs/>
          <w:sz w:val="24"/>
          <w:szCs w:val="24"/>
        </w:rPr>
        <w:t>P</w:t>
      </w:r>
      <w:r>
        <w:rPr>
          <w:rFonts w:ascii="Times New Roman" w:hAnsi="Times New Roman" w:cs="Times New Roman"/>
          <w:sz w:val="24"/>
          <w:szCs w:val="24"/>
        </w:rPr>
        <w:t xml:space="preserve"> &lt; 0.0</w:t>
      </w:r>
      <w:r>
        <w:rPr>
          <w:rFonts w:hint="eastAsia" w:ascii="Times New Roman" w:hAnsi="Times New Roman" w:cs="Times New Roman"/>
          <w:sz w:val="24"/>
          <w:szCs w:val="24"/>
        </w:rPr>
        <w:t>0</w:t>
      </w:r>
      <w:r>
        <w:rPr>
          <w:rFonts w:ascii="Times New Roman" w:hAnsi="Times New Roman" w:cs="Times New Roman"/>
          <w:sz w:val="24"/>
          <w:szCs w:val="24"/>
        </w:rPr>
        <w:t>1</w:t>
      </w:r>
      <w:r>
        <w:rPr>
          <w:rFonts w:hint="eastAsia" w:ascii="Times New Roman" w:hAnsi="Times New Roman" w:cs="Times New Roman"/>
          <w:sz w:val="24"/>
          <w:szCs w:val="24"/>
        </w:rPr>
        <w:t xml:space="preserve"> </w:t>
      </w:r>
      <w:r>
        <w:rPr>
          <w:rFonts w:ascii="Times New Roman" w:hAnsi="Times New Roman" w:cs="Times New Roman"/>
          <w:sz w:val="24"/>
          <w:szCs w:val="24"/>
        </w:rPr>
        <w:t>by</w:t>
      </w:r>
      <w:r>
        <w:rPr>
          <w:rFonts w:hint="eastAsia" w:ascii="Times New Roman" w:hAnsi="Times New Roman" w:cs="Times New Roman"/>
          <w:sz w:val="24"/>
          <w:szCs w:val="24"/>
        </w:rPr>
        <w:t xml:space="preserve"> One-Way ANOVA</w:t>
      </w:r>
      <w:r>
        <w:rPr>
          <w:rFonts w:ascii="Times New Roman" w:hAnsi="Times New Roman" w:cs="Times New Roman"/>
          <w:sz w:val="24"/>
          <w:szCs w:val="24"/>
        </w:rPr>
        <w:t>.</w:t>
      </w:r>
      <w:r>
        <w:rPr>
          <w:rFonts w:hint="eastAsia" w:ascii="Times New Roman" w:hAnsi="Times New Roman" w:cs="Times New Roman"/>
          <w:sz w:val="24"/>
          <w:szCs w:val="24"/>
        </w:rPr>
        <w:t xml:space="preserve"> </w:t>
      </w:r>
      <w:r>
        <w:rPr>
          <w:rFonts w:ascii="Times New Roman" w:hAnsi="Times New Roman" w:cs="Times New Roman"/>
          <w:sz w:val="24"/>
          <w:szCs w:val="24"/>
        </w:rPr>
        <w:t>Data in (</w:t>
      </w:r>
      <w:r>
        <w:rPr>
          <w:rFonts w:hint="eastAsia" w:ascii="Times New Roman" w:hAnsi="Times New Roman" w:cs="Times New Roman"/>
          <w:sz w:val="24"/>
          <w:szCs w:val="24"/>
        </w:rPr>
        <w:t>B</w:t>
      </w:r>
      <w:r>
        <w:rPr>
          <w:rFonts w:ascii="Times New Roman" w:hAnsi="Times New Roman" w:cs="Times New Roman"/>
          <w:sz w:val="24"/>
          <w:szCs w:val="24"/>
        </w:rPr>
        <w:t>)</w:t>
      </w:r>
      <w:r>
        <w:rPr>
          <w:rFonts w:hint="eastAsia" w:ascii="Times New Roman" w:hAnsi="Times New Roman" w:cs="Times New Roman"/>
          <w:sz w:val="24"/>
          <w:szCs w:val="24"/>
        </w:rPr>
        <w:t xml:space="preserve"> and (C)</w:t>
      </w:r>
      <w:r>
        <w:rPr>
          <w:rFonts w:ascii="Times New Roman" w:hAnsi="Times New Roman" w:cs="Times New Roman"/>
          <w:sz w:val="24"/>
          <w:szCs w:val="24"/>
        </w:rPr>
        <w:t xml:space="preserve"> are shown as mean ± SD</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(n = </w:t>
      </w:r>
      <w:r>
        <w:rPr>
          <w:rFonts w:hint="eastAsia" w:ascii="Times New Roman" w:hAnsi="Times New Roman" w:cs="Times New Roman"/>
          <w:sz w:val="24"/>
          <w:szCs w:val="24"/>
        </w:rPr>
        <w:t>3</w:t>
      </w:r>
      <w:r>
        <w:rPr>
          <w:rFonts w:ascii="Times New Roman" w:hAnsi="Times New Roman" w:cs="Times New Roman"/>
          <w:sz w:val="24"/>
          <w:szCs w:val="24"/>
        </w:rPr>
        <w:t>). ***</w:t>
      </w:r>
      <w:r>
        <w:rPr>
          <w:rFonts w:ascii="Times New Roman" w:hAnsi="Times New Roman" w:cs="Times New Roman"/>
          <w:i/>
          <w:iCs/>
          <w:sz w:val="24"/>
          <w:szCs w:val="24"/>
        </w:rPr>
        <w:t>P</w:t>
      </w:r>
      <w:r>
        <w:rPr>
          <w:rFonts w:ascii="Times New Roman" w:hAnsi="Times New Roman" w:cs="Times New Roman"/>
          <w:sz w:val="24"/>
          <w:szCs w:val="24"/>
        </w:rPr>
        <w:t xml:space="preserve"> &lt; 0.0</w:t>
      </w:r>
      <w:r>
        <w:rPr>
          <w:rFonts w:hint="eastAsia" w:ascii="Times New Roman" w:hAnsi="Times New Roman" w:cs="Times New Roman"/>
          <w:sz w:val="24"/>
          <w:szCs w:val="24"/>
        </w:rPr>
        <w:t>0</w:t>
      </w:r>
      <w:r>
        <w:rPr>
          <w:rFonts w:ascii="Times New Roman" w:hAnsi="Times New Roman" w:cs="Times New Roman"/>
          <w:sz w:val="24"/>
          <w:szCs w:val="24"/>
        </w:rPr>
        <w:t>1, **</w:t>
      </w:r>
      <w:r>
        <w:rPr>
          <w:rFonts w:ascii="Times New Roman" w:hAnsi="Times New Roman" w:cs="Times New Roman"/>
          <w:i/>
          <w:iCs/>
          <w:sz w:val="24"/>
          <w:szCs w:val="24"/>
        </w:rPr>
        <w:t>P</w:t>
      </w:r>
      <w:r>
        <w:rPr>
          <w:rFonts w:ascii="Times New Roman" w:hAnsi="Times New Roman" w:cs="Times New Roman"/>
          <w:sz w:val="24"/>
          <w:szCs w:val="24"/>
        </w:rPr>
        <w:t xml:space="preserve"> &lt; 0.0</w:t>
      </w:r>
      <w:r>
        <w:rPr>
          <w:rFonts w:hint="eastAsia" w:ascii="Times New Roman" w:hAnsi="Times New Roman" w:cs="Times New Roman"/>
          <w:sz w:val="24"/>
          <w:szCs w:val="24"/>
        </w:rPr>
        <w:t xml:space="preserve">1 </w:t>
      </w:r>
      <w:r>
        <w:rPr>
          <w:rFonts w:ascii="Times New Roman" w:hAnsi="Times New Roman" w:cs="Times New Roman"/>
          <w:sz w:val="24"/>
          <w:szCs w:val="24"/>
        </w:rPr>
        <w:t xml:space="preserve">by </w:t>
      </w:r>
      <w:r>
        <w:rPr>
          <w:rFonts w:hint="eastAsia" w:ascii="Times New Roman" w:hAnsi="Times New Roman" w:cs="Times New Roman"/>
          <w:sz w:val="24"/>
          <w:szCs w:val="24"/>
          <w:lang w:val="en-US" w:eastAsia="zh-CN"/>
        </w:rPr>
        <w:t xml:space="preserve">two-sided </w:t>
      </w:r>
      <w:r>
        <w:rPr>
          <w:rFonts w:ascii="Times New Roman" w:hAnsi="Times New Roman" w:cs="Times New Roman"/>
          <w:sz w:val="24"/>
          <w:szCs w:val="24"/>
        </w:rPr>
        <w:t xml:space="preserve">Student’s t test. </w:t>
      </w:r>
    </w:p>
    <w:p w14:paraId="43405D1B">
      <w:pPr>
        <w:rPr>
          <w:rFonts w:hint="default"/>
          <w:lang w:val="en-US" w:eastAsia="zh-CN"/>
        </w:rPr>
      </w:pPr>
      <w:r>
        <w:rPr>
          <w:rFonts w:hint="default"/>
          <w:lang w:val="en-US" w:eastAsia="zh-CN"/>
        </w:rPr>
        <w:br w:type="page"/>
      </w:r>
    </w:p>
    <w:p w14:paraId="240BB4C8">
      <w:pPr>
        <w:widowControl w:val="0"/>
        <w:numPr>
          <w:ilvl w:val="0"/>
          <w:numId w:val="0"/>
        </w:numPr>
        <w:jc w:val="both"/>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 xml:space="preserve">Figure S3  </w:t>
      </w:r>
      <w:bookmarkStart w:id="0" w:name="_GoBack"/>
      <w:bookmarkEnd w:id="0"/>
    </w:p>
    <w:p w14:paraId="2234E39B">
      <w:pPr>
        <w:widowControl w:val="0"/>
        <w:numPr>
          <w:ilvl w:val="0"/>
          <w:numId w:val="0"/>
        </w:numPr>
        <w:jc w:val="both"/>
        <w:rPr>
          <w:rFonts w:hint="default"/>
          <w:lang w:val="en-US" w:eastAsia="zh-CN"/>
        </w:rPr>
      </w:pPr>
      <w:r>
        <w:rPr>
          <w:rFonts w:hint="default"/>
          <w:lang w:val="en-US" w:eastAsia="zh-CN"/>
        </w:rPr>
        <w:drawing>
          <wp:inline distT="0" distB="0" distL="114300" distR="114300">
            <wp:extent cx="5263515" cy="4110355"/>
            <wp:effectExtent l="0" t="0" r="0" b="0"/>
            <wp:docPr id="3" name="图片 3" descr="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S3"/>
                    <pic:cNvPicPr>
                      <a:picLocks noChangeAspect="1"/>
                    </pic:cNvPicPr>
                  </pic:nvPicPr>
                  <pic:blipFill>
                    <a:blip r:embed="rId6"/>
                    <a:stretch>
                      <a:fillRect/>
                    </a:stretch>
                  </pic:blipFill>
                  <pic:spPr>
                    <a:xfrm>
                      <a:off x="0" y="0"/>
                      <a:ext cx="5263515" cy="4110355"/>
                    </a:xfrm>
                    <a:prstGeom prst="rect">
                      <a:avLst/>
                    </a:prstGeom>
                  </pic:spPr>
                </pic:pic>
              </a:graphicData>
            </a:graphic>
          </wp:inline>
        </w:drawing>
      </w:r>
    </w:p>
    <w:p w14:paraId="0B815C26">
      <w:pPr>
        <w:widowControl w:val="0"/>
        <w:numPr>
          <w:ilvl w:val="0"/>
          <w:numId w:val="0"/>
        </w:numPr>
        <w:jc w:val="both"/>
        <w:rPr>
          <w:rFonts w:hint="default"/>
          <w:lang w:val="en-US" w:eastAsia="zh-CN"/>
        </w:rPr>
      </w:pPr>
    </w:p>
    <w:p w14:paraId="12B5BC74">
      <w:pPr>
        <w:keepNext w:val="0"/>
        <w:keepLines w:val="0"/>
        <w:pageBreakBefore w:val="0"/>
        <w:kinsoku/>
        <w:wordWrap/>
        <w:overflowPunct/>
        <w:topLinePunct w:val="0"/>
        <w:autoSpaceDE/>
        <w:autoSpaceDN/>
        <w:bidi w:val="0"/>
        <w:adjustRightInd/>
        <w:snapToGrid/>
        <w:spacing w:line="480" w:lineRule="auto"/>
        <w:textAlignment w:val="auto"/>
        <w:rPr>
          <w:rFonts w:ascii="Times New Roman" w:hAnsi="Times New Roman" w:cs="Times New Roman"/>
          <w:sz w:val="24"/>
          <w:szCs w:val="24"/>
        </w:rPr>
      </w:pPr>
    </w:p>
    <w:p w14:paraId="1B384748">
      <w:pPr>
        <w:keepNext w:val="0"/>
        <w:keepLines w:val="0"/>
        <w:pageBreakBefore w:val="0"/>
        <w:kinsoku/>
        <w:wordWrap/>
        <w:overflowPunct/>
        <w:topLinePunct w:val="0"/>
        <w:autoSpaceDE/>
        <w:autoSpaceDN/>
        <w:bidi w:val="0"/>
        <w:adjustRightInd/>
        <w:snapToGrid/>
        <w:spacing w:line="480" w:lineRule="auto"/>
        <w:textAlignment w:val="auto"/>
        <w:rPr>
          <w:rFonts w:ascii="Times New Roman" w:hAnsi="Times New Roman" w:cs="Times New Roman"/>
          <w:sz w:val="24"/>
          <w:szCs w:val="24"/>
        </w:rPr>
      </w:pPr>
    </w:p>
    <w:p w14:paraId="72940E21">
      <w:pPr>
        <w:keepNext w:val="0"/>
        <w:keepLines w:val="0"/>
        <w:pageBreakBefore w:val="0"/>
        <w:kinsoku/>
        <w:wordWrap/>
        <w:overflowPunct/>
        <w:topLinePunct w:val="0"/>
        <w:autoSpaceDE/>
        <w:autoSpaceDN/>
        <w:bidi w:val="0"/>
        <w:adjustRightInd/>
        <w:snapToGrid/>
        <w:spacing w:line="480" w:lineRule="auto"/>
        <w:textAlignment w:val="auto"/>
        <w:rPr>
          <w:rFonts w:ascii="Times New Roman" w:hAnsi="Times New Roman" w:cs="Times New Roman"/>
          <w:sz w:val="24"/>
          <w:szCs w:val="24"/>
        </w:rPr>
      </w:pPr>
      <w:r>
        <w:rPr>
          <w:rFonts w:ascii="Times New Roman" w:hAnsi="Times New Roman" w:cs="Times New Roman"/>
          <w:b/>
          <w:bCs/>
          <w:sz w:val="24"/>
          <w:szCs w:val="24"/>
        </w:rPr>
        <w:t>Supplementary</w:t>
      </w:r>
      <w:r>
        <w:rPr>
          <w:rFonts w:hint="eastAsia" w:ascii="Times New Roman" w:hAnsi="Times New Roman" w:cs="Times New Roman"/>
          <w:b/>
          <w:bCs/>
          <w:sz w:val="24"/>
          <w:szCs w:val="24"/>
        </w:rPr>
        <w:t xml:space="preserve"> Figure</w:t>
      </w:r>
      <w:r>
        <w:rPr>
          <w:rFonts w:hint="eastAsia" w:ascii="Times New Roman" w:hAnsi="Times New Roman" w:cs="Times New Roman"/>
          <w:sz w:val="24"/>
          <w:szCs w:val="24"/>
        </w:rPr>
        <w:t xml:space="preserve"> </w:t>
      </w:r>
      <w:r>
        <w:rPr>
          <w:rFonts w:hint="eastAsia" w:ascii="Times New Roman" w:hAnsi="Times New Roman" w:cs="Times New Roman"/>
          <w:b/>
          <w:bCs/>
          <w:sz w:val="24"/>
          <w:szCs w:val="24"/>
        </w:rPr>
        <w:t>3. Analysis of Gene Correlation with FN1 and Expression in the RIAE Model</w:t>
      </w:r>
    </w:p>
    <w:p w14:paraId="4BDB90BA">
      <w:pPr>
        <w:keepNext w:val="0"/>
        <w:keepLines w:val="0"/>
        <w:pageBreakBefore w:val="0"/>
        <w:kinsoku/>
        <w:wordWrap/>
        <w:overflowPunct/>
        <w:topLinePunct w:val="0"/>
        <w:autoSpaceDE/>
        <w:autoSpaceDN/>
        <w:bidi w:val="0"/>
        <w:adjustRightInd/>
        <w:snapToGrid/>
        <w:spacing w:line="480" w:lineRule="auto"/>
        <w:textAlignment w:val="auto"/>
        <w:rPr>
          <w:rFonts w:ascii="Times New Roman" w:hAnsi="Times New Roman" w:cs="Times New Roman"/>
          <w:sz w:val="24"/>
          <w:szCs w:val="24"/>
        </w:rPr>
      </w:pPr>
      <w:r>
        <w:rPr>
          <w:rFonts w:hint="eastAsia" w:ascii="Times New Roman" w:hAnsi="Times New Roman" w:cs="Times New Roman"/>
          <w:sz w:val="24"/>
          <w:szCs w:val="24"/>
        </w:rPr>
        <w:t xml:space="preserve">（A）Analyze the correlation between FN1 and AR, CREB1, ESR1, EGR1, GATA2, and PRDM1 by GEPIA2.（B）AR、CREB1、ESR1、EGR1、GATA2 and PRDM1 mRNA expression levels in the in vitro RIAE model. </w:t>
      </w:r>
      <w:r>
        <w:rPr>
          <w:rFonts w:ascii="Times New Roman" w:hAnsi="Times New Roman" w:cs="Times New Roman"/>
          <w:sz w:val="24"/>
          <w:szCs w:val="24"/>
        </w:rPr>
        <w:t>Data in (</w:t>
      </w:r>
      <w:r>
        <w:rPr>
          <w:rFonts w:hint="eastAsia" w:ascii="Times New Roman" w:hAnsi="Times New Roman" w:cs="Times New Roman"/>
          <w:sz w:val="24"/>
          <w:szCs w:val="24"/>
        </w:rPr>
        <w:t>B</w:t>
      </w:r>
      <w:r>
        <w:rPr>
          <w:rFonts w:ascii="Times New Roman" w:hAnsi="Times New Roman" w:cs="Times New Roman"/>
          <w:sz w:val="24"/>
          <w:szCs w:val="24"/>
        </w:rPr>
        <w:t xml:space="preserve">) are shown as mean± SD (n = </w:t>
      </w:r>
      <w:r>
        <w:rPr>
          <w:rFonts w:hint="eastAsia" w:ascii="Times New Roman" w:hAnsi="Times New Roman" w:cs="Times New Roman"/>
          <w:sz w:val="24"/>
          <w:szCs w:val="24"/>
        </w:rPr>
        <w:t>3</w:t>
      </w:r>
      <w:r>
        <w:rPr>
          <w:rFonts w:ascii="Times New Roman" w:hAnsi="Times New Roman" w:cs="Times New Roman"/>
          <w:sz w:val="24"/>
          <w:szCs w:val="24"/>
        </w:rPr>
        <w:t>). *P &lt; 0.0</w:t>
      </w:r>
      <w:r>
        <w:rPr>
          <w:rFonts w:hint="eastAsia" w:ascii="Times New Roman" w:hAnsi="Times New Roman" w:cs="Times New Roman"/>
          <w:sz w:val="24"/>
          <w:szCs w:val="24"/>
        </w:rPr>
        <w:t>5</w:t>
      </w:r>
      <w:r>
        <w:rPr>
          <w:rFonts w:ascii="Times New Roman" w:hAnsi="Times New Roman" w:cs="Times New Roman"/>
          <w:sz w:val="24"/>
          <w:szCs w:val="24"/>
        </w:rPr>
        <w:t xml:space="preserve"> by</w:t>
      </w:r>
      <w:r>
        <w:rPr>
          <w:rFonts w:hint="eastAsia" w:ascii="Times New Roman" w:hAnsi="Times New Roman" w:cs="Times New Roman"/>
          <w:sz w:val="24"/>
          <w:szCs w:val="24"/>
        </w:rPr>
        <w:t xml:space="preserve"> </w:t>
      </w:r>
      <w:r>
        <w:rPr>
          <w:rFonts w:ascii="Times New Roman" w:hAnsi="Times New Roman" w:cs="Times New Roman"/>
          <w:sz w:val="24"/>
          <w:szCs w:val="24"/>
        </w:rPr>
        <w:t>Repeated Measures ANOVA.</w:t>
      </w:r>
      <w:r>
        <w:rPr>
          <w:rFonts w:hint="eastAsia" w:ascii="Times New Roman" w:hAnsi="Times New Roman" w:cs="Times New Roman"/>
          <w:sz w:val="24"/>
          <w:szCs w:val="24"/>
        </w:rPr>
        <w:t xml:space="preserve"> </w:t>
      </w:r>
    </w:p>
    <w:p w14:paraId="7BEC9B22">
      <w:pPr>
        <w:widowControl w:val="0"/>
        <w:numPr>
          <w:ilvl w:val="0"/>
          <w:numId w:val="0"/>
        </w:numPr>
        <w:jc w:val="both"/>
        <w:rPr>
          <w:rFonts w:hint="default"/>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CD2FC3"/>
    <w:rsid w:val="07C806C6"/>
    <w:rsid w:val="1A500C08"/>
    <w:rsid w:val="1D46476C"/>
    <w:rsid w:val="250C1FD0"/>
    <w:rsid w:val="265E1035"/>
    <w:rsid w:val="2B401B06"/>
    <w:rsid w:val="5330460D"/>
    <w:rsid w:val="5C593045"/>
    <w:rsid w:val="5CDD05ED"/>
    <w:rsid w:val="5F851BB2"/>
    <w:rsid w:val="619765CD"/>
    <w:rsid w:val="6AE0467F"/>
    <w:rsid w:val="71F27B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qFormat/>
    <w:uiPriority w:val="0"/>
    <w:rPr>
      <w:b/>
    </w:rPr>
  </w:style>
  <w:style w:type="character" w:styleId="7">
    <w:name w:val="HTML Code"/>
    <w:basedOn w:val="5"/>
    <w:qFormat/>
    <w:uiPriority w:val="0"/>
    <w:rPr>
      <w:rFonts w:ascii="Courier New" w:hAnsi="Courier New"/>
      <w:sz w:val="20"/>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207</Words>
  <Characters>1709</Characters>
  <Lines>0</Lines>
  <Paragraphs>0</Paragraphs>
  <TotalTime>2</TotalTime>
  <ScaleCrop>false</ScaleCrop>
  <LinksUpToDate>false</LinksUpToDate>
  <CharactersWithSpaces>1811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2025-09-21T04:25:00Z</dcterms:created>
  <dc:creator>11794</dc:creator>
  <cp:lastModifiedBy>Ta °</cp:lastModifiedBy>
  <dcterms:modified xsi:type="dcterms:W3CDTF">2025-11-21T03:22:33Z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eyJoZGlkIjoiZTNiMmJjMGUyMDNhMGI0MjllZTc4OTE3ODRjOTBjMWQiLCJ1c2VySWQiOiI0MzA4ODc3MDYifQ==</vt:lpwstr>
  </property>
  <property fmtid="{D5CDD505-2E9C-101B-9397-08002B2CF9AE}" pid="4" name="ICV">
    <vt:lpwstr>80F74F7F4EFF4A66A3FB0F0FEB237BC7_12</vt:lpwstr>
  </property>
</Properties>
</file>