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930" w:type="dxa"/>
        <w:tblInd w:w="-280" w:type="dxa"/>
        <w:tblLayout w:type="fixed"/>
        <w:tblLook w:val="04A0" w:firstRow="1" w:lastRow="0" w:firstColumn="1" w:lastColumn="0" w:noHBand="0" w:noVBand="1"/>
      </w:tblPr>
      <w:tblGrid>
        <w:gridCol w:w="360"/>
        <w:gridCol w:w="900"/>
        <w:gridCol w:w="900"/>
        <w:gridCol w:w="1170"/>
        <w:gridCol w:w="1440"/>
        <w:gridCol w:w="810"/>
        <w:gridCol w:w="810"/>
        <w:gridCol w:w="990"/>
        <w:gridCol w:w="1000"/>
        <w:gridCol w:w="1070"/>
        <w:gridCol w:w="1170"/>
        <w:gridCol w:w="1440"/>
        <w:gridCol w:w="3870"/>
      </w:tblGrid>
      <w:tr w:rsidR="00322918" w:rsidRPr="00DA6535" w14:paraId="444C89CE" w14:textId="77777777" w:rsidTr="0099168D">
        <w:trPr>
          <w:cantSplit/>
          <w:trHeight w:val="710"/>
        </w:trPr>
        <w:tc>
          <w:tcPr>
            <w:tcW w:w="360" w:type="dxa"/>
            <w:tcBorders>
              <w:bottom w:val="single" w:sz="4" w:space="0" w:color="auto"/>
              <w:right w:val="single" w:sz="4" w:space="0" w:color="auto"/>
            </w:tcBorders>
            <w:textDirection w:val="tbRl"/>
            <w:vAlign w:val="bottom"/>
            <w:hideMark/>
          </w:tcPr>
          <w:p w14:paraId="29A5ADA8" w14:textId="77777777" w:rsidR="00322918" w:rsidRPr="00F31867" w:rsidRDefault="00322918" w:rsidP="0099168D">
            <w:pPr>
              <w:spacing w:after="0" w:line="240" w:lineRule="auto"/>
              <w:ind w:left="113" w:right="113"/>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noProof/>
                <w:color w:val="000000"/>
                <w:kern w:val="0"/>
                <w:sz w:val="16"/>
                <w:szCs w:val="16"/>
              </w:rPr>
              <mc:AlternateContent>
                <mc:Choice Requires="wps">
                  <w:drawing>
                    <wp:anchor distT="0" distB="0" distL="114300" distR="114300" simplePos="0" relativeHeight="251659264" behindDoc="0" locked="0" layoutInCell="1" allowOverlap="1" wp14:anchorId="24999968" wp14:editId="339EE00E">
                      <wp:simplePos x="0" y="0"/>
                      <wp:positionH relativeFrom="column">
                        <wp:posOffset>-204470</wp:posOffset>
                      </wp:positionH>
                      <wp:positionV relativeFrom="paragraph">
                        <wp:posOffset>-381000</wp:posOffset>
                      </wp:positionV>
                      <wp:extent cx="5905500" cy="349250"/>
                      <wp:effectExtent l="0" t="0" r="0" b="0"/>
                      <wp:wrapNone/>
                      <wp:docPr id="1015662898" name="Text Box 40"/>
                      <wp:cNvGraphicFramePr/>
                      <a:graphic xmlns:a="http://schemas.openxmlformats.org/drawingml/2006/main">
                        <a:graphicData uri="http://schemas.microsoft.com/office/word/2010/wordprocessingShape">
                          <wps:wsp>
                            <wps:cNvSpPr txBox="1"/>
                            <wps:spPr>
                              <a:xfrm>
                                <a:off x="0" y="0"/>
                                <a:ext cx="5905500" cy="349250"/>
                              </a:xfrm>
                              <a:prstGeom prst="rect">
                                <a:avLst/>
                              </a:prstGeom>
                              <a:noFill/>
                              <a:ln w="6350">
                                <a:noFill/>
                              </a:ln>
                            </wps:spPr>
                            <wps:txbx>
                              <w:txbxContent>
                                <w:p w14:paraId="4735FF66" w14:textId="77777777" w:rsidR="00322918" w:rsidRPr="002855EC" w:rsidRDefault="00322918" w:rsidP="00322918">
                                  <w:pPr>
                                    <w:rPr>
                                      <w:rFonts w:asciiTheme="majorBidi" w:hAnsiTheme="majorBidi" w:cstheme="majorBidi"/>
                                      <w:sz w:val="20"/>
                                      <w:szCs w:val="20"/>
                                    </w:rPr>
                                  </w:pPr>
                                  <w:r w:rsidRPr="002855EC">
                                    <w:rPr>
                                      <w:rFonts w:asciiTheme="majorBidi" w:hAnsiTheme="majorBidi" w:cstheme="majorBidi"/>
                                      <w:b/>
                                      <w:bCs/>
                                      <w:sz w:val="20"/>
                                      <w:szCs w:val="20"/>
                                    </w:rPr>
                                    <w:t xml:space="preserve">Table 1. </w:t>
                                  </w:r>
                                  <w:r w:rsidRPr="002855EC">
                                    <w:rPr>
                                      <w:rFonts w:asciiTheme="majorBidi" w:hAnsiTheme="majorBidi" w:cstheme="majorBidi"/>
                                      <w:sz w:val="20"/>
                                      <w:szCs w:val="20"/>
                                    </w:rPr>
                                    <w:t>Characteristics of included studies assessing quality of life after treatment for Graves’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99968" id="_x0000_t202" coordsize="21600,21600" o:spt="202" path="m,l,21600r21600,l21600,xe">
                      <v:stroke joinstyle="miter"/>
                      <v:path gradientshapeok="t" o:connecttype="rect"/>
                    </v:shapetype>
                    <v:shape id="Text Box 40" o:spid="_x0000_s1026" type="#_x0000_t202" style="position:absolute;left:0;text-align:left;margin-left:-16.1pt;margin-top:-30pt;width:46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" filled="f" stroked="f" strokeweight=".5pt">
                      <v:textbox>
                        <w:txbxContent>
                          <w:p w14:paraId="4735FF66" w14:textId="77777777" w:rsidR="00322918" w:rsidRPr="002855EC" w:rsidRDefault="00322918" w:rsidP="00322918">
                            <w:pPr>
                              <w:rPr>
                                <w:rFonts w:asciiTheme="majorBidi" w:hAnsiTheme="majorBidi" w:cstheme="majorBidi"/>
                                <w:sz w:val="20"/>
                                <w:szCs w:val="20"/>
                              </w:rPr>
                            </w:pPr>
                            <w:r w:rsidRPr="002855EC">
                              <w:rPr>
                                <w:rFonts w:asciiTheme="majorBidi" w:hAnsiTheme="majorBidi" w:cstheme="majorBidi"/>
                                <w:b/>
                                <w:bCs/>
                                <w:sz w:val="20"/>
                                <w:szCs w:val="20"/>
                              </w:rPr>
                              <w:t xml:space="preserve">Table 1. </w:t>
                            </w:r>
                            <w:r w:rsidRPr="002855EC">
                              <w:rPr>
                                <w:rFonts w:asciiTheme="majorBidi" w:hAnsiTheme="majorBidi" w:cstheme="majorBidi"/>
                                <w:sz w:val="20"/>
                                <w:szCs w:val="20"/>
                              </w:rPr>
                              <w:t>Characteristics of included studies assessing quality of life after treatment for Graves’ disease</w:t>
                            </w:r>
                          </w:p>
                        </w:txbxContent>
                      </v:textbox>
                    </v:shape>
                  </w:pict>
                </mc:Fallback>
              </mc:AlternateContent>
            </w:r>
            <w:r w:rsidRPr="00F31867">
              <w:rPr>
                <w:rFonts w:ascii="Times New Roman" w:eastAsia="Times New Roman" w:hAnsi="Times New Roman" w:cs="Times New Roman"/>
                <w:color w:val="000000"/>
                <w:kern w:val="0"/>
                <w:sz w:val="16"/>
                <w:szCs w:val="16"/>
                <w14:ligatures w14:val="none"/>
              </w:rPr>
              <w:t> </w:t>
            </w:r>
          </w:p>
        </w:tc>
        <w:tc>
          <w:tcPr>
            <w:tcW w:w="900" w:type="dxa"/>
            <w:tcBorders>
              <w:top w:val="single" w:sz="4" w:space="0" w:color="auto"/>
              <w:left w:val="single" w:sz="4" w:space="0" w:color="auto"/>
              <w:bottom w:val="single" w:sz="4" w:space="0" w:color="auto"/>
            </w:tcBorders>
            <w:vAlign w:val="center"/>
            <w:hideMark/>
          </w:tcPr>
          <w:p w14:paraId="5403D993"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Author- Year</w:t>
            </w:r>
          </w:p>
        </w:tc>
        <w:tc>
          <w:tcPr>
            <w:tcW w:w="900" w:type="dxa"/>
            <w:tcBorders>
              <w:top w:val="single" w:sz="4" w:space="0" w:color="auto"/>
              <w:bottom w:val="single" w:sz="4" w:space="0" w:color="auto"/>
            </w:tcBorders>
            <w:vAlign w:val="center"/>
            <w:hideMark/>
          </w:tcPr>
          <w:p w14:paraId="32BECA8C"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Country</w:t>
            </w:r>
          </w:p>
        </w:tc>
        <w:tc>
          <w:tcPr>
            <w:tcW w:w="1170" w:type="dxa"/>
            <w:tcBorders>
              <w:top w:val="single" w:sz="4" w:space="0" w:color="auto"/>
              <w:bottom w:val="single" w:sz="4" w:space="0" w:color="auto"/>
            </w:tcBorders>
            <w:vAlign w:val="center"/>
            <w:hideMark/>
          </w:tcPr>
          <w:p w14:paraId="5C6D3726"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Study Design</w:t>
            </w:r>
          </w:p>
        </w:tc>
        <w:tc>
          <w:tcPr>
            <w:tcW w:w="1440" w:type="dxa"/>
            <w:tcBorders>
              <w:top w:val="single" w:sz="4" w:space="0" w:color="auto"/>
              <w:bottom w:val="single" w:sz="4" w:space="0" w:color="auto"/>
            </w:tcBorders>
            <w:vAlign w:val="center"/>
            <w:hideMark/>
          </w:tcPr>
          <w:p w14:paraId="64E981EC"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DA6535">
              <w:rPr>
                <w:rFonts w:ascii="Times New Roman" w:eastAsia="Times New Roman" w:hAnsi="Times New Roman" w:cs="Times New Roman"/>
                <w:b/>
                <w:bCs/>
                <w:color w:val="000000"/>
                <w:kern w:val="0"/>
                <w:sz w:val="16"/>
                <w:szCs w:val="16"/>
                <w14:ligatures w14:val="none"/>
              </w:rPr>
              <w:t>Population</w:t>
            </w:r>
          </w:p>
        </w:tc>
        <w:tc>
          <w:tcPr>
            <w:tcW w:w="810" w:type="dxa"/>
            <w:tcBorders>
              <w:top w:val="single" w:sz="4" w:space="0" w:color="auto"/>
              <w:bottom w:val="single" w:sz="4" w:space="0" w:color="auto"/>
            </w:tcBorders>
            <w:vAlign w:val="center"/>
            <w:hideMark/>
          </w:tcPr>
          <w:p w14:paraId="6D2A21C2"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Patient accrual interval</w:t>
            </w:r>
          </w:p>
        </w:tc>
        <w:tc>
          <w:tcPr>
            <w:tcW w:w="810" w:type="dxa"/>
            <w:tcBorders>
              <w:top w:val="single" w:sz="4" w:space="0" w:color="auto"/>
              <w:bottom w:val="single" w:sz="4" w:space="0" w:color="auto"/>
            </w:tcBorders>
            <w:vAlign w:val="center"/>
            <w:hideMark/>
          </w:tcPr>
          <w:p w14:paraId="045E0651"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Relapse</w:t>
            </w:r>
          </w:p>
        </w:tc>
        <w:tc>
          <w:tcPr>
            <w:tcW w:w="990" w:type="dxa"/>
            <w:tcBorders>
              <w:top w:val="single" w:sz="4" w:space="0" w:color="auto"/>
              <w:bottom w:val="single" w:sz="4" w:space="0" w:color="auto"/>
            </w:tcBorders>
            <w:vAlign w:val="center"/>
            <w:hideMark/>
          </w:tcPr>
          <w:p w14:paraId="26250833"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Sample size</w:t>
            </w:r>
          </w:p>
        </w:tc>
        <w:tc>
          <w:tcPr>
            <w:tcW w:w="1000" w:type="dxa"/>
            <w:tcBorders>
              <w:top w:val="single" w:sz="4" w:space="0" w:color="auto"/>
              <w:bottom w:val="single" w:sz="4" w:space="0" w:color="auto"/>
            </w:tcBorders>
            <w:vAlign w:val="center"/>
            <w:hideMark/>
          </w:tcPr>
          <w:p w14:paraId="75B85DE6"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 xml:space="preserve">Age </w:t>
            </w:r>
          </w:p>
        </w:tc>
        <w:tc>
          <w:tcPr>
            <w:tcW w:w="1070" w:type="dxa"/>
            <w:tcBorders>
              <w:top w:val="single" w:sz="4" w:space="0" w:color="auto"/>
              <w:bottom w:val="single" w:sz="4" w:space="0" w:color="auto"/>
            </w:tcBorders>
            <w:vAlign w:val="center"/>
            <w:hideMark/>
          </w:tcPr>
          <w:p w14:paraId="3CF7246F"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Questionnaire</w:t>
            </w:r>
          </w:p>
        </w:tc>
        <w:tc>
          <w:tcPr>
            <w:tcW w:w="1170" w:type="dxa"/>
            <w:tcBorders>
              <w:top w:val="single" w:sz="4" w:space="0" w:color="auto"/>
              <w:bottom w:val="single" w:sz="4" w:space="0" w:color="auto"/>
            </w:tcBorders>
            <w:vAlign w:val="center"/>
            <w:hideMark/>
          </w:tcPr>
          <w:p w14:paraId="703D951B"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Main treatment type</w:t>
            </w:r>
          </w:p>
        </w:tc>
        <w:tc>
          <w:tcPr>
            <w:tcW w:w="1440" w:type="dxa"/>
            <w:tcBorders>
              <w:top w:val="single" w:sz="4" w:space="0" w:color="auto"/>
              <w:bottom w:val="single" w:sz="4" w:space="0" w:color="auto"/>
            </w:tcBorders>
            <w:vAlign w:val="center"/>
            <w:hideMark/>
          </w:tcPr>
          <w:p w14:paraId="058E2466"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Follow-up period</w:t>
            </w:r>
          </w:p>
        </w:tc>
        <w:tc>
          <w:tcPr>
            <w:tcW w:w="3870" w:type="dxa"/>
            <w:tcBorders>
              <w:top w:val="single" w:sz="4" w:space="0" w:color="auto"/>
              <w:bottom w:val="single" w:sz="4" w:space="0" w:color="auto"/>
              <w:right w:val="single" w:sz="4" w:space="0" w:color="auto"/>
            </w:tcBorders>
            <w:vAlign w:val="center"/>
            <w:hideMark/>
          </w:tcPr>
          <w:p w14:paraId="39170CA3" w14:textId="77777777" w:rsidR="00322918" w:rsidRPr="00F31867" w:rsidRDefault="00322918" w:rsidP="0099168D">
            <w:pPr>
              <w:spacing w:after="0" w:line="240" w:lineRule="auto"/>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Main Findings</w:t>
            </w:r>
          </w:p>
        </w:tc>
      </w:tr>
      <w:tr w:rsidR="00322918" w:rsidRPr="00DA6535" w14:paraId="7340D5DA" w14:textId="77777777" w:rsidTr="0099168D">
        <w:trPr>
          <w:trHeight w:val="1610"/>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474F6D57" w14:textId="77777777" w:rsidR="00322918" w:rsidRPr="00F31867" w:rsidRDefault="00322918" w:rsidP="0099168D">
            <w:pPr>
              <w:spacing w:after="0" w:line="240" w:lineRule="auto"/>
              <w:ind w:left="113" w:right="113"/>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Antithyroid Drug</w:t>
            </w:r>
          </w:p>
        </w:tc>
        <w:tc>
          <w:tcPr>
            <w:tcW w:w="900" w:type="dxa"/>
            <w:tcBorders>
              <w:top w:val="single" w:sz="4" w:space="0" w:color="auto"/>
              <w:left w:val="single" w:sz="4" w:space="0" w:color="auto"/>
            </w:tcBorders>
            <w:vAlign w:val="center"/>
            <w:hideMark/>
          </w:tcPr>
          <w:p w14:paraId="4D2283B6"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Elberling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2004</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20</w:t>
            </w:r>
          </w:p>
        </w:tc>
        <w:tc>
          <w:tcPr>
            <w:tcW w:w="900" w:type="dxa"/>
            <w:tcBorders>
              <w:top w:val="single" w:sz="4" w:space="0" w:color="auto"/>
            </w:tcBorders>
            <w:vAlign w:val="center"/>
            <w:hideMark/>
          </w:tcPr>
          <w:p w14:paraId="4023C68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Denmark</w:t>
            </w:r>
          </w:p>
        </w:tc>
        <w:tc>
          <w:tcPr>
            <w:tcW w:w="1170" w:type="dxa"/>
            <w:tcBorders>
              <w:top w:val="single" w:sz="4" w:space="0" w:color="auto"/>
            </w:tcBorders>
            <w:vAlign w:val="center"/>
            <w:hideMark/>
          </w:tcPr>
          <w:p w14:paraId="37848BC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(prospective cohort)</w:t>
            </w:r>
          </w:p>
        </w:tc>
        <w:tc>
          <w:tcPr>
            <w:tcW w:w="1440" w:type="dxa"/>
            <w:tcBorders>
              <w:top w:val="single" w:sz="4" w:space="0" w:color="auto"/>
            </w:tcBorders>
            <w:vAlign w:val="center"/>
            <w:hideMark/>
          </w:tcPr>
          <w:p w14:paraId="72F31D7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Newly diagnosed, and untreated patients with Graves’ thyrotoxicosis (18–60 years old)</w:t>
            </w:r>
          </w:p>
        </w:tc>
        <w:tc>
          <w:tcPr>
            <w:tcW w:w="810" w:type="dxa"/>
            <w:tcBorders>
              <w:top w:val="single" w:sz="4" w:space="0" w:color="auto"/>
            </w:tcBorders>
            <w:vAlign w:val="center"/>
            <w:hideMark/>
          </w:tcPr>
          <w:p w14:paraId="73BF608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810" w:type="dxa"/>
            <w:tcBorders>
              <w:top w:val="single" w:sz="4" w:space="0" w:color="auto"/>
            </w:tcBorders>
            <w:vAlign w:val="center"/>
            <w:hideMark/>
          </w:tcPr>
          <w:p w14:paraId="0FE83C7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top w:val="single" w:sz="4" w:space="0" w:color="auto"/>
            </w:tcBorders>
            <w:vAlign w:val="center"/>
            <w:hideMark/>
          </w:tcPr>
          <w:p w14:paraId="5B649E6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30 (27 euthyroid phase; 29 at 1-year follow-up)</w:t>
            </w:r>
          </w:p>
        </w:tc>
        <w:tc>
          <w:tcPr>
            <w:tcW w:w="1000" w:type="dxa"/>
            <w:tcBorders>
              <w:top w:val="single" w:sz="4" w:space="0" w:color="auto"/>
            </w:tcBorders>
            <w:vAlign w:val="center"/>
            <w:hideMark/>
          </w:tcPr>
          <w:p w14:paraId="3E1EF62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35.8 ± 10.0</w:t>
            </w:r>
          </w:p>
        </w:tc>
        <w:tc>
          <w:tcPr>
            <w:tcW w:w="1070" w:type="dxa"/>
            <w:tcBorders>
              <w:top w:val="single" w:sz="4" w:space="0" w:color="auto"/>
            </w:tcBorders>
            <w:vAlign w:val="center"/>
            <w:hideMark/>
          </w:tcPr>
          <w:p w14:paraId="44D6B46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tcBorders>
              <w:top w:val="single" w:sz="4" w:space="0" w:color="auto"/>
            </w:tcBorders>
            <w:vAlign w:val="center"/>
            <w:hideMark/>
          </w:tcPr>
          <w:p w14:paraId="7BD392A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Methimazole</w:t>
            </w:r>
          </w:p>
        </w:tc>
        <w:tc>
          <w:tcPr>
            <w:tcW w:w="1440" w:type="dxa"/>
            <w:tcBorders>
              <w:top w:val="single" w:sz="4" w:space="0" w:color="auto"/>
            </w:tcBorders>
            <w:vAlign w:val="center"/>
            <w:hideMark/>
          </w:tcPr>
          <w:p w14:paraId="7EAE1C8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 year</w:t>
            </w:r>
          </w:p>
        </w:tc>
        <w:tc>
          <w:tcPr>
            <w:tcW w:w="3870" w:type="dxa"/>
            <w:tcBorders>
              <w:top w:val="single" w:sz="4" w:space="0" w:color="auto"/>
              <w:right w:val="single" w:sz="4" w:space="0" w:color="auto"/>
            </w:tcBorders>
            <w:vAlign w:val="center"/>
            <w:hideMark/>
          </w:tcPr>
          <w:p w14:paraId="788A7895"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At the euthyroid phase, most SF-36 subscales, except </w:t>
            </w:r>
            <w:r>
              <w:rPr>
                <w:rFonts w:ascii="Times New Roman" w:eastAsia="Times New Roman" w:hAnsi="Times New Roman" w:cs="Times New Roman"/>
                <w:color w:val="000000"/>
                <w:kern w:val="0"/>
                <w:sz w:val="16"/>
                <w:szCs w:val="16"/>
                <w14:ligatures w14:val="none"/>
              </w:rPr>
              <w:t>g</w:t>
            </w:r>
            <w:r w:rsidRPr="00F31867">
              <w:rPr>
                <w:rFonts w:ascii="Times New Roman" w:eastAsia="Times New Roman" w:hAnsi="Times New Roman" w:cs="Times New Roman"/>
                <w:color w:val="000000"/>
                <w:kern w:val="0"/>
                <w:sz w:val="16"/>
                <w:szCs w:val="16"/>
                <w14:ligatures w14:val="none"/>
              </w:rPr>
              <w:t xml:space="preserve">eneral health perception and </w:t>
            </w:r>
            <w:r>
              <w:rPr>
                <w:rFonts w:ascii="Times New Roman" w:eastAsia="Times New Roman" w:hAnsi="Times New Roman" w:cs="Times New Roman"/>
                <w:color w:val="000000"/>
                <w:kern w:val="0"/>
                <w:sz w:val="16"/>
                <w:szCs w:val="16"/>
                <w14:ligatures w14:val="none"/>
              </w:rPr>
              <w:t>s</w:t>
            </w:r>
            <w:r w:rsidRPr="00F31867">
              <w:rPr>
                <w:rFonts w:ascii="Times New Roman" w:eastAsia="Times New Roman" w:hAnsi="Times New Roman" w:cs="Times New Roman"/>
                <w:color w:val="000000"/>
                <w:kern w:val="0"/>
                <w:sz w:val="16"/>
                <w:szCs w:val="16"/>
                <w14:ligatures w14:val="none"/>
              </w:rPr>
              <w:t>ocial functioning, showed significant improvement compared to the toxic phase.</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 xml:space="preserve">At one-year follow-up, almost all SF-36 subscales, except </w:t>
            </w:r>
            <w:r>
              <w:rPr>
                <w:rFonts w:ascii="Times New Roman" w:eastAsia="Times New Roman" w:hAnsi="Times New Roman" w:cs="Times New Roman"/>
                <w:color w:val="000000"/>
                <w:kern w:val="0"/>
                <w:sz w:val="16"/>
                <w:szCs w:val="16"/>
                <w14:ligatures w14:val="none"/>
              </w:rPr>
              <w:t>b</w:t>
            </w:r>
            <w:r w:rsidRPr="00F31867">
              <w:rPr>
                <w:rFonts w:ascii="Times New Roman" w:eastAsia="Times New Roman" w:hAnsi="Times New Roman" w:cs="Times New Roman"/>
                <w:color w:val="000000"/>
                <w:kern w:val="0"/>
                <w:sz w:val="16"/>
                <w:szCs w:val="16"/>
                <w14:ligatures w14:val="none"/>
              </w:rPr>
              <w:t>odily pain, improved significantly compared to the toxic phase.</w:t>
            </w:r>
          </w:p>
        </w:tc>
      </w:tr>
      <w:tr w:rsidR="00322918" w:rsidRPr="00DA6535" w14:paraId="27E45DBF" w14:textId="77777777" w:rsidTr="0099168D">
        <w:trPr>
          <w:trHeight w:val="710"/>
        </w:trPr>
        <w:tc>
          <w:tcPr>
            <w:tcW w:w="360" w:type="dxa"/>
            <w:vMerge/>
            <w:tcBorders>
              <w:top w:val="single" w:sz="4" w:space="0" w:color="auto"/>
              <w:left w:val="single" w:sz="4" w:space="0" w:color="auto"/>
              <w:bottom w:val="single" w:sz="4" w:space="0" w:color="auto"/>
              <w:right w:val="single" w:sz="4" w:space="0" w:color="auto"/>
            </w:tcBorders>
            <w:textDirection w:val="tbRl"/>
            <w:vAlign w:val="center"/>
            <w:hideMark/>
          </w:tcPr>
          <w:p w14:paraId="1958F16D"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tcBorders>
            <w:shd w:val="clear" w:color="auto" w:fill="E8E8E8" w:themeFill="background2"/>
            <w:vAlign w:val="center"/>
            <w:hideMark/>
          </w:tcPr>
          <w:p w14:paraId="0432A55D"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Tagami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2012</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21</w:t>
            </w:r>
          </w:p>
        </w:tc>
        <w:tc>
          <w:tcPr>
            <w:tcW w:w="900" w:type="dxa"/>
            <w:shd w:val="clear" w:color="auto" w:fill="E8E8E8" w:themeFill="background2"/>
            <w:vAlign w:val="center"/>
            <w:hideMark/>
          </w:tcPr>
          <w:p w14:paraId="25FE8E3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Japan</w:t>
            </w:r>
          </w:p>
        </w:tc>
        <w:tc>
          <w:tcPr>
            <w:tcW w:w="1170" w:type="dxa"/>
            <w:shd w:val="clear" w:color="auto" w:fill="E8E8E8" w:themeFill="background2"/>
            <w:vAlign w:val="center"/>
            <w:hideMark/>
          </w:tcPr>
          <w:p w14:paraId="31A1CA7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Experimental (randomized controlled trial)</w:t>
            </w:r>
          </w:p>
        </w:tc>
        <w:tc>
          <w:tcPr>
            <w:tcW w:w="1440" w:type="dxa"/>
            <w:shd w:val="clear" w:color="auto" w:fill="E8E8E8" w:themeFill="background2"/>
            <w:vAlign w:val="center"/>
            <w:hideMark/>
          </w:tcPr>
          <w:p w14:paraId="26E1EB5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Newly diagnosed patients with</w:t>
            </w:r>
            <w:r w:rsidRPr="00F31867">
              <w:rPr>
                <w:rFonts w:ascii="Times New Roman" w:eastAsia="Times New Roman" w:hAnsi="Times New Roman" w:cs="Times New Roman"/>
                <w:color w:val="000000"/>
                <w:kern w:val="0"/>
                <w:sz w:val="16"/>
                <w:szCs w:val="16"/>
                <w14:ligatures w14:val="none"/>
              </w:rPr>
              <w:br/>
              <w:t>mild Graves’ disease (20-60 years old)</w:t>
            </w:r>
          </w:p>
        </w:tc>
        <w:tc>
          <w:tcPr>
            <w:tcW w:w="810" w:type="dxa"/>
            <w:shd w:val="clear" w:color="auto" w:fill="E8E8E8" w:themeFill="background2"/>
            <w:vAlign w:val="center"/>
            <w:hideMark/>
          </w:tcPr>
          <w:p w14:paraId="440E187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2006 - 2010</w:t>
            </w:r>
          </w:p>
        </w:tc>
        <w:tc>
          <w:tcPr>
            <w:tcW w:w="810" w:type="dxa"/>
            <w:shd w:val="clear" w:color="auto" w:fill="E8E8E8" w:themeFill="background2"/>
            <w:vAlign w:val="center"/>
            <w:hideMark/>
          </w:tcPr>
          <w:p w14:paraId="6BCE298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shd w:val="clear" w:color="auto" w:fill="E8E8E8" w:themeFill="background2"/>
            <w:vAlign w:val="center"/>
            <w:hideMark/>
          </w:tcPr>
          <w:p w14:paraId="5F1B3F9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14</w:t>
            </w:r>
          </w:p>
        </w:tc>
        <w:tc>
          <w:tcPr>
            <w:tcW w:w="1000" w:type="dxa"/>
            <w:shd w:val="clear" w:color="auto" w:fill="E8E8E8" w:themeFill="background2"/>
            <w:vAlign w:val="center"/>
            <w:hideMark/>
          </w:tcPr>
          <w:p w14:paraId="3364265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38.7 ± 13.1</w:t>
            </w:r>
          </w:p>
        </w:tc>
        <w:tc>
          <w:tcPr>
            <w:tcW w:w="1070" w:type="dxa"/>
            <w:shd w:val="clear" w:color="auto" w:fill="E8E8E8" w:themeFill="background2"/>
            <w:vAlign w:val="center"/>
            <w:hideMark/>
          </w:tcPr>
          <w:p w14:paraId="24202D01"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shd w:val="clear" w:color="auto" w:fill="E8E8E8" w:themeFill="background2"/>
            <w:vAlign w:val="center"/>
            <w:hideMark/>
          </w:tcPr>
          <w:p w14:paraId="016B3ED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Methimazole</w:t>
            </w:r>
          </w:p>
        </w:tc>
        <w:tc>
          <w:tcPr>
            <w:tcW w:w="1440" w:type="dxa"/>
            <w:shd w:val="clear" w:color="auto" w:fill="E8E8E8" w:themeFill="background2"/>
            <w:vAlign w:val="center"/>
            <w:hideMark/>
          </w:tcPr>
          <w:p w14:paraId="0A561F1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 month</w:t>
            </w:r>
          </w:p>
        </w:tc>
        <w:tc>
          <w:tcPr>
            <w:tcW w:w="3870" w:type="dxa"/>
            <w:tcBorders>
              <w:right w:val="single" w:sz="4" w:space="0" w:color="auto"/>
            </w:tcBorders>
            <w:shd w:val="clear" w:color="auto" w:fill="E8E8E8" w:themeFill="background2"/>
            <w:vAlign w:val="center"/>
            <w:hideMark/>
          </w:tcPr>
          <w:p w14:paraId="24F36131"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 statistically significant difference was observed after the treatment.</w:t>
            </w:r>
          </w:p>
        </w:tc>
      </w:tr>
      <w:tr w:rsidR="00322918" w:rsidRPr="00DA6535" w14:paraId="3EB027A9" w14:textId="77777777" w:rsidTr="0099168D">
        <w:trPr>
          <w:trHeight w:val="1763"/>
        </w:trPr>
        <w:tc>
          <w:tcPr>
            <w:tcW w:w="360" w:type="dxa"/>
            <w:vMerge/>
            <w:tcBorders>
              <w:top w:val="single" w:sz="4" w:space="0" w:color="auto"/>
              <w:left w:val="single" w:sz="4" w:space="0" w:color="auto"/>
              <w:bottom w:val="single" w:sz="4" w:space="0" w:color="auto"/>
              <w:right w:val="single" w:sz="4" w:space="0" w:color="auto"/>
            </w:tcBorders>
            <w:textDirection w:val="tbRl"/>
            <w:vAlign w:val="center"/>
            <w:hideMark/>
          </w:tcPr>
          <w:p w14:paraId="7EED2869"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6B34394B"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Liew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2021</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28</w:t>
            </w:r>
          </w:p>
        </w:tc>
        <w:tc>
          <w:tcPr>
            <w:tcW w:w="900" w:type="dxa"/>
            <w:tcBorders>
              <w:bottom w:val="single" w:sz="4" w:space="0" w:color="auto"/>
            </w:tcBorders>
            <w:vAlign w:val="center"/>
            <w:hideMark/>
          </w:tcPr>
          <w:p w14:paraId="4D86DF1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Singapore</w:t>
            </w:r>
          </w:p>
        </w:tc>
        <w:tc>
          <w:tcPr>
            <w:tcW w:w="1170" w:type="dxa"/>
            <w:tcBorders>
              <w:bottom w:val="single" w:sz="4" w:space="0" w:color="auto"/>
            </w:tcBorders>
            <w:vAlign w:val="center"/>
            <w:hideMark/>
          </w:tcPr>
          <w:p w14:paraId="4A2A58E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(prospective cohort)</w:t>
            </w:r>
          </w:p>
        </w:tc>
        <w:tc>
          <w:tcPr>
            <w:tcW w:w="1440" w:type="dxa"/>
            <w:tcBorders>
              <w:bottom w:val="single" w:sz="4" w:space="0" w:color="auto"/>
            </w:tcBorders>
            <w:vAlign w:val="center"/>
            <w:hideMark/>
          </w:tcPr>
          <w:p w14:paraId="55A0F83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with Graves’ disease from a tertiary</w:t>
            </w:r>
            <w:r w:rsidRPr="00F31867">
              <w:rPr>
                <w:rFonts w:ascii="Times New Roman" w:eastAsia="Times New Roman" w:hAnsi="Times New Roman" w:cs="Times New Roman"/>
                <w:color w:val="000000"/>
                <w:kern w:val="0"/>
                <w:sz w:val="16"/>
                <w:szCs w:val="16"/>
                <w14:ligatures w14:val="none"/>
              </w:rPr>
              <w:br/>
              <w:t xml:space="preserve">endocrine </w:t>
            </w:r>
            <w:proofErr w:type="spellStart"/>
            <w:r w:rsidRPr="00F31867">
              <w:rPr>
                <w:rFonts w:ascii="Times New Roman" w:eastAsia="Times New Roman" w:hAnsi="Times New Roman" w:cs="Times New Roman"/>
                <w:color w:val="000000"/>
                <w:kern w:val="0"/>
                <w:sz w:val="16"/>
                <w:szCs w:val="16"/>
                <w14:ligatures w14:val="none"/>
              </w:rPr>
              <w:t>centre</w:t>
            </w:r>
            <w:proofErr w:type="spellEnd"/>
            <w:r w:rsidRPr="00F31867">
              <w:rPr>
                <w:rFonts w:ascii="Times New Roman" w:eastAsia="Times New Roman" w:hAnsi="Times New Roman" w:cs="Times New Roman"/>
                <w:color w:val="000000"/>
                <w:kern w:val="0"/>
                <w:sz w:val="16"/>
                <w:szCs w:val="16"/>
                <w14:ligatures w14:val="none"/>
              </w:rPr>
              <w:t xml:space="preserve"> in Singapore (21-80 years old)</w:t>
            </w:r>
          </w:p>
        </w:tc>
        <w:tc>
          <w:tcPr>
            <w:tcW w:w="810" w:type="dxa"/>
            <w:tcBorders>
              <w:bottom w:val="single" w:sz="4" w:space="0" w:color="auto"/>
            </w:tcBorders>
            <w:vAlign w:val="center"/>
            <w:hideMark/>
          </w:tcPr>
          <w:p w14:paraId="1B60656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March 2014 - February 2015</w:t>
            </w:r>
          </w:p>
        </w:tc>
        <w:tc>
          <w:tcPr>
            <w:tcW w:w="810" w:type="dxa"/>
            <w:tcBorders>
              <w:bottom w:val="single" w:sz="4" w:space="0" w:color="auto"/>
            </w:tcBorders>
            <w:vAlign w:val="center"/>
            <w:hideMark/>
          </w:tcPr>
          <w:p w14:paraId="5C1FC69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bottom w:val="single" w:sz="4" w:space="0" w:color="auto"/>
            </w:tcBorders>
            <w:vAlign w:val="center"/>
            <w:hideMark/>
          </w:tcPr>
          <w:p w14:paraId="4A1246F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47 (baseline); 42 (4-month follow-up)</w:t>
            </w:r>
          </w:p>
        </w:tc>
        <w:tc>
          <w:tcPr>
            <w:tcW w:w="1000" w:type="dxa"/>
            <w:tcBorders>
              <w:bottom w:val="single" w:sz="4" w:space="0" w:color="auto"/>
            </w:tcBorders>
            <w:vAlign w:val="center"/>
            <w:hideMark/>
          </w:tcPr>
          <w:p w14:paraId="3A39C08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38.5 ± 14.1</w:t>
            </w:r>
          </w:p>
        </w:tc>
        <w:tc>
          <w:tcPr>
            <w:tcW w:w="1070" w:type="dxa"/>
            <w:tcBorders>
              <w:bottom w:val="single" w:sz="4" w:space="0" w:color="auto"/>
            </w:tcBorders>
            <w:vAlign w:val="center"/>
            <w:hideMark/>
          </w:tcPr>
          <w:p w14:paraId="549C07D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tcBorders>
              <w:bottom w:val="single" w:sz="4" w:space="0" w:color="auto"/>
            </w:tcBorders>
            <w:vAlign w:val="center"/>
            <w:hideMark/>
          </w:tcPr>
          <w:p w14:paraId="00E55BD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Propylthiouracil and carbimazole</w:t>
            </w:r>
          </w:p>
        </w:tc>
        <w:tc>
          <w:tcPr>
            <w:tcW w:w="1440" w:type="dxa"/>
            <w:tcBorders>
              <w:bottom w:val="single" w:sz="4" w:space="0" w:color="auto"/>
            </w:tcBorders>
            <w:vAlign w:val="center"/>
            <w:hideMark/>
          </w:tcPr>
          <w:p w14:paraId="7A00D1F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 months</w:t>
            </w:r>
          </w:p>
        </w:tc>
        <w:tc>
          <w:tcPr>
            <w:tcW w:w="3870" w:type="dxa"/>
            <w:tcBorders>
              <w:bottom w:val="single" w:sz="4" w:space="0" w:color="auto"/>
              <w:right w:val="single" w:sz="4" w:space="0" w:color="auto"/>
            </w:tcBorders>
            <w:vAlign w:val="center"/>
            <w:hideMark/>
          </w:tcPr>
          <w:p w14:paraId="0C83FDE6"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The greatest improvement was seen in hyperthyroid symptoms, followed by improvements in tiredness, anxiety, emotional susceptibility, social life, daily life, and sex life, with smaller gains in goiter symptoms, hypothyroid symptoms, cognitive complaints, </w:t>
            </w:r>
            <w:proofErr w:type="spellStart"/>
            <w:r w:rsidRPr="00F31867">
              <w:rPr>
                <w:rFonts w:ascii="Times New Roman" w:eastAsia="Times New Roman" w:hAnsi="Times New Roman" w:cs="Times New Roman"/>
                <w:color w:val="000000"/>
                <w:kern w:val="0"/>
                <w:sz w:val="16"/>
                <w:szCs w:val="16"/>
                <w14:ligatures w14:val="none"/>
              </w:rPr>
              <w:t>depressivity</w:t>
            </w:r>
            <w:proofErr w:type="spellEnd"/>
            <w:r w:rsidRPr="00F31867">
              <w:rPr>
                <w:rFonts w:ascii="Times New Roman" w:eastAsia="Times New Roman" w:hAnsi="Times New Roman" w:cs="Times New Roman"/>
                <w:color w:val="000000"/>
                <w:kern w:val="0"/>
                <w:sz w:val="16"/>
                <w:szCs w:val="16"/>
                <w14:ligatures w14:val="none"/>
              </w:rPr>
              <w:t>, and overall quality of life, while eye symptoms worsened slightly and cosmetic complaints showed no change.</w:t>
            </w:r>
          </w:p>
        </w:tc>
      </w:tr>
      <w:tr w:rsidR="00322918" w:rsidRPr="00DA6535" w14:paraId="1C23C879" w14:textId="77777777" w:rsidTr="0099168D">
        <w:trPr>
          <w:trHeight w:val="1520"/>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06EE66B3" w14:textId="77777777" w:rsidR="00322918" w:rsidRPr="00F31867" w:rsidRDefault="00322918" w:rsidP="0099168D">
            <w:pPr>
              <w:spacing w:after="0" w:line="240" w:lineRule="auto"/>
              <w:ind w:left="113" w:right="113"/>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Surgery</w:t>
            </w:r>
          </w:p>
        </w:tc>
        <w:tc>
          <w:tcPr>
            <w:tcW w:w="900" w:type="dxa"/>
            <w:tcBorders>
              <w:top w:val="single" w:sz="4" w:space="0" w:color="auto"/>
              <w:left w:val="single" w:sz="4" w:space="0" w:color="auto"/>
            </w:tcBorders>
            <w:shd w:val="clear" w:color="auto" w:fill="E8E8E8" w:themeFill="background2"/>
            <w:vAlign w:val="center"/>
            <w:hideMark/>
          </w:tcPr>
          <w:p w14:paraId="02E68E83"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Al-Adhami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2012</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18</w:t>
            </w:r>
          </w:p>
        </w:tc>
        <w:tc>
          <w:tcPr>
            <w:tcW w:w="900" w:type="dxa"/>
            <w:tcBorders>
              <w:top w:val="single" w:sz="4" w:space="0" w:color="auto"/>
            </w:tcBorders>
            <w:shd w:val="clear" w:color="auto" w:fill="E8E8E8" w:themeFill="background2"/>
            <w:vAlign w:val="center"/>
            <w:hideMark/>
          </w:tcPr>
          <w:p w14:paraId="61F5F4E1"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United Kingdom</w:t>
            </w:r>
          </w:p>
        </w:tc>
        <w:tc>
          <w:tcPr>
            <w:tcW w:w="1170" w:type="dxa"/>
            <w:tcBorders>
              <w:top w:val="single" w:sz="4" w:space="0" w:color="auto"/>
            </w:tcBorders>
            <w:shd w:val="clear" w:color="auto" w:fill="E8E8E8" w:themeFill="background2"/>
            <w:vAlign w:val="center"/>
            <w:hideMark/>
          </w:tcPr>
          <w:p w14:paraId="33C04BE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(cross-sectional)</w:t>
            </w:r>
          </w:p>
        </w:tc>
        <w:tc>
          <w:tcPr>
            <w:tcW w:w="1440" w:type="dxa"/>
            <w:tcBorders>
              <w:top w:val="single" w:sz="4" w:space="0" w:color="auto"/>
            </w:tcBorders>
            <w:shd w:val="clear" w:color="auto" w:fill="E8E8E8" w:themeFill="background2"/>
            <w:vAlign w:val="center"/>
            <w:hideMark/>
          </w:tcPr>
          <w:p w14:paraId="732CF0E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who underwent surgery for Graves’ disease in a tertiary endocrine surgical unit (12–65 years old)</w:t>
            </w:r>
          </w:p>
        </w:tc>
        <w:tc>
          <w:tcPr>
            <w:tcW w:w="810" w:type="dxa"/>
            <w:tcBorders>
              <w:top w:val="single" w:sz="4" w:space="0" w:color="auto"/>
            </w:tcBorders>
            <w:shd w:val="clear" w:color="auto" w:fill="E8E8E8" w:themeFill="background2"/>
            <w:vAlign w:val="center"/>
            <w:hideMark/>
          </w:tcPr>
          <w:p w14:paraId="1E229DC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January 1986 - September 2008</w:t>
            </w:r>
          </w:p>
        </w:tc>
        <w:tc>
          <w:tcPr>
            <w:tcW w:w="810" w:type="dxa"/>
            <w:tcBorders>
              <w:top w:val="single" w:sz="4" w:space="0" w:color="auto"/>
            </w:tcBorders>
            <w:shd w:val="clear" w:color="auto" w:fill="E8E8E8" w:themeFill="background2"/>
            <w:vAlign w:val="center"/>
            <w:hideMark/>
          </w:tcPr>
          <w:p w14:paraId="310C4080"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Yes (not all)</w:t>
            </w:r>
          </w:p>
        </w:tc>
        <w:tc>
          <w:tcPr>
            <w:tcW w:w="990" w:type="dxa"/>
            <w:tcBorders>
              <w:top w:val="single" w:sz="4" w:space="0" w:color="auto"/>
            </w:tcBorders>
            <w:shd w:val="clear" w:color="auto" w:fill="E8E8E8" w:themeFill="background2"/>
            <w:vAlign w:val="center"/>
            <w:hideMark/>
          </w:tcPr>
          <w:p w14:paraId="3E133A7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87 (38 preserve function surgery; 49 ablative surgery)</w:t>
            </w:r>
          </w:p>
        </w:tc>
        <w:tc>
          <w:tcPr>
            <w:tcW w:w="1000" w:type="dxa"/>
            <w:tcBorders>
              <w:top w:val="single" w:sz="4" w:space="0" w:color="auto"/>
            </w:tcBorders>
            <w:shd w:val="clear" w:color="auto" w:fill="E8E8E8" w:themeFill="background2"/>
            <w:vAlign w:val="center"/>
            <w:hideMark/>
          </w:tcPr>
          <w:p w14:paraId="02B73B3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46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42–50</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 xml:space="preserve"> preserve function surgery; 43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33–47</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 xml:space="preserve"> ablative surgery</w:t>
            </w:r>
          </w:p>
        </w:tc>
        <w:tc>
          <w:tcPr>
            <w:tcW w:w="1070" w:type="dxa"/>
            <w:tcBorders>
              <w:top w:val="single" w:sz="4" w:space="0" w:color="auto"/>
            </w:tcBorders>
            <w:shd w:val="clear" w:color="auto" w:fill="E8E8E8" w:themeFill="background2"/>
            <w:vAlign w:val="center"/>
            <w:hideMark/>
          </w:tcPr>
          <w:p w14:paraId="4A670E6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SF-36 </w:t>
            </w:r>
          </w:p>
        </w:tc>
        <w:tc>
          <w:tcPr>
            <w:tcW w:w="1170" w:type="dxa"/>
            <w:tcBorders>
              <w:top w:val="single" w:sz="4" w:space="0" w:color="auto"/>
            </w:tcBorders>
            <w:shd w:val="clear" w:color="auto" w:fill="E8E8E8" w:themeFill="background2"/>
            <w:vAlign w:val="center"/>
            <w:hideMark/>
          </w:tcPr>
          <w:p w14:paraId="6EA0A7C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Ablative surgery (e.g. total</w:t>
            </w:r>
            <w:r w:rsidRPr="00F31867">
              <w:rPr>
                <w:rFonts w:ascii="Times New Roman" w:eastAsia="Times New Roman" w:hAnsi="Times New Roman" w:cs="Times New Roman"/>
                <w:color w:val="000000"/>
                <w:kern w:val="0"/>
                <w:sz w:val="16"/>
                <w:szCs w:val="16"/>
                <w14:ligatures w14:val="none"/>
              </w:rPr>
              <w:br/>
              <w:t>thyroidectomy) or preserve function surgery (e.g. hemithyroidectomy)</w:t>
            </w:r>
          </w:p>
        </w:tc>
        <w:tc>
          <w:tcPr>
            <w:tcW w:w="1440" w:type="dxa"/>
            <w:tcBorders>
              <w:top w:val="single" w:sz="4" w:space="0" w:color="auto"/>
            </w:tcBorders>
            <w:shd w:val="clear" w:color="auto" w:fill="E8E8E8" w:themeFill="background2"/>
            <w:vAlign w:val="center"/>
            <w:hideMark/>
          </w:tcPr>
          <w:p w14:paraId="2451D27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18.4 years (median, preserve function surgery); 7.9 years (median, ablative surgery)</w:t>
            </w:r>
          </w:p>
        </w:tc>
        <w:tc>
          <w:tcPr>
            <w:tcW w:w="3870" w:type="dxa"/>
            <w:tcBorders>
              <w:top w:val="single" w:sz="4" w:space="0" w:color="auto"/>
              <w:right w:val="single" w:sz="4" w:space="0" w:color="auto"/>
            </w:tcBorders>
            <w:shd w:val="clear" w:color="auto" w:fill="E8E8E8" w:themeFill="background2"/>
            <w:vAlign w:val="center"/>
            <w:hideMark/>
          </w:tcPr>
          <w:p w14:paraId="7203F03A"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 statistically significant difference was observed between the two surgery groups; scores before and after procedures were not reported.</w:t>
            </w:r>
          </w:p>
        </w:tc>
      </w:tr>
      <w:tr w:rsidR="00322918" w:rsidRPr="00DA6535" w14:paraId="19C65D96" w14:textId="77777777" w:rsidTr="0099168D">
        <w:trPr>
          <w:trHeight w:val="1404"/>
        </w:trPr>
        <w:tc>
          <w:tcPr>
            <w:tcW w:w="360" w:type="dxa"/>
            <w:vMerge/>
            <w:tcBorders>
              <w:top w:val="single" w:sz="4" w:space="0" w:color="auto"/>
              <w:left w:val="single" w:sz="4" w:space="0" w:color="auto"/>
              <w:bottom w:val="single" w:sz="4" w:space="0" w:color="auto"/>
              <w:right w:val="single" w:sz="4" w:space="0" w:color="auto"/>
            </w:tcBorders>
            <w:textDirection w:val="tbRl"/>
            <w:vAlign w:val="center"/>
            <w:hideMark/>
          </w:tcPr>
          <w:p w14:paraId="23CE96E9"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47803106"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Bukvic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2015</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29</w:t>
            </w:r>
          </w:p>
        </w:tc>
        <w:tc>
          <w:tcPr>
            <w:tcW w:w="900" w:type="dxa"/>
            <w:tcBorders>
              <w:bottom w:val="single" w:sz="4" w:space="0" w:color="auto"/>
            </w:tcBorders>
            <w:vAlign w:val="center"/>
            <w:hideMark/>
          </w:tcPr>
          <w:p w14:paraId="1BE59ED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Serbia</w:t>
            </w:r>
          </w:p>
        </w:tc>
        <w:tc>
          <w:tcPr>
            <w:tcW w:w="1170" w:type="dxa"/>
            <w:tcBorders>
              <w:bottom w:val="single" w:sz="4" w:space="0" w:color="auto"/>
            </w:tcBorders>
            <w:vAlign w:val="center"/>
            <w:hideMark/>
          </w:tcPr>
          <w:p w14:paraId="530BEBB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(prospective case-control)</w:t>
            </w:r>
          </w:p>
        </w:tc>
        <w:tc>
          <w:tcPr>
            <w:tcW w:w="1440" w:type="dxa"/>
            <w:tcBorders>
              <w:bottom w:val="single" w:sz="4" w:space="0" w:color="auto"/>
            </w:tcBorders>
            <w:vAlign w:val="center"/>
            <w:hideMark/>
          </w:tcPr>
          <w:p w14:paraId="0B5E68C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Patients with Graves’ disease </w:t>
            </w:r>
            <w:proofErr w:type="gramStart"/>
            <w:r w:rsidRPr="00F31867">
              <w:rPr>
                <w:rFonts w:ascii="Times New Roman" w:eastAsia="Times New Roman" w:hAnsi="Times New Roman" w:cs="Times New Roman"/>
                <w:color w:val="000000"/>
                <w:kern w:val="0"/>
                <w:sz w:val="16"/>
                <w:szCs w:val="16"/>
                <w14:ligatures w14:val="none"/>
              </w:rPr>
              <w:t>admitted</w:t>
            </w:r>
            <w:proofErr w:type="gramEnd"/>
            <w:r w:rsidRPr="00F31867">
              <w:rPr>
                <w:rFonts w:ascii="Times New Roman" w:eastAsia="Times New Roman" w:hAnsi="Times New Roman" w:cs="Times New Roman"/>
                <w:color w:val="000000"/>
                <w:kern w:val="0"/>
                <w:sz w:val="16"/>
                <w:szCs w:val="16"/>
                <w14:ligatures w14:val="none"/>
              </w:rPr>
              <w:t xml:space="preserve"> to a tertiary care referral center (18-75 years old)</w:t>
            </w:r>
          </w:p>
        </w:tc>
        <w:tc>
          <w:tcPr>
            <w:tcW w:w="810" w:type="dxa"/>
            <w:tcBorders>
              <w:bottom w:val="single" w:sz="4" w:space="0" w:color="auto"/>
            </w:tcBorders>
            <w:vAlign w:val="center"/>
            <w:hideMark/>
          </w:tcPr>
          <w:p w14:paraId="3FE674F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April 2012 - August</w:t>
            </w:r>
            <w:r w:rsidRPr="00F31867">
              <w:rPr>
                <w:rFonts w:ascii="Times New Roman" w:eastAsia="Times New Roman" w:hAnsi="Times New Roman" w:cs="Times New Roman"/>
                <w:color w:val="000000"/>
                <w:kern w:val="0"/>
                <w:sz w:val="16"/>
                <w:szCs w:val="16"/>
                <w14:ligatures w14:val="none"/>
              </w:rPr>
              <w:br/>
              <w:t>2013</w:t>
            </w:r>
          </w:p>
        </w:tc>
        <w:tc>
          <w:tcPr>
            <w:tcW w:w="810" w:type="dxa"/>
            <w:tcBorders>
              <w:bottom w:val="single" w:sz="4" w:space="0" w:color="auto"/>
            </w:tcBorders>
            <w:vAlign w:val="center"/>
            <w:hideMark/>
          </w:tcPr>
          <w:p w14:paraId="0721AC9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bottom w:val="single" w:sz="4" w:space="0" w:color="auto"/>
            </w:tcBorders>
            <w:vAlign w:val="center"/>
            <w:hideMark/>
          </w:tcPr>
          <w:p w14:paraId="31E7625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31</w:t>
            </w:r>
          </w:p>
        </w:tc>
        <w:tc>
          <w:tcPr>
            <w:tcW w:w="1000" w:type="dxa"/>
            <w:tcBorders>
              <w:bottom w:val="single" w:sz="4" w:space="0" w:color="auto"/>
            </w:tcBorders>
            <w:vAlign w:val="center"/>
            <w:hideMark/>
          </w:tcPr>
          <w:p w14:paraId="14B5827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42.9 ± 13.4</w:t>
            </w:r>
          </w:p>
        </w:tc>
        <w:tc>
          <w:tcPr>
            <w:tcW w:w="1070" w:type="dxa"/>
            <w:tcBorders>
              <w:bottom w:val="single" w:sz="4" w:space="0" w:color="auto"/>
            </w:tcBorders>
            <w:vAlign w:val="center"/>
            <w:hideMark/>
          </w:tcPr>
          <w:p w14:paraId="125C0D8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tcBorders>
              <w:bottom w:val="single" w:sz="4" w:space="0" w:color="auto"/>
            </w:tcBorders>
            <w:vAlign w:val="center"/>
            <w:hideMark/>
          </w:tcPr>
          <w:p w14:paraId="707F507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Total</w:t>
            </w:r>
            <w:r w:rsidRPr="00F31867">
              <w:rPr>
                <w:rFonts w:ascii="Times New Roman" w:eastAsia="Times New Roman" w:hAnsi="Times New Roman" w:cs="Times New Roman"/>
                <w:color w:val="000000"/>
                <w:kern w:val="0"/>
                <w:sz w:val="16"/>
                <w:szCs w:val="16"/>
                <w14:ligatures w14:val="none"/>
              </w:rPr>
              <w:br/>
              <w:t>thyroidectomy</w:t>
            </w:r>
          </w:p>
        </w:tc>
        <w:tc>
          <w:tcPr>
            <w:tcW w:w="1440" w:type="dxa"/>
            <w:tcBorders>
              <w:bottom w:val="single" w:sz="4" w:space="0" w:color="auto"/>
            </w:tcBorders>
            <w:vAlign w:val="center"/>
            <w:hideMark/>
          </w:tcPr>
          <w:p w14:paraId="5F3E414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6 months</w:t>
            </w:r>
          </w:p>
        </w:tc>
        <w:tc>
          <w:tcPr>
            <w:tcW w:w="3870" w:type="dxa"/>
            <w:tcBorders>
              <w:bottom w:val="single" w:sz="4" w:space="0" w:color="auto"/>
              <w:right w:val="single" w:sz="4" w:space="0" w:color="auto"/>
            </w:tcBorders>
            <w:vAlign w:val="center"/>
            <w:hideMark/>
          </w:tcPr>
          <w:p w14:paraId="725AA059"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There was a significant improvement in all SF-36 domains, with the greatest postoperative improvement observed in the overall quality of life score.</w:t>
            </w:r>
          </w:p>
        </w:tc>
      </w:tr>
      <w:tr w:rsidR="00322918" w:rsidRPr="00DA6535" w14:paraId="6196FF67" w14:textId="77777777" w:rsidTr="0099168D">
        <w:trPr>
          <w:trHeight w:val="800"/>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6A0102A8" w14:textId="77777777" w:rsidR="00322918" w:rsidRPr="00F31867" w:rsidRDefault="00322918" w:rsidP="0099168D">
            <w:pPr>
              <w:spacing w:after="0" w:line="240" w:lineRule="auto"/>
              <w:ind w:left="113" w:right="113"/>
              <w:jc w:val="right"/>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Radioiodine</w:t>
            </w:r>
          </w:p>
        </w:tc>
        <w:tc>
          <w:tcPr>
            <w:tcW w:w="900" w:type="dxa"/>
            <w:tcBorders>
              <w:top w:val="single" w:sz="4" w:space="0" w:color="auto"/>
              <w:left w:val="single" w:sz="4" w:space="0" w:color="auto"/>
            </w:tcBorders>
            <w:shd w:val="clear" w:color="auto" w:fill="E8E8E8" w:themeFill="background2"/>
            <w:vAlign w:val="center"/>
            <w:hideMark/>
          </w:tcPr>
          <w:p w14:paraId="43CFC597"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proofErr w:type="spellStart"/>
            <w:r w:rsidRPr="00F31867">
              <w:rPr>
                <w:rFonts w:ascii="Times New Roman" w:eastAsia="Times New Roman" w:hAnsi="Times New Roman" w:cs="Times New Roman"/>
                <w:color w:val="000000"/>
                <w:kern w:val="0"/>
                <w:sz w:val="16"/>
                <w:szCs w:val="16"/>
                <w14:ligatures w14:val="none"/>
              </w:rPr>
              <w:t>Täeb</w:t>
            </w:r>
            <w:proofErr w:type="spellEnd"/>
            <w:r w:rsidRPr="00F31867">
              <w:rPr>
                <w:rFonts w:ascii="Times New Roman" w:eastAsia="Times New Roman" w:hAnsi="Times New Roman" w:cs="Times New Roman"/>
                <w:color w:val="000000"/>
                <w:kern w:val="0"/>
                <w:sz w:val="16"/>
                <w:szCs w:val="16"/>
                <w14:ligatures w14:val="none"/>
              </w:rPr>
              <w:t xml:space="preserve">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2016</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17</w:t>
            </w:r>
          </w:p>
        </w:tc>
        <w:tc>
          <w:tcPr>
            <w:tcW w:w="900" w:type="dxa"/>
            <w:tcBorders>
              <w:top w:val="single" w:sz="4" w:space="0" w:color="auto"/>
            </w:tcBorders>
            <w:shd w:val="clear" w:color="auto" w:fill="E8E8E8" w:themeFill="background2"/>
            <w:vAlign w:val="center"/>
            <w:hideMark/>
          </w:tcPr>
          <w:p w14:paraId="14DC148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France</w:t>
            </w:r>
          </w:p>
        </w:tc>
        <w:tc>
          <w:tcPr>
            <w:tcW w:w="1170" w:type="dxa"/>
            <w:tcBorders>
              <w:top w:val="single" w:sz="4" w:space="0" w:color="auto"/>
            </w:tcBorders>
            <w:shd w:val="clear" w:color="auto" w:fill="E8E8E8" w:themeFill="background2"/>
            <w:vAlign w:val="center"/>
            <w:hideMark/>
          </w:tcPr>
          <w:p w14:paraId="5A0CAE1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Experimental (randomized controlled trial)</w:t>
            </w:r>
          </w:p>
        </w:tc>
        <w:tc>
          <w:tcPr>
            <w:tcW w:w="1440" w:type="dxa"/>
            <w:tcBorders>
              <w:top w:val="single" w:sz="4" w:space="0" w:color="auto"/>
            </w:tcBorders>
            <w:shd w:val="clear" w:color="auto" w:fill="E8E8E8" w:themeFill="background2"/>
            <w:vAlign w:val="center"/>
            <w:hideMark/>
          </w:tcPr>
          <w:p w14:paraId="337EF4B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with Graves’ disease (≥18 years old)</w:t>
            </w:r>
          </w:p>
        </w:tc>
        <w:tc>
          <w:tcPr>
            <w:tcW w:w="810" w:type="dxa"/>
            <w:tcBorders>
              <w:top w:val="single" w:sz="4" w:space="0" w:color="auto"/>
            </w:tcBorders>
            <w:shd w:val="clear" w:color="auto" w:fill="E8E8E8" w:themeFill="background2"/>
            <w:vAlign w:val="center"/>
            <w:hideMark/>
          </w:tcPr>
          <w:p w14:paraId="287F7E01"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810" w:type="dxa"/>
            <w:tcBorders>
              <w:top w:val="single" w:sz="4" w:space="0" w:color="auto"/>
            </w:tcBorders>
            <w:shd w:val="clear" w:color="auto" w:fill="E8E8E8" w:themeFill="background2"/>
            <w:vAlign w:val="center"/>
            <w:hideMark/>
          </w:tcPr>
          <w:p w14:paraId="3E11BE8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top w:val="single" w:sz="4" w:space="0" w:color="auto"/>
            </w:tcBorders>
            <w:shd w:val="clear" w:color="auto" w:fill="E8E8E8" w:themeFill="background2"/>
            <w:vAlign w:val="center"/>
            <w:hideMark/>
          </w:tcPr>
          <w:p w14:paraId="49C857C1"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48 (baseline); 43 (≥6-month follow-up)</w:t>
            </w:r>
          </w:p>
        </w:tc>
        <w:tc>
          <w:tcPr>
            <w:tcW w:w="1000" w:type="dxa"/>
            <w:tcBorders>
              <w:top w:val="single" w:sz="4" w:space="0" w:color="auto"/>
            </w:tcBorders>
            <w:shd w:val="clear" w:color="auto" w:fill="E8E8E8" w:themeFill="background2"/>
            <w:vAlign w:val="center"/>
            <w:hideMark/>
          </w:tcPr>
          <w:p w14:paraId="25DB5EDB"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47.1 ± 12.9</w:t>
            </w:r>
          </w:p>
        </w:tc>
        <w:tc>
          <w:tcPr>
            <w:tcW w:w="1070" w:type="dxa"/>
            <w:tcBorders>
              <w:top w:val="single" w:sz="4" w:space="0" w:color="auto"/>
            </w:tcBorders>
            <w:shd w:val="clear" w:color="auto" w:fill="E8E8E8" w:themeFill="background2"/>
            <w:vAlign w:val="center"/>
            <w:hideMark/>
          </w:tcPr>
          <w:p w14:paraId="6BD2C5E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r w:rsidRPr="00F31867">
              <w:rPr>
                <w:rFonts w:ascii="Times New Roman" w:eastAsia="Times New Roman" w:hAnsi="Times New Roman" w:cs="Times New Roman"/>
                <w:color w:val="000000"/>
                <w:kern w:val="0"/>
                <w:sz w:val="16"/>
                <w:szCs w:val="16"/>
                <w14:ligatures w14:val="none"/>
              </w:rPr>
              <w:br/>
            </w: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tcBorders>
              <w:top w:val="single" w:sz="4" w:space="0" w:color="auto"/>
            </w:tcBorders>
            <w:shd w:val="clear" w:color="auto" w:fill="E8E8E8" w:themeFill="background2"/>
            <w:vAlign w:val="center"/>
            <w:hideMark/>
          </w:tcPr>
          <w:p w14:paraId="10003B8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Radioiodine therapy with standard follow-up</w:t>
            </w:r>
          </w:p>
        </w:tc>
        <w:tc>
          <w:tcPr>
            <w:tcW w:w="1440" w:type="dxa"/>
            <w:tcBorders>
              <w:top w:val="single" w:sz="4" w:space="0" w:color="auto"/>
            </w:tcBorders>
            <w:shd w:val="clear" w:color="auto" w:fill="E8E8E8" w:themeFill="background2"/>
            <w:vAlign w:val="center"/>
            <w:hideMark/>
          </w:tcPr>
          <w:p w14:paraId="73F7FAC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12 months</w:t>
            </w:r>
          </w:p>
        </w:tc>
        <w:tc>
          <w:tcPr>
            <w:tcW w:w="3870" w:type="dxa"/>
            <w:tcBorders>
              <w:top w:val="single" w:sz="4" w:space="0" w:color="auto"/>
              <w:right w:val="single" w:sz="4" w:space="0" w:color="auto"/>
            </w:tcBorders>
            <w:shd w:val="clear" w:color="auto" w:fill="E8E8E8" w:themeFill="background2"/>
            <w:vAlign w:val="center"/>
            <w:hideMark/>
          </w:tcPr>
          <w:p w14:paraId="0B5BF371"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All SF-36 subscales improved after 12 months of follow-up, though statistical significance was not reported.</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 xml:space="preserve">Almost all </w:t>
            </w: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 xml:space="preserve"> subscales, except </w:t>
            </w:r>
            <w:r>
              <w:rPr>
                <w:rFonts w:ascii="Times New Roman" w:eastAsia="Times New Roman" w:hAnsi="Times New Roman" w:cs="Times New Roman"/>
                <w:color w:val="000000"/>
                <w:kern w:val="0"/>
                <w:sz w:val="16"/>
                <w:szCs w:val="16"/>
                <w14:ligatures w14:val="none"/>
              </w:rPr>
              <w:t>s</w:t>
            </w:r>
            <w:r w:rsidRPr="00F31867">
              <w:rPr>
                <w:rFonts w:ascii="Times New Roman" w:eastAsia="Times New Roman" w:hAnsi="Times New Roman" w:cs="Times New Roman"/>
                <w:color w:val="000000"/>
                <w:kern w:val="0"/>
                <w:sz w:val="16"/>
                <w:szCs w:val="16"/>
                <w14:ligatures w14:val="none"/>
              </w:rPr>
              <w:t>ex life, improved after 12 months of follow-up, though statistical significance was not reported.</w:t>
            </w:r>
          </w:p>
        </w:tc>
      </w:tr>
      <w:tr w:rsidR="00322918" w:rsidRPr="00DA6535" w14:paraId="59AE8E46" w14:textId="77777777" w:rsidTr="0099168D">
        <w:trPr>
          <w:trHeight w:val="1340"/>
        </w:trPr>
        <w:tc>
          <w:tcPr>
            <w:tcW w:w="360" w:type="dxa"/>
            <w:vMerge/>
            <w:tcBorders>
              <w:top w:val="single" w:sz="4" w:space="0" w:color="auto"/>
              <w:left w:val="single" w:sz="4" w:space="0" w:color="auto"/>
              <w:bottom w:val="single" w:sz="4" w:space="0" w:color="auto"/>
              <w:right w:val="single" w:sz="4" w:space="0" w:color="auto"/>
            </w:tcBorders>
            <w:textDirection w:val="tbRl"/>
            <w:vAlign w:val="center"/>
            <w:hideMark/>
          </w:tcPr>
          <w:p w14:paraId="78D10BF3"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06C45AF3"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Li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2024</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30</w:t>
            </w:r>
          </w:p>
        </w:tc>
        <w:tc>
          <w:tcPr>
            <w:tcW w:w="900" w:type="dxa"/>
            <w:tcBorders>
              <w:bottom w:val="single" w:sz="4" w:space="0" w:color="auto"/>
            </w:tcBorders>
            <w:vAlign w:val="center"/>
            <w:hideMark/>
          </w:tcPr>
          <w:p w14:paraId="35E1BE8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China</w:t>
            </w:r>
          </w:p>
        </w:tc>
        <w:tc>
          <w:tcPr>
            <w:tcW w:w="1170" w:type="dxa"/>
            <w:tcBorders>
              <w:bottom w:val="single" w:sz="4" w:space="0" w:color="auto"/>
            </w:tcBorders>
            <w:vAlign w:val="center"/>
            <w:hideMark/>
          </w:tcPr>
          <w:p w14:paraId="3056CE8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(prospective cohort)</w:t>
            </w:r>
          </w:p>
        </w:tc>
        <w:tc>
          <w:tcPr>
            <w:tcW w:w="1440" w:type="dxa"/>
            <w:tcBorders>
              <w:bottom w:val="single" w:sz="4" w:space="0" w:color="auto"/>
            </w:tcBorders>
            <w:vAlign w:val="center"/>
            <w:hideMark/>
          </w:tcPr>
          <w:p w14:paraId="0D3E058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Participants diagnosed with </w:t>
            </w:r>
            <w:proofErr w:type="gramStart"/>
            <w:r w:rsidRPr="00F31867">
              <w:rPr>
                <w:rFonts w:ascii="Times New Roman" w:eastAsia="Times New Roman" w:hAnsi="Times New Roman" w:cs="Times New Roman"/>
                <w:color w:val="000000"/>
                <w:kern w:val="0"/>
                <w:sz w:val="16"/>
                <w:szCs w:val="16"/>
                <w14:ligatures w14:val="none"/>
              </w:rPr>
              <w:t>late‐hypothyroidism</w:t>
            </w:r>
            <w:proofErr w:type="gramEnd"/>
            <w:r w:rsidRPr="00F31867">
              <w:rPr>
                <w:rFonts w:ascii="Times New Roman" w:eastAsia="Times New Roman" w:hAnsi="Times New Roman" w:cs="Times New Roman"/>
                <w:color w:val="000000"/>
                <w:kern w:val="0"/>
                <w:sz w:val="16"/>
                <w:szCs w:val="16"/>
                <w14:ligatures w14:val="none"/>
              </w:rPr>
              <w:t xml:space="preserve"> after radioiodine therapy for Graves’ disease (18 -78 years old)</w:t>
            </w:r>
          </w:p>
        </w:tc>
        <w:tc>
          <w:tcPr>
            <w:tcW w:w="810" w:type="dxa"/>
            <w:tcBorders>
              <w:bottom w:val="single" w:sz="4" w:space="0" w:color="auto"/>
            </w:tcBorders>
            <w:vAlign w:val="center"/>
            <w:hideMark/>
          </w:tcPr>
          <w:p w14:paraId="1F6803B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September 2021 - June 2023</w:t>
            </w:r>
          </w:p>
        </w:tc>
        <w:tc>
          <w:tcPr>
            <w:tcW w:w="810" w:type="dxa"/>
            <w:tcBorders>
              <w:bottom w:val="single" w:sz="4" w:space="0" w:color="auto"/>
            </w:tcBorders>
            <w:vAlign w:val="center"/>
            <w:hideMark/>
          </w:tcPr>
          <w:p w14:paraId="7464136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bottom w:val="single" w:sz="4" w:space="0" w:color="auto"/>
            </w:tcBorders>
            <w:vAlign w:val="center"/>
            <w:hideMark/>
          </w:tcPr>
          <w:p w14:paraId="3E48EA3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254</w:t>
            </w:r>
          </w:p>
        </w:tc>
        <w:tc>
          <w:tcPr>
            <w:tcW w:w="1000" w:type="dxa"/>
            <w:tcBorders>
              <w:bottom w:val="single" w:sz="4" w:space="0" w:color="auto"/>
            </w:tcBorders>
            <w:vAlign w:val="center"/>
            <w:hideMark/>
          </w:tcPr>
          <w:p w14:paraId="0E4D7E9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45.3 ± 13.7</w:t>
            </w:r>
          </w:p>
        </w:tc>
        <w:tc>
          <w:tcPr>
            <w:tcW w:w="1070" w:type="dxa"/>
            <w:tcBorders>
              <w:bottom w:val="single" w:sz="4" w:space="0" w:color="auto"/>
            </w:tcBorders>
            <w:vAlign w:val="center"/>
            <w:hideMark/>
          </w:tcPr>
          <w:p w14:paraId="4DFD6AE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tcBorders>
              <w:bottom w:val="single" w:sz="4" w:space="0" w:color="auto"/>
            </w:tcBorders>
            <w:vAlign w:val="center"/>
            <w:hideMark/>
          </w:tcPr>
          <w:p w14:paraId="0DFBCF4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Radioiodine</w:t>
            </w:r>
          </w:p>
        </w:tc>
        <w:tc>
          <w:tcPr>
            <w:tcW w:w="1440" w:type="dxa"/>
            <w:tcBorders>
              <w:bottom w:val="single" w:sz="4" w:space="0" w:color="auto"/>
            </w:tcBorders>
            <w:vAlign w:val="center"/>
            <w:hideMark/>
          </w:tcPr>
          <w:p w14:paraId="104CA89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 years (1–30, after radioiodine therapy); ≥1 year of hypothyroidism status after radioiodine</w:t>
            </w:r>
          </w:p>
        </w:tc>
        <w:tc>
          <w:tcPr>
            <w:tcW w:w="3870" w:type="dxa"/>
            <w:tcBorders>
              <w:bottom w:val="single" w:sz="4" w:space="0" w:color="auto"/>
              <w:right w:val="single" w:sz="4" w:space="0" w:color="auto"/>
            </w:tcBorders>
            <w:vAlign w:val="center"/>
            <w:hideMark/>
          </w:tcPr>
          <w:p w14:paraId="67EBBC95"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After treatment, Goiter symptoms and Impaired daily life had the best scores, while </w:t>
            </w:r>
            <w:r>
              <w:rPr>
                <w:rFonts w:ascii="Times New Roman" w:eastAsia="Times New Roman" w:hAnsi="Times New Roman" w:cs="Times New Roman"/>
                <w:color w:val="000000"/>
                <w:kern w:val="0"/>
                <w:sz w:val="16"/>
                <w:szCs w:val="16"/>
                <w14:ligatures w14:val="none"/>
              </w:rPr>
              <w:t>t</w:t>
            </w:r>
            <w:r w:rsidRPr="00F31867">
              <w:rPr>
                <w:rFonts w:ascii="Times New Roman" w:eastAsia="Times New Roman" w:hAnsi="Times New Roman" w:cs="Times New Roman"/>
                <w:color w:val="000000"/>
                <w:kern w:val="0"/>
                <w:sz w:val="16"/>
                <w:szCs w:val="16"/>
                <w14:ligatures w14:val="none"/>
              </w:rPr>
              <w:t xml:space="preserve">iredness, </w:t>
            </w:r>
            <w:r>
              <w:rPr>
                <w:rFonts w:ascii="Times New Roman" w:eastAsia="Times New Roman" w:hAnsi="Times New Roman" w:cs="Times New Roman"/>
                <w:color w:val="000000"/>
                <w:kern w:val="0"/>
                <w:sz w:val="16"/>
                <w:szCs w:val="16"/>
                <w14:ligatures w14:val="none"/>
              </w:rPr>
              <w:t>e</w:t>
            </w:r>
            <w:r w:rsidRPr="00F31867">
              <w:rPr>
                <w:rFonts w:ascii="Times New Roman" w:eastAsia="Times New Roman" w:hAnsi="Times New Roman" w:cs="Times New Roman"/>
                <w:color w:val="000000"/>
                <w:kern w:val="0"/>
                <w:sz w:val="16"/>
                <w:szCs w:val="16"/>
                <w14:ligatures w14:val="none"/>
              </w:rPr>
              <w:t xml:space="preserve">motional susceptibility, and </w:t>
            </w:r>
            <w:r>
              <w:rPr>
                <w:rFonts w:ascii="Times New Roman" w:eastAsia="Times New Roman" w:hAnsi="Times New Roman" w:cs="Times New Roman"/>
                <w:color w:val="000000"/>
                <w:kern w:val="0"/>
                <w:sz w:val="16"/>
                <w:szCs w:val="16"/>
                <w14:ligatures w14:val="none"/>
              </w:rPr>
              <w:t>e</w:t>
            </w:r>
            <w:r w:rsidRPr="00F31867">
              <w:rPr>
                <w:rFonts w:ascii="Times New Roman" w:eastAsia="Times New Roman" w:hAnsi="Times New Roman" w:cs="Times New Roman"/>
                <w:color w:val="000000"/>
                <w:kern w:val="0"/>
                <w:sz w:val="16"/>
                <w:szCs w:val="16"/>
                <w14:ligatures w14:val="none"/>
              </w:rPr>
              <w:t xml:space="preserve">ye symptoms had the worst scores; changes in </w:t>
            </w:r>
            <w:proofErr w:type="gramStart"/>
            <w:r w:rsidRPr="00F31867">
              <w:rPr>
                <w:rFonts w:ascii="Times New Roman" w:eastAsia="Times New Roman" w:hAnsi="Times New Roman" w:cs="Times New Roman"/>
                <w:color w:val="000000"/>
                <w:kern w:val="0"/>
                <w:sz w:val="16"/>
                <w:szCs w:val="16"/>
                <w14:ligatures w14:val="none"/>
              </w:rPr>
              <w:t>quality of life</w:t>
            </w:r>
            <w:proofErr w:type="gramEnd"/>
            <w:r w:rsidRPr="00F31867">
              <w:rPr>
                <w:rFonts w:ascii="Times New Roman" w:eastAsia="Times New Roman" w:hAnsi="Times New Roman" w:cs="Times New Roman"/>
                <w:color w:val="000000"/>
                <w:kern w:val="0"/>
                <w:sz w:val="16"/>
                <w:szCs w:val="16"/>
                <w14:ligatures w14:val="none"/>
              </w:rPr>
              <w:t xml:space="preserve"> scores were not reported.</w:t>
            </w:r>
          </w:p>
        </w:tc>
      </w:tr>
      <w:tr w:rsidR="00322918" w:rsidRPr="00DA6535" w14:paraId="21076549" w14:textId="77777777" w:rsidTr="0099168D">
        <w:trPr>
          <w:trHeight w:val="1754"/>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1894EDB9" w14:textId="77777777" w:rsidR="00322918" w:rsidRPr="00F31867" w:rsidRDefault="00322918" w:rsidP="0099168D">
            <w:pPr>
              <w:spacing w:after="0" w:line="240" w:lineRule="auto"/>
              <w:ind w:left="113" w:right="113"/>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Antithyroid drug vs Radioiodine</w:t>
            </w:r>
          </w:p>
        </w:tc>
        <w:tc>
          <w:tcPr>
            <w:tcW w:w="900" w:type="dxa"/>
            <w:tcBorders>
              <w:top w:val="single" w:sz="4" w:space="0" w:color="auto"/>
              <w:left w:val="single" w:sz="4" w:space="0" w:color="auto"/>
            </w:tcBorders>
            <w:vAlign w:val="center"/>
            <w:hideMark/>
          </w:tcPr>
          <w:p w14:paraId="247080F7"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Azizi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2005</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22</w:t>
            </w:r>
          </w:p>
        </w:tc>
        <w:tc>
          <w:tcPr>
            <w:tcW w:w="900" w:type="dxa"/>
            <w:tcBorders>
              <w:top w:val="single" w:sz="4" w:space="0" w:color="auto"/>
            </w:tcBorders>
            <w:vAlign w:val="center"/>
            <w:hideMark/>
          </w:tcPr>
          <w:p w14:paraId="0B10446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Iran</w:t>
            </w:r>
          </w:p>
        </w:tc>
        <w:tc>
          <w:tcPr>
            <w:tcW w:w="1170" w:type="dxa"/>
            <w:tcBorders>
              <w:top w:val="single" w:sz="4" w:space="0" w:color="auto"/>
            </w:tcBorders>
            <w:vAlign w:val="center"/>
            <w:hideMark/>
          </w:tcPr>
          <w:p w14:paraId="0A1CA72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Experimental (randomized controlled trial)</w:t>
            </w:r>
          </w:p>
        </w:tc>
        <w:tc>
          <w:tcPr>
            <w:tcW w:w="1440" w:type="dxa"/>
            <w:tcBorders>
              <w:top w:val="single" w:sz="4" w:space="0" w:color="auto"/>
            </w:tcBorders>
            <w:vAlign w:val="center"/>
            <w:hideMark/>
          </w:tcPr>
          <w:p w14:paraId="0845D33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diagnosed with hyperthyroidism due to Graves’ disease who were treated with methimazole and relapsed after one year of discontinuation (&gt;40 years old)</w:t>
            </w:r>
          </w:p>
        </w:tc>
        <w:tc>
          <w:tcPr>
            <w:tcW w:w="810" w:type="dxa"/>
            <w:tcBorders>
              <w:top w:val="single" w:sz="4" w:space="0" w:color="auto"/>
            </w:tcBorders>
            <w:vAlign w:val="center"/>
            <w:hideMark/>
          </w:tcPr>
          <w:p w14:paraId="79C5DB5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March 1989 - June 2002</w:t>
            </w:r>
          </w:p>
        </w:tc>
        <w:tc>
          <w:tcPr>
            <w:tcW w:w="810" w:type="dxa"/>
            <w:tcBorders>
              <w:top w:val="single" w:sz="4" w:space="0" w:color="auto"/>
            </w:tcBorders>
            <w:vAlign w:val="center"/>
            <w:hideMark/>
          </w:tcPr>
          <w:p w14:paraId="367BC4E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Yes</w:t>
            </w:r>
          </w:p>
        </w:tc>
        <w:tc>
          <w:tcPr>
            <w:tcW w:w="990" w:type="dxa"/>
            <w:tcBorders>
              <w:top w:val="single" w:sz="4" w:space="0" w:color="auto"/>
            </w:tcBorders>
            <w:vAlign w:val="center"/>
            <w:hideMark/>
          </w:tcPr>
          <w:p w14:paraId="453DFCA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67 (26 methimazole; 41 radioiodine)</w:t>
            </w:r>
          </w:p>
        </w:tc>
        <w:tc>
          <w:tcPr>
            <w:tcW w:w="1000" w:type="dxa"/>
            <w:tcBorders>
              <w:top w:val="single" w:sz="4" w:space="0" w:color="auto"/>
            </w:tcBorders>
            <w:vAlign w:val="center"/>
            <w:hideMark/>
          </w:tcPr>
          <w:p w14:paraId="7613777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47 ± 5 (antithyroid drug); 48 ± 6 (radioiodine)</w:t>
            </w:r>
          </w:p>
        </w:tc>
        <w:tc>
          <w:tcPr>
            <w:tcW w:w="1070" w:type="dxa"/>
            <w:tcBorders>
              <w:top w:val="single" w:sz="4" w:space="0" w:color="auto"/>
            </w:tcBorders>
            <w:vAlign w:val="center"/>
            <w:hideMark/>
          </w:tcPr>
          <w:p w14:paraId="63DB5C1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tcBorders>
              <w:top w:val="single" w:sz="4" w:space="0" w:color="auto"/>
            </w:tcBorders>
            <w:vAlign w:val="center"/>
            <w:hideMark/>
          </w:tcPr>
          <w:p w14:paraId="7169817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Methimazole </w:t>
            </w:r>
            <w:r w:rsidRPr="00F31867">
              <w:rPr>
                <w:rFonts w:ascii="Times New Roman" w:eastAsia="Times New Roman" w:hAnsi="Times New Roman" w:cs="Times New Roman"/>
                <w:color w:val="000000"/>
                <w:kern w:val="0"/>
                <w:sz w:val="16"/>
                <w:szCs w:val="16"/>
                <w14:ligatures w14:val="none"/>
              </w:rPr>
              <w:br/>
              <w:t>Radioiodine</w:t>
            </w:r>
          </w:p>
        </w:tc>
        <w:tc>
          <w:tcPr>
            <w:tcW w:w="1440" w:type="dxa"/>
            <w:tcBorders>
              <w:top w:val="single" w:sz="4" w:space="0" w:color="auto"/>
            </w:tcBorders>
            <w:vAlign w:val="center"/>
            <w:hideMark/>
          </w:tcPr>
          <w:p w14:paraId="77980C7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10.2 years (antithyroid drug); 10.1 years (radioiodine)</w:t>
            </w:r>
          </w:p>
        </w:tc>
        <w:tc>
          <w:tcPr>
            <w:tcW w:w="3870" w:type="dxa"/>
            <w:tcBorders>
              <w:top w:val="single" w:sz="4" w:space="0" w:color="auto"/>
              <w:right w:val="single" w:sz="4" w:space="0" w:color="auto"/>
            </w:tcBorders>
            <w:vAlign w:val="center"/>
            <w:hideMark/>
          </w:tcPr>
          <w:p w14:paraId="1F231C75"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There were no statistically significant differences in the SF-36 mental and physical component scores between the antithyroid drug and radioiodine groups.</w:t>
            </w:r>
          </w:p>
        </w:tc>
      </w:tr>
      <w:tr w:rsidR="00322918" w:rsidRPr="00DA6535" w14:paraId="24F6E177" w14:textId="77777777" w:rsidTr="0099168D">
        <w:trPr>
          <w:trHeight w:val="1691"/>
        </w:trPr>
        <w:tc>
          <w:tcPr>
            <w:tcW w:w="360" w:type="dxa"/>
            <w:vMerge/>
            <w:tcBorders>
              <w:left w:val="single" w:sz="4" w:space="0" w:color="auto"/>
              <w:bottom w:val="single" w:sz="4" w:space="0" w:color="auto"/>
              <w:right w:val="single" w:sz="4" w:space="0" w:color="auto"/>
            </w:tcBorders>
            <w:textDirection w:val="tbRl"/>
            <w:vAlign w:val="center"/>
            <w:hideMark/>
          </w:tcPr>
          <w:p w14:paraId="33C55E83"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tcBorders>
            <w:shd w:val="clear" w:color="auto" w:fill="E8E8E8" w:themeFill="background2"/>
            <w:vAlign w:val="center"/>
            <w:hideMark/>
          </w:tcPr>
          <w:p w14:paraId="35C79BE3"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proofErr w:type="spellStart"/>
            <w:r w:rsidRPr="00F31867">
              <w:rPr>
                <w:rFonts w:ascii="Times New Roman" w:eastAsia="Times New Roman" w:hAnsi="Times New Roman" w:cs="Times New Roman"/>
                <w:color w:val="000000"/>
                <w:kern w:val="0"/>
                <w:sz w:val="16"/>
                <w:szCs w:val="16"/>
                <w14:ligatures w14:val="none"/>
              </w:rPr>
              <w:t>Villagelin</w:t>
            </w:r>
            <w:proofErr w:type="spellEnd"/>
            <w:r w:rsidRPr="00F31867">
              <w:rPr>
                <w:rFonts w:ascii="Times New Roman" w:eastAsia="Times New Roman" w:hAnsi="Times New Roman" w:cs="Times New Roman"/>
                <w:color w:val="000000"/>
                <w:kern w:val="0"/>
                <w:sz w:val="16"/>
                <w:szCs w:val="16"/>
                <w14:ligatures w14:val="none"/>
              </w:rPr>
              <w:t xml:space="preserve">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2015</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31</w:t>
            </w:r>
          </w:p>
        </w:tc>
        <w:tc>
          <w:tcPr>
            <w:tcW w:w="900" w:type="dxa"/>
            <w:shd w:val="clear" w:color="auto" w:fill="E8E8E8" w:themeFill="background2"/>
            <w:vAlign w:val="center"/>
            <w:hideMark/>
          </w:tcPr>
          <w:p w14:paraId="45B4143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Brazil</w:t>
            </w:r>
          </w:p>
        </w:tc>
        <w:tc>
          <w:tcPr>
            <w:tcW w:w="1170" w:type="dxa"/>
            <w:shd w:val="clear" w:color="auto" w:fill="E8E8E8" w:themeFill="background2"/>
            <w:vAlign w:val="center"/>
            <w:hideMark/>
          </w:tcPr>
          <w:p w14:paraId="2877E65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(retrospective cohort)</w:t>
            </w:r>
          </w:p>
        </w:tc>
        <w:tc>
          <w:tcPr>
            <w:tcW w:w="1440" w:type="dxa"/>
            <w:shd w:val="clear" w:color="auto" w:fill="E8E8E8" w:themeFill="background2"/>
            <w:vAlign w:val="center"/>
            <w:hideMark/>
          </w:tcPr>
          <w:p w14:paraId="1ACC23B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Patients with Graves’ disease relapse after discontinuation of antithyroid drug (methimazole) therapy for 12–24 </w:t>
            </w:r>
            <w:r w:rsidRPr="00F31867">
              <w:rPr>
                <w:rFonts w:ascii="Times New Roman" w:eastAsia="Times New Roman" w:hAnsi="Times New Roman" w:cs="Times New Roman"/>
                <w:color w:val="000000"/>
                <w:kern w:val="0"/>
                <w:sz w:val="16"/>
                <w:szCs w:val="16"/>
                <w14:ligatures w14:val="none"/>
              </w:rPr>
              <w:br/>
              <w:t>months (≥18 years old)</w:t>
            </w:r>
          </w:p>
        </w:tc>
        <w:tc>
          <w:tcPr>
            <w:tcW w:w="810" w:type="dxa"/>
            <w:shd w:val="clear" w:color="auto" w:fill="E8E8E8" w:themeFill="background2"/>
            <w:vAlign w:val="center"/>
            <w:hideMark/>
          </w:tcPr>
          <w:p w14:paraId="24841A3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1995 - 2013</w:t>
            </w:r>
          </w:p>
        </w:tc>
        <w:tc>
          <w:tcPr>
            <w:tcW w:w="810" w:type="dxa"/>
            <w:shd w:val="clear" w:color="auto" w:fill="E8E8E8" w:themeFill="background2"/>
            <w:vAlign w:val="center"/>
            <w:hideMark/>
          </w:tcPr>
          <w:p w14:paraId="7AEDD8C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Yes</w:t>
            </w:r>
          </w:p>
        </w:tc>
        <w:tc>
          <w:tcPr>
            <w:tcW w:w="990" w:type="dxa"/>
            <w:shd w:val="clear" w:color="auto" w:fill="E8E8E8" w:themeFill="background2"/>
            <w:vAlign w:val="center"/>
            <w:hideMark/>
          </w:tcPr>
          <w:p w14:paraId="11A1A090"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136 (63 radioiodine; 73 methimazole)</w:t>
            </w:r>
          </w:p>
        </w:tc>
        <w:tc>
          <w:tcPr>
            <w:tcW w:w="1000" w:type="dxa"/>
            <w:shd w:val="clear" w:color="auto" w:fill="E8E8E8" w:themeFill="background2"/>
            <w:vAlign w:val="center"/>
            <w:hideMark/>
          </w:tcPr>
          <w:p w14:paraId="0099613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40.92 ± 11.21 (radioiodine); 43.36 ± 10.85 (antithyroid drug)</w:t>
            </w:r>
          </w:p>
        </w:tc>
        <w:tc>
          <w:tcPr>
            <w:tcW w:w="1070" w:type="dxa"/>
            <w:shd w:val="clear" w:color="auto" w:fill="E8E8E8" w:themeFill="background2"/>
            <w:vAlign w:val="center"/>
            <w:hideMark/>
          </w:tcPr>
          <w:p w14:paraId="17328D70"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shd w:val="clear" w:color="auto" w:fill="E8E8E8" w:themeFill="background2"/>
            <w:vAlign w:val="center"/>
            <w:hideMark/>
          </w:tcPr>
          <w:p w14:paraId="0968C61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Low dose </w:t>
            </w:r>
            <w:r>
              <w:rPr>
                <w:rFonts w:ascii="Times New Roman" w:eastAsia="Times New Roman" w:hAnsi="Times New Roman" w:cs="Times New Roman"/>
                <w:color w:val="000000"/>
                <w:kern w:val="0"/>
                <w:sz w:val="16"/>
                <w:szCs w:val="16"/>
                <w14:ligatures w14:val="none"/>
              </w:rPr>
              <w:t>M</w:t>
            </w:r>
            <w:r w:rsidRPr="00F31867">
              <w:rPr>
                <w:rFonts w:ascii="Times New Roman" w:eastAsia="Times New Roman" w:hAnsi="Times New Roman" w:cs="Times New Roman"/>
                <w:color w:val="000000"/>
                <w:kern w:val="0"/>
                <w:sz w:val="16"/>
                <w:szCs w:val="16"/>
                <w14:ligatures w14:val="none"/>
              </w:rPr>
              <w:t xml:space="preserve">ethimazole </w:t>
            </w:r>
            <w:r w:rsidRPr="00F31867">
              <w:rPr>
                <w:rFonts w:ascii="Times New Roman" w:eastAsia="Times New Roman" w:hAnsi="Times New Roman" w:cs="Times New Roman"/>
                <w:color w:val="000000"/>
                <w:kern w:val="0"/>
                <w:sz w:val="16"/>
                <w:szCs w:val="16"/>
                <w14:ligatures w14:val="none"/>
              </w:rPr>
              <w:br/>
              <w:t>Radioiodine</w:t>
            </w:r>
          </w:p>
        </w:tc>
        <w:tc>
          <w:tcPr>
            <w:tcW w:w="1440" w:type="dxa"/>
            <w:shd w:val="clear" w:color="auto" w:fill="E8E8E8" w:themeFill="background2"/>
            <w:vAlign w:val="center"/>
            <w:hideMark/>
          </w:tcPr>
          <w:p w14:paraId="13848C3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80.8 ± 35.3 months (radioiodine); 71.3 ± 40.3 months (antithyroid drug); ≥6 months of </w:t>
            </w:r>
            <w:proofErr w:type="spellStart"/>
            <w:r w:rsidRPr="00F31867">
              <w:rPr>
                <w:rFonts w:ascii="Times New Roman" w:eastAsia="Times New Roman" w:hAnsi="Times New Roman" w:cs="Times New Roman"/>
                <w:color w:val="000000"/>
                <w:kern w:val="0"/>
                <w:sz w:val="16"/>
                <w:szCs w:val="16"/>
                <w14:ligatures w14:val="none"/>
              </w:rPr>
              <w:t>euthyroidism</w:t>
            </w:r>
            <w:proofErr w:type="spellEnd"/>
          </w:p>
        </w:tc>
        <w:tc>
          <w:tcPr>
            <w:tcW w:w="3870" w:type="dxa"/>
            <w:tcBorders>
              <w:right w:val="single" w:sz="4" w:space="0" w:color="auto"/>
            </w:tcBorders>
            <w:shd w:val="clear" w:color="auto" w:fill="E8E8E8" w:themeFill="background2"/>
            <w:vAlign w:val="center"/>
            <w:hideMark/>
          </w:tcPr>
          <w:p w14:paraId="5F03844A"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After at least 6 months of follow-up</w:t>
            </w:r>
            <w:r w:rsidRPr="00F31867">
              <w:rPr>
                <w:rFonts w:ascii="Times New Roman" w:eastAsia="Times New Roman" w:hAnsi="Times New Roman" w:cs="Times New Roman"/>
                <w:color w:val="000000"/>
                <w:kern w:val="0"/>
                <w:sz w:val="16"/>
                <w:szCs w:val="16"/>
                <w14:ligatures w14:val="none"/>
              </w:rPr>
              <w:t xml:space="preserve">, patients treated with radioiodine and antithyroid drug showed no differences in SF-36 </w:t>
            </w:r>
            <w:r>
              <w:rPr>
                <w:rFonts w:ascii="Times New Roman" w:eastAsia="Times New Roman" w:hAnsi="Times New Roman" w:cs="Times New Roman"/>
                <w:color w:val="000000"/>
                <w:kern w:val="0"/>
                <w:sz w:val="16"/>
                <w:szCs w:val="16"/>
                <w14:ligatures w14:val="none"/>
              </w:rPr>
              <w:t>results</w:t>
            </w:r>
            <w:r w:rsidRPr="00F31867">
              <w:rPr>
                <w:rFonts w:ascii="Times New Roman" w:eastAsia="Times New Roman" w:hAnsi="Times New Roman" w:cs="Times New Roman"/>
                <w:color w:val="000000"/>
                <w:kern w:val="0"/>
                <w:sz w:val="16"/>
                <w:szCs w:val="16"/>
                <w14:ligatures w14:val="none"/>
              </w:rPr>
              <w:t xml:space="preserve"> scores.</w:t>
            </w:r>
          </w:p>
        </w:tc>
      </w:tr>
      <w:tr w:rsidR="00322918" w:rsidRPr="00DA6535" w14:paraId="7606028A" w14:textId="77777777" w:rsidTr="0099168D">
        <w:trPr>
          <w:trHeight w:val="1250"/>
        </w:trPr>
        <w:tc>
          <w:tcPr>
            <w:tcW w:w="360" w:type="dxa"/>
            <w:vMerge/>
            <w:tcBorders>
              <w:left w:val="single" w:sz="4" w:space="0" w:color="auto"/>
              <w:bottom w:val="single" w:sz="4" w:space="0" w:color="auto"/>
              <w:right w:val="single" w:sz="4" w:space="0" w:color="auto"/>
            </w:tcBorders>
            <w:textDirection w:val="tbRl"/>
            <w:vAlign w:val="center"/>
            <w:hideMark/>
          </w:tcPr>
          <w:p w14:paraId="2E345478"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289948F3"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proofErr w:type="spellStart"/>
            <w:r w:rsidRPr="00F31867">
              <w:rPr>
                <w:rFonts w:ascii="Times New Roman" w:eastAsia="Times New Roman" w:hAnsi="Times New Roman" w:cs="Times New Roman"/>
                <w:color w:val="000000"/>
                <w:kern w:val="0"/>
                <w:sz w:val="16"/>
                <w:szCs w:val="16"/>
                <w14:ligatures w14:val="none"/>
              </w:rPr>
              <w:t>Mangelen</w:t>
            </w:r>
            <w:proofErr w:type="spellEnd"/>
            <w:r w:rsidRPr="00F31867">
              <w:rPr>
                <w:rFonts w:ascii="Times New Roman" w:eastAsia="Times New Roman" w:hAnsi="Times New Roman" w:cs="Times New Roman"/>
                <w:color w:val="000000"/>
                <w:kern w:val="0"/>
                <w:sz w:val="16"/>
                <w:szCs w:val="16"/>
                <w14:ligatures w14:val="none"/>
              </w:rPr>
              <w:t xml:space="preserve">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2017</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31</w:t>
            </w:r>
          </w:p>
        </w:tc>
        <w:tc>
          <w:tcPr>
            <w:tcW w:w="900" w:type="dxa"/>
            <w:tcBorders>
              <w:bottom w:val="single" w:sz="4" w:space="0" w:color="auto"/>
            </w:tcBorders>
            <w:vAlign w:val="center"/>
            <w:hideMark/>
          </w:tcPr>
          <w:p w14:paraId="1B90657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Philippines</w:t>
            </w:r>
          </w:p>
        </w:tc>
        <w:tc>
          <w:tcPr>
            <w:tcW w:w="1170" w:type="dxa"/>
            <w:tcBorders>
              <w:bottom w:val="single" w:sz="4" w:space="0" w:color="auto"/>
            </w:tcBorders>
            <w:vAlign w:val="center"/>
            <w:hideMark/>
          </w:tcPr>
          <w:p w14:paraId="0D90B81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(cross-sectional)</w:t>
            </w:r>
          </w:p>
        </w:tc>
        <w:tc>
          <w:tcPr>
            <w:tcW w:w="1440" w:type="dxa"/>
            <w:tcBorders>
              <w:bottom w:val="single" w:sz="4" w:space="0" w:color="auto"/>
            </w:tcBorders>
            <w:vAlign w:val="center"/>
            <w:hideMark/>
          </w:tcPr>
          <w:p w14:paraId="03F2C62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Euthyroid patients with </w:t>
            </w:r>
            <w:r w:rsidRPr="00F31867">
              <w:rPr>
                <w:rFonts w:ascii="Times New Roman" w:eastAsia="Times New Roman" w:hAnsi="Times New Roman" w:cs="Times New Roman"/>
                <w:color w:val="000000"/>
                <w:kern w:val="0"/>
                <w:sz w:val="16"/>
                <w:szCs w:val="16"/>
                <w14:ligatures w14:val="none"/>
              </w:rPr>
              <w:br/>
              <w:t>Graves’ disease</w:t>
            </w:r>
          </w:p>
        </w:tc>
        <w:tc>
          <w:tcPr>
            <w:tcW w:w="810" w:type="dxa"/>
            <w:tcBorders>
              <w:bottom w:val="single" w:sz="4" w:space="0" w:color="auto"/>
            </w:tcBorders>
            <w:vAlign w:val="center"/>
            <w:hideMark/>
          </w:tcPr>
          <w:p w14:paraId="13A8E62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810" w:type="dxa"/>
            <w:tcBorders>
              <w:bottom w:val="single" w:sz="4" w:space="0" w:color="auto"/>
            </w:tcBorders>
            <w:vAlign w:val="center"/>
            <w:hideMark/>
          </w:tcPr>
          <w:p w14:paraId="5191C55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bottom w:val="single" w:sz="4" w:space="0" w:color="auto"/>
            </w:tcBorders>
            <w:vAlign w:val="center"/>
            <w:hideMark/>
          </w:tcPr>
          <w:p w14:paraId="604CD21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58 (28 radioiodine; 30 methimazole)</w:t>
            </w:r>
          </w:p>
        </w:tc>
        <w:tc>
          <w:tcPr>
            <w:tcW w:w="1000" w:type="dxa"/>
            <w:tcBorders>
              <w:bottom w:val="single" w:sz="4" w:space="0" w:color="auto"/>
            </w:tcBorders>
            <w:vAlign w:val="center"/>
            <w:hideMark/>
          </w:tcPr>
          <w:p w14:paraId="7E25296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41.82 ± 15.22 (radioiodine); 44.52 ± 11.92 (antithyroid drug)</w:t>
            </w:r>
          </w:p>
        </w:tc>
        <w:tc>
          <w:tcPr>
            <w:tcW w:w="1070" w:type="dxa"/>
            <w:tcBorders>
              <w:bottom w:val="single" w:sz="4" w:space="0" w:color="auto"/>
            </w:tcBorders>
            <w:vAlign w:val="center"/>
            <w:hideMark/>
          </w:tcPr>
          <w:p w14:paraId="72B32FB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 xml:space="preserve"> </w:t>
            </w:r>
          </w:p>
        </w:tc>
        <w:tc>
          <w:tcPr>
            <w:tcW w:w="1170" w:type="dxa"/>
            <w:tcBorders>
              <w:bottom w:val="single" w:sz="4" w:space="0" w:color="auto"/>
            </w:tcBorders>
            <w:vAlign w:val="center"/>
            <w:hideMark/>
          </w:tcPr>
          <w:p w14:paraId="5F3A2F5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Antithyroid drug (not specified)</w:t>
            </w:r>
            <w:r w:rsidRPr="00F31867">
              <w:rPr>
                <w:rFonts w:ascii="Times New Roman" w:eastAsia="Times New Roman" w:hAnsi="Times New Roman" w:cs="Times New Roman"/>
                <w:color w:val="000000"/>
                <w:kern w:val="0"/>
                <w:sz w:val="16"/>
                <w:szCs w:val="16"/>
                <w14:ligatures w14:val="none"/>
              </w:rPr>
              <w:br/>
              <w:t>Radioiodine</w:t>
            </w:r>
          </w:p>
        </w:tc>
        <w:tc>
          <w:tcPr>
            <w:tcW w:w="1440" w:type="dxa"/>
            <w:tcBorders>
              <w:bottom w:val="single" w:sz="4" w:space="0" w:color="auto"/>
            </w:tcBorders>
            <w:vAlign w:val="center"/>
            <w:hideMark/>
          </w:tcPr>
          <w:p w14:paraId="5637B8F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7.76 ± 8.77 years (radioiodine); 3.28 ± 3.40 years (antithyroid drug)</w:t>
            </w:r>
          </w:p>
        </w:tc>
        <w:tc>
          <w:tcPr>
            <w:tcW w:w="3870" w:type="dxa"/>
            <w:tcBorders>
              <w:bottom w:val="single" w:sz="4" w:space="0" w:color="auto"/>
              <w:right w:val="single" w:sz="4" w:space="0" w:color="auto"/>
            </w:tcBorders>
            <w:vAlign w:val="center"/>
            <w:hideMark/>
          </w:tcPr>
          <w:p w14:paraId="32BF755B"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The radioiodine group showed significantly better outcomes than the antithyroid drug group in goiter symptoms, emotional susceptibility, and impaired daily life. Differences in the remaining domains tended to favor the radioiodine group but were not statistically significant.</w:t>
            </w:r>
          </w:p>
        </w:tc>
      </w:tr>
      <w:tr w:rsidR="00322918" w:rsidRPr="00DA6535" w14:paraId="427F8268" w14:textId="77777777" w:rsidTr="0099168D">
        <w:trPr>
          <w:trHeight w:val="1214"/>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5F9C6A35" w14:textId="77777777" w:rsidR="00322918" w:rsidRPr="00F31867" w:rsidRDefault="00322918" w:rsidP="0099168D">
            <w:pPr>
              <w:spacing w:after="0" w:line="240" w:lineRule="auto"/>
              <w:ind w:left="113" w:right="113"/>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Antithyroid drug vs Surgery</w:t>
            </w:r>
          </w:p>
        </w:tc>
        <w:tc>
          <w:tcPr>
            <w:tcW w:w="900" w:type="dxa"/>
            <w:tcBorders>
              <w:top w:val="single" w:sz="4" w:space="0" w:color="auto"/>
              <w:left w:val="single" w:sz="4" w:space="0" w:color="auto"/>
            </w:tcBorders>
            <w:shd w:val="clear" w:color="auto" w:fill="E8E8E8" w:themeFill="background2"/>
            <w:vAlign w:val="center"/>
            <w:hideMark/>
          </w:tcPr>
          <w:p w14:paraId="0EA359AF"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Ismailov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2020</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24</w:t>
            </w:r>
          </w:p>
        </w:tc>
        <w:tc>
          <w:tcPr>
            <w:tcW w:w="900" w:type="dxa"/>
            <w:tcBorders>
              <w:top w:val="single" w:sz="4" w:space="0" w:color="auto"/>
            </w:tcBorders>
            <w:shd w:val="clear" w:color="auto" w:fill="E8E8E8" w:themeFill="background2"/>
            <w:vAlign w:val="center"/>
            <w:hideMark/>
          </w:tcPr>
          <w:p w14:paraId="2BB44DA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Uzbekistan</w:t>
            </w:r>
          </w:p>
        </w:tc>
        <w:tc>
          <w:tcPr>
            <w:tcW w:w="1170" w:type="dxa"/>
            <w:tcBorders>
              <w:top w:val="single" w:sz="4" w:space="0" w:color="auto"/>
            </w:tcBorders>
            <w:shd w:val="clear" w:color="auto" w:fill="E8E8E8" w:themeFill="background2"/>
            <w:vAlign w:val="center"/>
            <w:hideMark/>
          </w:tcPr>
          <w:p w14:paraId="3F144A5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(retrospective cohort)</w:t>
            </w:r>
          </w:p>
        </w:tc>
        <w:tc>
          <w:tcPr>
            <w:tcW w:w="1440" w:type="dxa"/>
            <w:tcBorders>
              <w:top w:val="single" w:sz="4" w:space="0" w:color="auto"/>
            </w:tcBorders>
            <w:shd w:val="clear" w:color="auto" w:fill="E8E8E8" w:themeFill="background2"/>
            <w:vAlign w:val="center"/>
            <w:hideMark/>
          </w:tcPr>
          <w:p w14:paraId="08751F2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Patients with thyroid pathology (like Graves’ disease) who sought medical service of endocrinological </w:t>
            </w:r>
            <w:r w:rsidRPr="00F31867">
              <w:rPr>
                <w:rFonts w:ascii="Times New Roman" w:eastAsia="Times New Roman" w:hAnsi="Times New Roman" w:cs="Times New Roman"/>
                <w:color w:val="000000"/>
                <w:kern w:val="0"/>
                <w:sz w:val="16"/>
                <w:szCs w:val="16"/>
                <w14:ligatures w14:val="none"/>
              </w:rPr>
              <w:br/>
              <w:t>dispensary (18-65 years)</w:t>
            </w:r>
          </w:p>
        </w:tc>
        <w:tc>
          <w:tcPr>
            <w:tcW w:w="810" w:type="dxa"/>
            <w:tcBorders>
              <w:top w:val="single" w:sz="4" w:space="0" w:color="auto"/>
            </w:tcBorders>
            <w:shd w:val="clear" w:color="auto" w:fill="E8E8E8" w:themeFill="background2"/>
            <w:vAlign w:val="center"/>
            <w:hideMark/>
          </w:tcPr>
          <w:p w14:paraId="10383D4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2014 - 2019</w:t>
            </w:r>
          </w:p>
        </w:tc>
        <w:tc>
          <w:tcPr>
            <w:tcW w:w="810" w:type="dxa"/>
            <w:tcBorders>
              <w:top w:val="single" w:sz="4" w:space="0" w:color="auto"/>
            </w:tcBorders>
            <w:shd w:val="clear" w:color="auto" w:fill="E8E8E8" w:themeFill="background2"/>
            <w:vAlign w:val="center"/>
            <w:hideMark/>
          </w:tcPr>
          <w:p w14:paraId="5893DC81"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top w:val="single" w:sz="4" w:space="0" w:color="auto"/>
            </w:tcBorders>
            <w:shd w:val="clear" w:color="auto" w:fill="E8E8E8" w:themeFill="background2"/>
            <w:vAlign w:val="center"/>
            <w:hideMark/>
          </w:tcPr>
          <w:p w14:paraId="3B7F298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54 (30 antithyroid drug; 24 surgery)</w:t>
            </w:r>
          </w:p>
        </w:tc>
        <w:tc>
          <w:tcPr>
            <w:tcW w:w="1000" w:type="dxa"/>
            <w:tcBorders>
              <w:top w:val="single" w:sz="4" w:space="0" w:color="auto"/>
            </w:tcBorders>
            <w:shd w:val="clear" w:color="auto" w:fill="E8E8E8" w:themeFill="background2"/>
            <w:vAlign w:val="center"/>
            <w:hideMark/>
          </w:tcPr>
          <w:p w14:paraId="1869637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1070" w:type="dxa"/>
            <w:tcBorders>
              <w:top w:val="single" w:sz="4" w:space="0" w:color="auto"/>
            </w:tcBorders>
            <w:shd w:val="clear" w:color="auto" w:fill="E8E8E8" w:themeFill="background2"/>
            <w:vAlign w:val="center"/>
            <w:hideMark/>
          </w:tcPr>
          <w:p w14:paraId="1E194E8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tcBorders>
              <w:top w:val="single" w:sz="4" w:space="0" w:color="auto"/>
            </w:tcBorders>
            <w:shd w:val="clear" w:color="auto" w:fill="E8E8E8" w:themeFill="background2"/>
            <w:vAlign w:val="center"/>
            <w:hideMark/>
          </w:tcPr>
          <w:p w14:paraId="4BE7694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Antithyroid drug (not specified)</w:t>
            </w:r>
            <w:r w:rsidRPr="00F31867">
              <w:rPr>
                <w:rFonts w:ascii="Times New Roman" w:eastAsia="Times New Roman" w:hAnsi="Times New Roman" w:cs="Times New Roman"/>
                <w:color w:val="000000"/>
                <w:kern w:val="0"/>
                <w:sz w:val="16"/>
                <w:szCs w:val="16"/>
                <w14:ligatures w14:val="none"/>
              </w:rPr>
              <w:br/>
              <w:t>Thyroidectomy (Total and subtotal)</w:t>
            </w:r>
          </w:p>
        </w:tc>
        <w:tc>
          <w:tcPr>
            <w:tcW w:w="1440" w:type="dxa"/>
            <w:tcBorders>
              <w:top w:val="single" w:sz="4" w:space="0" w:color="auto"/>
            </w:tcBorders>
            <w:shd w:val="clear" w:color="auto" w:fill="E8E8E8" w:themeFill="background2"/>
            <w:vAlign w:val="center"/>
            <w:hideMark/>
          </w:tcPr>
          <w:p w14:paraId="07BE1AB7"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≥3 years (antithyroid drug); NR (surgery group)</w:t>
            </w:r>
          </w:p>
        </w:tc>
        <w:tc>
          <w:tcPr>
            <w:tcW w:w="3870" w:type="dxa"/>
            <w:tcBorders>
              <w:top w:val="single" w:sz="4" w:space="0" w:color="auto"/>
              <w:right w:val="single" w:sz="4" w:space="0" w:color="auto"/>
            </w:tcBorders>
            <w:shd w:val="clear" w:color="auto" w:fill="E8E8E8" w:themeFill="background2"/>
            <w:vAlign w:val="center"/>
            <w:hideMark/>
          </w:tcPr>
          <w:p w14:paraId="23139D1F"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who underwent surgery reported significantly better outcomes than those treated with antithyroid drugs in physical functioning, vitality, role-emotional (emotional functioning), and mental health (psychological health).</w:t>
            </w:r>
          </w:p>
        </w:tc>
      </w:tr>
      <w:tr w:rsidR="00322918" w:rsidRPr="00DA6535" w14:paraId="0FF890C2" w14:textId="77777777" w:rsidTr="0099168D">
        <w:trPr>
          <w:trHeight w:val="1636"/>
        </w:trPr>
        <w:tc>
          <w:tcPr>
            <w:tcW w:w="360" w:type="dxa"/>
            <w:vMerge/>
            <w:tcBorders>
              <w:left w:val="single" w:sz="4" w:space="0" w:color="auto"/>
              <w:bottom w:val="single" w:sz="4" w:space="0" w:color="auto"/>
              <w:right w:val="single" w:sz="4" w:space="0" w:color="auto"/>
            </w:tcBorders>
            <w:textDirection w:val="tbRl"/>
            <w:vAlign w:val="center"/>
            <w:hideMark/>
          </w:tcPr>
          <w:p w14:paraId="30BAA8F2"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03F02B9A"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proofErr w:type="spellStart"/>
            <w:r w:rsidRPr="00F31867">
              <w:rPr>
                <w:rFonts w:ascii="Times New Roman" w:eastAsia="Times New Roman" w:hAnsi="Times New Roman" w:cs="Times New Roman"/>
                <w:color w:val="000000"/>
                <w:kern w:val="0"/>
                <w:sz w:val="16"/>
                <w:szCs w:val="16"/>
                <w14:ligatures w14:val="none"/>
              </w:rPr>
              <w:t>Urunbayeva</w:t>
            </w:r>
            <w:proofErr w:type="spellEnd"/>
            <w:r w:rsidRPr="00F31867">
              <w:rPr>
                <w:rFonts w:ascii="Times New Roman" w:eastAsia="Times New Roman" w:hAnsi="Times New Roman" w:cs="Times New Roman"/>
                <w:color w:val="000000"/>
                <w:kern w:val="0"/>
                <w:sz w:val="16"/>
                <w:szCs w:val="16"/>
                <w14:ligatures w14:val="none"/>
              </w:rPr>
              <w:t xml:space="preserve">,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2025</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25</w:t>
            </w:r>
          </w:p>
        </w:tc>
        <w:tc>
          <w:tcPr>
            <w:tcW w:w="900" w:type="dxa"/>
            <w:tcBorders>
              <w:bottom w:val="single" w:sz="4" w:space="0" w:color="auto"/>
            </w:tcBorders>
            <w:vAlign w:val="center"/>
            <w:hideMark/>
          </w:tcPr>
          <w:p w14:paraId="2FC564B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Uzbekistan</w:t>
            </w:r>
          </w:p>
        </w:tc>
        <w:tc>
          <w:tcPr>
            <w:tcW w:w="1170" w:type="dxa"/>
            <w:tcBorders>
              <w:bottom w:val="single" w:sz="4" w:space="0" w:color="auto"/>
            </w:tcBorders>
            <w:vAlign w:val="center"/>
            <w:hideMark/>
          </w:tcPr>
          <w:p w14:paraId="42B4F1E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(cross-sectional)</w:t>
            </w:r>
          </w:p>
        </w:tc>
        <w:tc>
          <w:tcPr>
            <w:tcW w:w="1440" w:type="dxa"/>
            <w:tcBorders>
              <w:bottom w:val="single" w:sz="4" w:space="0" w:color="auto"/>
            </w:tcBorders>
            <w:vAlign w:val="center"/>
            <w:hideMark/>
          </w:tcPr>
          <w:p w14:paraId="32B03030"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Patients </w:t>
            </w:r>
            <w:r w:rsidRPr="00F31867">
              <w:rPr>
                <w:rFonts w:ascii="Times New Roman" w:eastAsia="Times New Roman" w:hAnsi="Times New Roman" w:cs="Times New Roman"/>
                <w:color w:val="000000"/>
                <w:kern w:val="0"/>
                <w:sz w:val="16"/>
                <w:szCs w:val="16"/>
                <w14:ligatures w14:val="none"/>
              </w:rPr>
              <w:br/>
              <w:t>with Graves' disease</w:t>
            </w:r>
          </w:p>
        </w:tc>
        <w:tc>
          <w:tcPr>
            <w:tcW w:w="810" w:type="dxa"/>
            <w:tcBorders>
              <w:bottom w:val="single" w:sz="4" w:space="0" w:color="auto"/>
            </w:tcBorders>
            <w:vAlign w:val="center"/>
            <w:hideMark/>
          </w:tcPr>
          <w:p w14:paraId="2C35670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810" w:type="dxa"/>
            <w:tcBorders>
              <w:bottom w:val="single" w:sz="4" w:space="0" w:color="auto"/>
            </w:tcBorders>
            <w:vAlign w:val="center"/>
            <w:hideMark/>
          </w:tcPr>
          <w:p w14:paraId="17BF076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990" w:type="dxa"/>
            <w:tcBorders>
              <w:bottom w:val="single" w:sz="4" w:space="0" w:color="auto"/>
            </w:tcBorders>
            <w:vAlign w:val="center"/>
            <w:hideMark/>
          </w:tcPr>
          <w:p w14:paraId="168B142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57 (39 antithyroid drug; 18 surgery)</w:t>
            </w:r>
          </w:p>
        </w:tc>
        <w:tc>
          <w:tcPr>
            <w:tcW w:w="1000" w:type="dxa"/>
            <w:tcBorders>
              <w:bottom w:val="single" w:sz="4" w:space="0" w:color="auto"/>
            </w:tcBorders>
            <w:vAlign w:val="center"/>
            <w:hideMark/>
          </w:tcPr>
          <w:p w14:paraId="7090853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42.9 ± 0.86</w:t>
            </w:r>
          </w:p>
        </w:tc>
        <w:tc>
          <w:tcPr>
            <w:tcW w:w="1070" w:type="dxa"/>
            <w:tcBorders>
              <w:bottom w:val="single" w:sz="4" w:space="0" w:color="auto"/>
            </w:tcBorders>
            <w:vAlign w:val="center"/>
            <w:hideMark/>
          </w:tcPr>
          <w:p w14:paraId="73545F0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tcBorders>
              <w:bottom w:val="single" w:sz="4" w:space="0" w:color="auto"/>
            </w:tcBorders>
            <w:vAlign w:val="center"/>
            <w:hideMark/>
          </w:tcPr>
          <w:p w14:paraId="06CEA91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Antithyroid drug (not specified)</w:t>
            </w:r>
            <w:r w:rsidRPr="00F31867">
              <w:rPr>
                <w:rFonts w:ascii="Times New Roman" w:eastAsia="Times New Roman" w:hAnsi="Times New Roman" w:cs="Times New Roman"/>
                <w:color w:val="000000"/>
                <w:kern w:val="0"/>
                <w:sz w:val="16"/>
                <w:szCs w:val="16"/>
                <w14:ligatures w14:val="none"/>
              </w:rPr>
              <w:br/>
              <w:t>Thyroidectomy</w:t>
            </w:r>
          </w:p>
        </w:tc>
        <w:tc>
          <w:tcPr>
            <w:tcW w:w="1440" w:type="dxa"/>
            <w:tcBorders>
              <w:bottom w:val="single" w:sz="4" w:space="0" w:color="auto"/>
            </w:tcBorders>
            <w:vAlign w:val="center"/>
            <w:hideMark/>
          </w:tcPr>
          <w:p w14:paraId="4138F86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3870" w:type="dxa"/>
            <w:tcBorders>
              <w:bottom w:val="single" w:sz="4" w:space="0" w:color="auto"/>
              <w:right w:val="single" w:sz="4" w:space="0" w:color="auto"/>
            </w:tcBorders>
            <w:vAlign w:val="center"/>
            <w:hideMark/>
          </w:tcPr>
          <w:p w14:paraId="419F1BC1"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Surgery group had statistically significant better scores from the antithyroid drug group in physical functioning, vitality, role-emotional (emotional functioning), and mental health (psychological health).</w:t>
            </w:r>
          </w:p>
        </w:tc>
      </w:tr>
      <w:tr w:rsidR="00322918" w:rsidRPr="00DA6535" w14:paraId="35F3F106" w14:textId="77777777" w:rsidTr="0099168D">
        <w:trPr>
          <w:trHeight w:val="2330"/>
        </w:trPr>
        <w:tc>
          <w:tcPr>
            <w:tcW w:w="36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4DD62D8E" w14:textId="77777777" w:rsidR="00322918" w:rsidRPr="00F31867" w:rsidRDefault="00322918" w:rsidP="0099168D">
            <w:pPr>
              <w:spacing w:after="0" w:line="240" w:lineRule="auto"/>
              <w:ind w:left="113" w:right="113"/>
              <w:jc w:val="center"/>
              <w:rPr>
                <w:rFonts w:ascii="Times New Roman" w:eastAsia="Times New Roman" w:hAnsi="Times New Roman" w:cs="Times New Roman"/>
                <w:b/>
                <w:bCs/>
                <w:color w:val="000000"/>
                <w:kern w:val="0"/>
                <w:sz w:val="16"/>
                <w:szCs w:val="16"/>
                <w14:ligatures w14:val="none"/>
              </w:rPr>
            </w:pPr>
            <w:r w:rsidRPr="00F31867">
              <w:rPr>
                <w:rFonts w:ascii="Times New Roman" w:eastAsia="Times New Roman" w:hAnsi="Times New Roman" w:cs="Times New Roman"/>
                <w:b/>
                <w:bCs/>
                <w:color w:val="000000"/>
                <w:kern w:val="0"/>
                <w:sz w:val="16"/>
                <w:szCs w:val="16"/>
                <w14:ligatures w14:val="none"/>
              </w:rPr>
              <w:t>Antithyroid drug vs surgery vs radioiodine</w:t>
            </w:r>
          </w:p>
        </w:tc>
        <w:tc>
          <w:tcPr>
            <w:tcW w:w="900" w:type="dxa"/>
            <w:tcBorders>
              <w:top w:val="single" w:sz="4" w:space="0" w:color="auto"/>
              <w:left w:val="single" w:sz="4" w:space="0" w:color="auto"/>
            </w:tcBorders>
            <w:shd w:val="clear" w:color="auto" w:fill="E8E8E8" w:themeFill="background2"/>
            <w:vAlign w:val="center"/>
            <w:hideMark/>
          </w:tcPr>
          <w:p w14:paraId="2C9E7A94" w14:textId="77777777" w:rsidR="00322918" w:rsidRPr="00C77E26"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Abraham-Nordling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2005</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27</w:t>
            </w:r>
          </w:p>
        </w:tc>
        <w:tc>
          <w:tcPr>
            <w:tcW w:w="900" w:type="dxa"/>
            <w:tcBorders>
              <w:top w:val="single" w:sz="4" w:space="0" w:color="auto"/>
            </w:tcBorders>
            <w:shd w:val="clear" w:color="auto" w:fill="E8E8E8" w:themeFill="background2"/>
            <w:vAlign w:val="center"/>
            <w:hideMark/>
          </w:tcPr>
          <w:p w14:paraId="56D1390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Sweden</w:t>
            </w:r>
          </w:p>
        </w:tc>
        <w:tc>
          <w:tcPr>
            <w:tcW w:w="1170" w:type="dxa"/>
            <w:tcBorders>
              <w:top w:val="single" w:sz="4" w:space="0" w:color="auto"/>
            </w:tcBorders>
            <w:shd w:val="clear" w:color="auto" w:fill="E8E8E8" w:themeFill="background2"/>
            <w:vAlign w:val="center"/>
            <w:hideMark/>
          </w:tcPr>
          <w:p w14:paraId="3384F93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(long term follow-up of a randomized controlled trial)</w:t>
            </w:r>
          </w:p>
        </w:tc>
        <w:tc>
          <w:tcPr>
            <w:tcW w:w="1440" w:type="dxa"/>
            <w:tcBorders>
              <w:top w:val="single" w:sz="4" w:space="0" w:color="auto"/>
            </w:tcBorders>
            <w:shd w:val="clear" w:color="auto" w:fill="E8E8E8" w:themeFill="background2"/>
            <w:vAlign w:val="center"/>
            <w:hideMark/>
          </w:tcPr>
          <w:p w14:paraId="0F5A682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with Graves' hyperthyroidism (20-55 years old)</w:t>
            </w:r>
          </w:p>
        </w:tc>
        <w:tc>
          <w:tcPr>
            <w:tcW w:w="810" w:type="dxa"/>
            <w:tcBorders>
              <w:top w:val="single" w:sz="4" w:space="0" w:color="auto"/>
            </w:tcBorders>
            <w:shd w:val="clear" w:color="auto" w:fill="E8E8E8" w:themeFill="background2"/>
            <w:vAlign w:val="center"/>
            <w:hideMark/>
          </w:tcPr>
          <w:p w14:paraId="1A59CB6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November 1983 - June 1990</w:t>
            </w:r>
          </w:p>
        </w:tc>
        <w:tc>
          <w:tcPr>
            <w:tcW w:w="810" w:type="dxa"/>
            <w:tcBorders>
              <w:top w:val="single" w:sz="4" w:space="0" w:color="auto"/>
            </w:tcBorders>
            <w:shd w:val="clear" w:color="auto" w:fill="E8E8E8" w:themeFill="background2"/>
            <w:vAlign w:val="center"/>
            <w:hideMark/>
          </w:tcPr>
          <w:p w14:paraId="01DDDDB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tcBorders>
              <w:top w:val="single" w:sz="4" w:space="0" w:color="auto"/>
            </w:tcBorders>
            <w:shd w:val="clear" w:color="auto" w:fill="E8E8E8" w:themeFill="background2"/>
            <w:vAlign w:val="center"/>
            <w:hideMark/>
          </w:tcPr>
          <w:p w14:paraId="37900D3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145 (22 young adult surgery; 19 young adult antithyroid drug; 34 older adult surgery; 36 older adult antithyroid drug; 34 older adult radioiodine)</w:t>
            </w:r>
          </w:p>
        </w:tc>
        <w:tc>
          <w:tcPr>
            <w:tcW w:w="1000" w:type="dxa"/>
            <w:tcBorders>
              <w:top w:val="single" w:sz="4" w:space="0" w:color="auto"/>
            </w:tcBorders>
            <w:shd w:val="clear" w:color="auto" w:fill="E8E8E8" w:themeFill="background2"/>
            <w:vAlign w:val="center"/>
            <w:hideMark/>
          </w:tcPr>
          <w:p w14:paraId="2C57353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NR</w:t>
            </w:r>
          </w:p>
        </w:tc>
        <w:tc>
          <w:tcPr>
            <w:tcW w:w="1070" w:type="dxa"/>
            <w:tcBorders>
              <w:top w:val="single" w:sz="4" w:space="0" w:color="auto"/>
            </w:tcBorders>
            <w:shd w:val="clear" w:color="auto" w:fill="E8E8E8" w:themeFill="background2"/>
            <w:vAlign w:val="center"/>
            <w:hideMark/>
          </w:tcPr>
          <w:p w14:paraId="28A09D93" w14:textId="77777777" w:rsidR="00322918" w:rsidRPr="00F31867" w:rsidRDefault="00322918" w:rsidP="0099168D">
            <w:pPr>
              <w:spacing w:after="24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tcBorders>
              <w:top w:val="single" w:sz="4" w:space="0" w:color="auto"/>
            </w:tcBorders>
            <w:shd w:val="clear" w:color="auto" w:fill="E8E8E8" w:themeFill="background2"/>
            <w:vAlign w:val="center"/>
            <w:hideMark/>
          </w:tcPr>
          <w:p w14:paraId="34C9E52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Methimazole</w:t>
            </w:r>
            <w:r w:rsidRPr="00F31867">
              <w:rPr>
                <w:rFonts w:ascii="Times New Roman" w:eastAsia="Times New Roman" w:hAnsi="Times New Roman" w:cs="Times New Roman"/>
                <w:color w:val="000000"/>
                <w:kern w:val="0"/>
                <w:sz w:val="16"/>
                <w:szCs w:val="16"/>
                <w14:ligatures w14:val="none"/>
              </w:rPr>
              <w:br/>
              <w:t>Subtotal thyroidectomy</w:t>
            </w:r>
            <w:r w:rsidRPr="00F31867">
              <w:rPr>
                <w:rFonts w:ascii="Times New Roman" w:eastAsia="Times New Roman" w:hAnsi="Times New Roman" w:cs="Times New Roman"/>
                <w:color w:val="000000"/>
                <w:kern w:val="0"/>
                <w:sz w:val="16"/>
                <w:szCs w:val="16"/>
                <w14:ligatures w14:val="none"/>
              </w:rPr>
              <w:br/>
              <w:t>Radioiodine</w:t>
            </w:r>
          </w:p>
        </w:tc>
        <w:tc>
          <w:tcPr>
            <w:tcW w:w="1440" w:type="dxa"/>
            <w:tcBorders>
              <w:top w:val="single" w:sz="4" w:space="0" w:color="auto"/>
            </w:tcBorders>
            <w:shd w:val="clear" w:color="auto" w:fill="E8E8E8" w:themeFill="background2"/>
            <w:vAlign w:val="center"/>
            <w:hideMark/>
          </w:tcPr>
          <w:p w14:paraId="4068A6F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14–21 years</w:t>
            </w:r>
          </w:p>
        </w:tc>
        <w:tc>
          <w:tcPr>
            <w:tcW w:w="3870" w:type="dxa"/>
            <w:tcBorders>
              <w:top w:val="single" w:sz="4" w:space="0" w:color="auto"/>
              <w:right w:val="single" w:sz="4" w:space="0" w:color="auto"/>
            </w:tcBorders>
            <w:shd w:val="clear" w:color="auto" w:fill="E8E8E8" w:themeFill="background2"/>
            <w:vAlign w:val="center"/>
            <w:hideMark/>
          </w:tcPr>
          <w:p w14:paraId="09DB1CFE"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In young adults, there were no significant differences between surgery and antithyroid drug treatment in the physical component summary or mental component summary scores, and no differences in individual subscales. </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In older adults, there were no significant differences among surgery, antithyroid drug, and radioiodine treatment in physical component summary or mental component summary scores</w:t>
            </w:r>
            <w:r>
              <w:rPr>
                <w:rFonts w:ascii="Times New Roman" w:eastAsia="Times New Roman" w:hAnsi="Times New Roman" w:cs="Times New Roman"/>
                <w:color w:val="000000"/>
                <w:kern w:val="0"/>
                <w:sz w:val="16"/>
                <w:szCs w:val="16"/>
                <w14:ligatures w14:val="none"/>
              </w:rPr>
              <w:t xml:space="preserve"> and individual subscales</w:t>
            </w:r>
            <w:r w:rsidRPr="00F31867">
              <w:rPr>
                <w:rFonts w:ascii="Times New Roman" w:eastAsia="Times New Roman" w:hAnsi="Times New Roman" w:cs="Times New Roman"/>
                <w:color w:val="000000"/>
                <w:kern w:val="0"/>
                <w:sz w:val="16"/>
                <w:szCs w:val="16"/>
                <w14:ligatures w14:val="none"/>
              </w:rPr>
              <w:t>, with a slight trend toward lower physical scores (physical functioning, role-physical, bodily pain) in the surgery group.</w:t>
            </w:r>
          </w:p>
        </w:tc>
      </w:tr>
      <w:tr w:rsidR="00322918" w:rsidRPr="00DA6535" w14:paraId="284D4294" w14:textId="77777777" w:rsidTr="0099168D">
        <w:trPr>
          <w:trHeight w:val="3031"/>
        </w:trPr>
        <w:tc>
          <w:tcPr>
            <w:tcW w:w="360" w:type="dxa"/>
            <w:vMerge/>
            <w:tcBorders>
              <w:left w:val="single" w:sz="4" w:space="0" w:color="auto"/>
              <w:bottom w:val="single" w:sz="4" w:space="0" w:color="auto"/>
              <w:right w:val="single" w:sz="4" w:space="0" w:color="auto"/>
            </w:tcBorders>
            <w:textDirection w:val="tbRl"/>
            <w:vAlign w:val="center"/>
            <w:hideMark/>
          </w:tcPr>
          <w:p w14:paraId="6A724839"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tcBorders>
            <w:vAlign w:val="center"/>
            <w:hideMark/>
          </w:tcPr>
          <w:p w14:paraId="3D4992C4" w14:textId="77777777" w:rsidR="00322918" w:rsidRPr="00432A63"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Riguetto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2019</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26</w:t>
            </w:r>
          </w:p>
        </w:tc>
        <w:tc>
          <w:tcPr>
            <w:tcW w:w="900" w:type="dxa"/>
            <w:vAlign w:val="center"/>
            <w:hideMark/>
          </w:tcPr>
          <w:p w14:paraId="4A903DC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Brazil</w:t>
            </w:r>
          </w:p>
        </w:tc>
        <w:tc>
          <w:tcPr>
            <w:tcW w:w="1170" w:type="dxa"/>
            <w:vAlign w:val="center"/>
            <w:hideMark/>
          </w:tcPr>
          <w:p w14:paraId="1A9F97B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(cross-sectional)</w:t>
            </w:r>
          </w:p>
        </w:tc>
        <w:tc>
          <w:tcPr>
            <w:tcW w:w="1440" w:type="dxa"/>
            <w:vAlign w:val="center"/>
            <w:hideMark/>
          </w:tcPr>
          <w:p w14:paraId="778C5B2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with Graves’ disease followed at the Thyroid Disease Unit in</w:t>
            </w:r>
            <w:r w:rsidRPr="00F31867">
              <w:rPr>
                <w:rFonts w:ascii="Times New Roman" w:eastAsia="Times New Roman" w:hAnsi="Times New Roman" w:cs="Times New Roman"/>
                <w:color w:val="000000"/>
                <w:kern w:val="0"/>
                <w:sz w:val="16"/>
                <w:szCs w:val="16"/>
                <w14:ligatures w14:val="none"/>
              </w:rPr>
              <w:br/>
              <w:t>a tertiary Endocrinology Department (≥18 years old)</w:t>
            </w:r>
          </w:p>
        </w:tc>
        <w:tc>
          <w:tcPr>
            <w:tcW w:w="810" w:type="dxa"/>
            <w:vAlign w:val="center"/>
            <w:hideMark/>
          </w:tcPr>
          <w:p w14:paraId="5E92349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October 2015 - October 2018</w:t>
            </w:r>
          </w:p>
        </w:tc>
        <w:tc>
          <w:tcPr>
            <w:tcW w:w="810" w:type="dxa"/>
            <w:vAlign w:val="center"/>
            <w:hideMark/>
          </w:tcPr>
          <w:p w14:paraId="29F99400"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vAlign w:val="center"/>
            <w:hideMark/>
          </w:tcPr>
          <w:p w14:paraId="66AF8E7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105 (58 radioiodine; 20 </w:t>
            </w:r>
            <w:proofErr w:type="gramStart"/>
            <w:r w:rsidRPr="00F31867">
              <w:rPr>
                <w:rFonts w:ascii="Times New Roman" w:eastAsia="Times New Roman" w:hAnsi="Times New Roman" w:cs="Times New Roman"/>
                <w:color w:val="000000"/>
                <w:kern w:val="0"/>
                <w:sz w:val="16"/>
                <w:szCs w:val="16"/>
                <w14:ligatures w14:val="none"/>
              </w:rPr>
              <w:t>surgery</w:t>
            </w:r>
            <w:proofErr w:type="gramEnd"/>
            <w:r w:rsidRPr="00F31867">
              <w:rPr>
                <w:rFonts w:ascii="Times New Roman" w:eastAsia="Times New Roman" w:hAnsi="Times New Roman" w:cs="Times New Roman"/>
                <w:color w:val="000000"/>
                <w:kern w:val="0"/>
                <w:sz w:val="16"/>
                <w:szCs w:val="16"/>
                <w14:ligatures w14:val="none"/>
              </w:rPr>
              <w:t>; 27 antithyroid drug)</w:t>
            </w:r>
          </w:p>
        </w:tc>
        <w:tc>
          <w:tcPr>
            <w:tcW w:w="1000" w:type="dxa"/>
            <w:vAlign w:val="center"/>
            <w:hideMark/>
          </w:tcPr>
          <w:p w14:paraId="77F9CD4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45.67 ± 11.21 (total population)</w:t>
            </w:r>
          </w:p>
        </w:tc>
        <w:tc>
          <w:tcPr>
            <w:tcW w:w="1070" w:type="dxa"/>
            <w:vAlign w:val="center"/>
            <w:hideMark/>
          </w:tcPr>
          <w:p w14:paraId="45456A19"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SF-36</w:t>
            </w:r>
          </w:p>
        </w:tc>
        <w:tc>
          <w:tcPr>
            <w:tcW w:w="1170" w:type="dxa"/>
            <w:vAlign w:val="center"/>
            <w:hideMark/>
          </w:tcPr>
          <w:p w14:paraId="13040F3C"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Methimazole</w:t>
            </w:r>
            <w:r w:rsidRPr="00F31867">
              <w:rPr>
                <w:rFonts w:ascii="Times New Roman" w:eastAsia="Times New Roman" w:hAnsi="Times New Roman" w:cs="Times New Roman"/>
                <w:color w:val="000000"/>
                <w:kern w:val="0"/>
                <w:sz w:val="16"/>
                <w:szCs w:val="16"/>
                <w14:ligatures w14:val="none"/>
              </w:rPr>
              <w:br/>
              <w:t>Thyroidectomy</w:t>
            </w:r>
            <w:r w:rsidRPr="00F31867">
              <w:rPr>
                <w:rFonts w:ascii="Times New Roman" w:eastAsia="Times New Roman" w:hAnsi="Times New Roman" w:cs="Times New Roman"/>
                <w:color w:val="000000"/>
                <w:kern w:val="0"/>
                <w:sz w:val="16"/>
                <w:szCs w:val="16"/>
                <w14:ligatures w14:val="none"/>
              </w:rPr>
              <w:br/>
              <w:t>Radioiodine</w:t>
            </w:r>
          </w:p>
        </w:tc>
        <w:tc>
          <w:tcPr>
            <w:tcW w:w="1440" w:type="dxa"/>
            <w:vAlign w:val="center"/>
            <w:hideMark/>
          </w:tcPr>
          <w:p w14:paraId="1DC9359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73.34 ± 64.19 months (total population)</w:t>
            </w:r>
          </w:p>
        </w:tc>
        <w:tc>
          <w:tcPr>
            <w:tcW w:w="3870" w:type="dxa"/>
            <w:tcBorders>
              <w:right w:val="single" w:sz="4" w:space="0" w:color="auto"/>
            </w:tcBorders>
            <w:vAlign w:val="center"/>
            <w:hideMark/>
          </w:tcPr>
          <w:p w14:paraId="4B19653A"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DC2FC3">
              <w:rPr>
                <w:rFonts w:ascii="Times New Roman" w:eastAsia="Times New Roman" w:hAnsi="Times New Roman" w:cs="Times New Roman"/>
                <w:color w:val="000000"/>
                <w:kern w:val="0"/>
                <w:sz w:val="16"/>
                <w:szCs w:val="16"/>
                <w14:ligatures w14:val="none"/>
              </w:rPr>
              <w:t>Quality of life scores showed no significant differences between surgery, ATD, and RAI across most SF-36 domains; however, role-physical (physical role functioning) differed</w:t>
            </w:r>
            <w:r>
              <w:rPr>
                <w:rFonts w:ascii="Times New Roman" w:eastAsia="Times New Roman" w:hAnsi="Times New Roman" w:cs="Times New Roman"/>
                <w:color w:val="000000"/>
                <w:kern w:val="0"/>
                <w:sz w:val="16"/>
                <w:szCs w:val="16"/>
                <w14:ligatures w14:val="none"/>
              </w:rPr>
              <w:t>. S</w:t>
            </w:r>
            <w:r w:rsidRPr="00DC2FC3">
              <w:rPr>
                <w:rFonts w:ascii="Times New Roman" w:eastAsia="Times New Roman" w:hAnsi="Times New Roman" w:cs="Times New Roman"/>
                <w:color w:val="000000"/>
                <w:kern w:val="0"/>
                <w:sz w:val="16"/>
                <w:szCs w:val="16"/>
                <w14:ligatures w14:val="none"/>
              </w:rPr>
              <w:t>cores were highest in disease remission</w:t>
            </w:r>
            <w:r>
              <w:rPr>
                <w:rFonts w:ascii="Times New Roman" w:eastAsia="Times New Roman" w:hAnsi="Times New Roman" w:cs="Times New Roman"/>
                <w:color w:val="000000"/>
                <w:kern w:val="0"/>
                <w:sz w:val="16"/>
                <w:szCs w:val="16"/>
                <w14:ligatures w14:val="none"/>
              </w:rPr>
              <w:t xml:space="preserve"> group</w:t>
            </w:r>
            <w:r w:rsidRPr="00DC2FC3">
              <w:rPr>
                <w:rFonts w:ascii="Times New Roman" w:eastAsia="Times New Roman" w:hAnsi="Times New Roman" w:cs="Times New Roman"/>
                <w:color w:val="000000"/>
                <w:kern w:val="0"/>
                <w:sz w:val="16"/>
                <w:szCs w:val="16"/>
                <w14:ligatures w14:val="none"/>
              </w:rPr>
              <w:t xml:space="preserve">, followed by surgery, then </w:t>
            </w:r>
            <w:r>
              <w:rPr>
                <w:rFonts w:ascii="Times New Roman" w:eastAsia="Times New Roman" w:hAnsi="Times New Roman" w:cs="Times New Roman"/>
                <w:color w:val="000000"/>
                <w:kern w:val="0"/>
                <w:sz w:val="16"/>
                <w:szCs w:val="16"/>
                <w14:ligatures w14:val="none"/>
              </w:rPr>
              <w:t>radioiodine</w:t>
            </w:r>
            <w:r w:rsidRPr="00DC2FC3">
              <w:rPr>
                <w:rFonts w:ascii="Times New Roman" w:eastAsia="Times New Roman" w:hAnsi="Times New Roman" w:cs="Times New Roman"/>
                <w:color w:val="000000"/>
                <w:kern w:val="0"/>
                <w:sz w:val="16"/>
                <w:szCs w:val="16"/>
                <w14:ligatures w14:val="none"/>
              </w:rPr>
              <w:t xml:space="preserve">, while </w:t>
            </w:r>
            <w:r>
              <w:rPr>
                <w:rFonts w:ascii="Times New Roman" w:eastAsia="Times New Roman" w:hAnsi="Times New Roman" w:cs="Times New Roman"/>
                <w:color w:val="000000"/>
                <w:kern w:val="0"/>
                <w:sz w:val="16"/>
                <w:szCs w:val="16"/>
                <w14:ligatures w14:val="none"/>
              </w:rPr>
              <w:t>antithyroid drug</w:t>
            </w:r>
            <w:r w:rsidRPr="00DC2FC3">
              <w:rPr>
                <w:rFonts w:ascii="Times New Roman" w:eastAsia="Times New Roman" w:hAnsi="Times New Roman" w:cs="Times New Roman"/>
                <w:color w:val="000000"/>
                <w:kern w:val="0"/>
                <w:sz w:val="16"/>
                <w:szCs w:val="16"/>
                <w14:ligatures w14:val="none"/>
              </w:rPr>
              <w:t xml:space="preserve"> patients</w:t>
            </w:r>
            <w:r>
              <w:rPr>
                <w:rFonts w:ascii="Times New Roman" w:eastAsia="Times New Roman" w:hAnsi="Times New Roman" w:cs="Times New Roman"/>
                <w:color w:val="000000"/>
                <w:kern w:val="0"/>
                <w:sz w:val="16"/>
                <w:szCs w:val="16"/>
                <w14:ligatures w14:val="none"/>
              </w:rPr>
              <w:t xml:space="preserve"> (</w:t>
            </w:r>
            <w:r w:rsidRPr="00DC2FC3">
              <w:rPr>
                <w:rFonts w:ascii="Times New Roman" w:eastAsia="Times New Roman" w:hAnsi="Times New Roman" w:cs="Times New Roman"/>
                <w:color w:val="000000"/>
                <w:kern w:val="0"/>
                <w:sz w:val="16"/>
                <w:szCs w:val="16"/>
                <w14:ligatures w14:val="none"/>
              </w:rPr>
              <w:t>particularly those with active hyperthyroidism</w:t>
            </w:r>
            <w:r>
              <w:rPr>
                <w:rFonts w:ascii="Times New Roman" w:eastAsia="Times New Roman" w:hAnsi="Times New Roman" w:cs="Times New Roman"/>
                <w:color w:val="000000"/>
                <w:kern w:val="0"/>
                <w:sz w:val="16"/>
                <w:szCs w:val="16"/>
                <w14:ligatures w14:val="none"/>
              </w:rPr>
              <w:t xml:space="preserve">) </w:t>
            </w:r>
            <w:r w:rsidRPr="00DC2FC3">
              <w:rPr>
                <w:rFonts w:ascii="Times New Roman" w:eastAsia="Times New Roman" w:hAnsi="Times New Roman" w:cs="Times New Roman"/>
                <w:color w:val="000000"/>
                <w:kern w:val="0"/>
                <w:sz w:val="16"/>
                <w:szCs w:val="16"/>
                <w14:ligatures w14:val="none"/>
              </w:rPr>
              <w:t xml:space="preserve">had the lowest </w:t>
            </w:r>
            <w:r>
              <w:rPr>
                <w:rFonts w:ascii="Times New Roman" w:eastAsia="Times New Roman" w:hAnsi="Times New Roman" w:cs="Times New Roman"/>
                <w:color w:val="000000"/>
                <w:kern w:val="0"/>
                <w:sz w:val="16"/>
                <w:szCs w:val="16"/>
                <w14:ligatures w14:val="none"/>
              </w:rPr>
              <w:t>physical role limitation (</w:t>
            </w:r>
            <w:r w:rsidRPr="00DC2FC3">
              <w:rPr>
                <w:rFonts w:ascii="Times New Roman" w:eastAsia="Times New Roman" w:hAnsi="Times New Roman" w:cs="Times New Roman"/>
                <w:color w:val="000000"/>
                <w:kern w:val="0"/>
                <w:sz w:val="16"/>
                <w:szCs w:val="16"/>
                <w14:ligatures w14:val="none"/>
              </w:rPr>
              <w:t>role-physical</w:t>
            </w:r>
            <w:r>
              <w:rPr>
                <w:rFonts w:ascii="Times New Roman" w:eastAsia="Times New Roman" w:hAnsi="Times New Roman" w:cs="Times New Roman"/>
                <w:color w:val="000000"/>
                <w:kern w:val="0"/>
                <w:sz w:val="16"/>
                <w:szCs w:val="16"/>
                <w14:ligatures w14:val="none"/>
              </w:rPr>
              <w:t>)</w:t>
            </w:r>
            <w:r w:rsidRPr="00DC2FC3">
              <w:rPr>
                <w:rFonts w:ascii="Times New Roman" w:eastAsia="Times New Roman" w:hAnsi="Times New Roman" w:cs="Times New Roman"/>
                <w:color w:val="000000"/>
                <w:kern w:val="0"/>
                <w:sz w:val="16"/>
                <w:szCs w:val="16"/>
                <w14:ligatures w14:val="none"/>
              </w:rPr>
              <w:t xml:space="preserve"> scores.</w:t>
            </w:r>
          </w:p>
        </w:tc>
      </w:tr>
      <w:tr w:rsidR="00322918" w:rsidRPr="00DA6535" w14:paraId="4BFCF489" w14:textId="77777777" w:rsidTr="0099168D">
        <w:trPr>
          <w:trHeight w:val="6200"/>
        </w:trPr>
        <w:tc>
          <w:tcPr>
            <w:tcW w:w="360" w:type="dxa"/>
            <w:vMerge/>
            <w:tcBorders>
              <w:left w:val="single" w:sz="4" w:space="0" w:color="auto"/>
              <w:bottom w:val="single" w:sz="4" w:space="0" w:color="auto"/>
              <w:right w:val="single" w:sz="4" w:space="0" w:color="auto"/>
            </w:tcBorders>
            <w:textDirection w:val="tbRl"/>
            <w:vAlign w:val="center"/>
            <w:hideMark/>
          </w:tcPr>
          <w:p w14:paraId="36FFFFCF"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tcBorders>
            <w:shd w:val="clear" w:color="auto" w:fill="E8E8E8" w:themeFill="background2"/>
            <w:vAlign w:val="center"/>
            <w:hideMark/>
          </w:tcPr>
          <w:p w14:paraId="16056C16" w14:textId="77777777" w:rsidR="00322918" w:rsidRPr="00432A63"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proofErr w:type="spellStart"/>
            <w:r w:rsidRPr="00F31867">
              <w:rPr>
                <w:rFonts w:ascii="Times New Roman" w:eastAsia="Times New Roman" w:hAnsi="Times New Roman" w:cs="Times New Roman"/>
                <w:color w:val="000000"/>
                <w:kern w:val="0"/>
                <w:sz w:val="16"/>
                <w:szCs w:val="16"/>
                <w14:ligatures w14:val="none"/>
              </w:rPr>
              <w:t>Törring</w:t>
            </w:r>
            <w:proofErr w:type="spellEnd"/>
            <w:r w:rsidRPr="00F31867">
              <w:rPr>
                <w:rFonts w:ascii="Times New Roman" w:eastAsia="Times New Roman" w:hAnsi="Times New Roman" w:cs="Times New Roman"/>
                <w:color w:val="000000"/>
                <w:kern w:val="0"/>
                <w:sz w:val="16"/>
                <w:szCs w:val="16"/>
                <w14:ligatures w14:val="none"/>
              </w:rPr>
              <w:t xml:space="preserve">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2019</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6</w:t>
            </w:r>
          </w:p>
        </w:tc>
        <w:tc>
          <w:tcPr>
            <w:tcW w:w="900" w:type="dxa"/>
            <w:shd w:val="clear" w:color="auto" w:fill="E8E8E8" w:themeFill="background2"/>
            <w:vAlign w:val="center"/>
            <w:hideMark/>
          </w:tcPr>
          <w:p w14:paraId="6910513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Sweden-Denmark</w:t>
            </w:r>
          </w:p>
        </w:tc>
        <w:tc>
          <w:tcPr>
            <w:tcW w:w="1170" w:type="dxa"/>
            <w:shd w:val="clear" w:color="auto" w:fill="E8E8E8" w:themeFill="background2"/>
            <w:vAlign w:val="center"/>
            <w:hideMark/>
          </w:tcPr>
          <w:p w14:paraId="3207D6C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(follow-up of a prospective cohort)</w:t>
            </w:r>
          </w:p>
        </w:tc>
        <w:tc>
          <w:tcPr>
            <w:tcW w:w="1440" w:type="dxa"/>
            <w:shd w:val="clear" w:color="auto" w:fill="E8E8E8" w:themeFill="background2"/>
            <w:vAlign w:val="center"/>
            <w:hideMark/>
          </w:tcPr>
          <w:p w14:paraId="71C6CA62"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diagnosed with Graves’ disease who have been treated in a routine clinical setting in Sweden</w:t>
            </w:r>
          </w:p>
        </w:tc>
        <w:tc>
          <w:tcPr>
            <w:tcW w:w="810" w:type="dxa"/>
            <w:shd w:val="clear" w:color="auto" w:fill="E8E8E8" w:themeFill="background2"/>
            <w:vAlign w:val="center"/>
            <w:hideMark/>
          </w:tcPr>
          <w:p w14:paraId="724EFFB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2003- 2005</w:t>
            </w:r>
          </w:p>
        </w:tc>
        <w:tc>
          <w:tcPr>
            <w:tcW w:w="810" w:type="dxa"/>
            <w:shd w:val="clear" w:color="auto" w:fill="E8E8E8" w:themeFill="background2"/>
            <w:vAlign w:val="center"/>
            <w:hideMark/>
          </w:tcPr>
          <w:p w14:paraId="5BB61CD3"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w:t>
            </w:r>
          </w:p>
        </w:tc>
        <w:tc>
          <w:tcPr>
            <w:tcW w:w="990" w:type="dxa"/>
            <w:shd w:val="clear" w:color="auto" w:fill="E8E8E8" w:themeFill="background2"/>
            <w:vAlign w:val="center"/>
            <w:hideMark/>
          </w:tcPr>
          <w:p w14:paraId="747CADC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 975 patients (329–347 antithyroid drug only; 355–395 radioiodine, no surgery; 223–233 surgery at any time)</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SF-36: 964 patients (324–343 antithyroid drug only; 342–390 radioiodine, no surgery; 217–231 surgery at any time)</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Sensitivity analysis: 290–308 antithyroid drug only; 185–208 radioiodine only; 37–40 surgery only</w:t>
            </w:r>
          </w:p>
        </w:tc>
        <w:tc>
          <w:tcPr>
            <w:tcW w:w="1000" w:type="dxa"/>
            <w:shd w:val="clear" w:color="auto" w:fill="E8E8E8" w:themeFill="background2"/>
            <w:vAlign w:val="center"/>
            <w:hideMark/>
          </w:tcPr>
          <w:p w14:paraId="6E23B768"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43 [33–55] (antithyroid drug only); 54 [45–63] (radioiodine, no surgery); 35 [29–46] (surgery at any time)</w:t>
            </w:r>
          </w:p>
        </w:tc>
        <w:tc>
          <w:tcPr>
            <w:tcW w:w="1070" w:type="dxa"/>
            <w:shd w:val="clear" w:color="auto" w:fill="E8E8E8" w:themeFill="background2"/>
            <w:vAlign w:val="center"/>
            <w:hideMark/>
          </w:tcPr>
          <w:p w14:paraId="6B400465"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SF-36 and </w:t>
            </w: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shd w:val="clear" w:color="auto" w:fill="E8E8E8" w:themeFill="background2"/>
            <w:vAlign w:val="center"/>
            <w:hideMark/>
          </w:tcPr>
          <w:p w14:paraId="11F57B06"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Main population:</w:t>
            </w:r>
            <w:r w:rsidRPr="00F31867">
              <w:rPr>
                <w:rFonts w:ascii="Times New Roman" w:eastAsia="Times New Roman" w:hAnsi="Times New Roman" w:cs="Times New Roman"/>
                <w:color w:val="000000"/>
                <w:kern w:val="0"/>
                <w:sz w:val="16"/>
                <w:szCs w:val="16"/>
                <w14:ligatures w14:val="none"/>
              </w:rPr>
              <w:br/>
              <w:t>Methimazole or propylthiouracil only</w:t>
            </w:r>
            <w:r w:rsidRPr="00F31867">
              <w:rPr>
                <w:rFonts w:ascii="Times New Roman" w:eastAsia="Times New Roman" w:hAnsi="Times New Roman" w:cs="Times New Roman"/>
                <w:color w:val="000000"/>
                <w:kern w:val="0"/>
                <w:sz w:val="16"/>
                <w:szCs w:val="16"/>
                <w14:ligatures w14:val="none"/>
              </w:rPr>
              <w:br/>
              <w:t>Subtotal or total thyroidectomy at any time</w:t>
            </w:r>
            <w:r w:rsidRPr="00F31867">
              <w:rPr>
                <w:rFonts w:ascii="Times New Roman" w:eastAsia="Times New Roman" w:hAnsi="Times New Roman" w:cs="Times New Roman"/>
                <w:color w:val="000000"/>
                <w:kern w:val="0"/>
                <w:sz w:val="16"/>
                <w:szCs w:val="16"/>
                <w14:ligatures w14:val="none"/>
              </w:rPr>
              <w:br/>
              <w:t>Radioiodine at any time without thyroidectomy</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Sensitivity analysis:</w:t>
            </w:r>
            <w:r w:rsidRPr="00F31867">
              <w:rPr>
                <w:rFonts w:ascii="Times New Roman" w:eastAsia="Times New Roman" w:hAnsi="Times New Roman" w:cs="Times New Roman"/>
                <w:color w:val="000000"/>
                <w:kern w:val="0"/>
                <w:sz w:val="16"/>
                <w:szCs w:val="16"/>
                <w14:ligatures w14:val="none"/>
              </w:rPr>
              <w:br/>
              <w:t>Methimazole or propylthiouracil only</w:t>
            </w:r>
            <w:r w:rsidRPr="00F31867">
              <w:rPr>
                <w:rFonts w:ascii="Times New Roman" w:eastAsia="Times New Roman" w:hAnsi="Times New Roman" w:cs="Times New Roman"/>
                <w:color w:val="000000"/>
                <w:kern w:val="0"/>
                <w:sz w:val="16"/>
                <w:szCs w:val="16"/>
                <w14:ligatures w14:val="none"/>
              </w:rPr>
              <w:br/>
              <w:t>Subtotal or total thyroidectomy only</w:t>
            </w:r>
            <w:r w:rsidRPr="00F31867">
              <w:rPr>
                <w:rFonts w:ascii="Times New Roman" w:eastAsia="Times New Roman" w:hAnsi="Times New Roman" w:cs="Times New Roman"/>
                <w:color w:val="000000"/>
                <w:kern w:val="0"/>
                <w:sz w:val="16"/>
                <w:szCs w:val="16"/>
                <w14:ligatures w14:val="none"/>
              </w:rPr>
              <w:br/>
              <w:t>Radioiodine only</w:t>
            </w:r>
          </w:p>
        </w:tc>
        <w:tc>
          <w:tcPr>
            <w:tcW w:w="1440" w:type="dxa"/>
            <w:shd w:val="clear" w:color="auto" w:fill="E8E8E8" w:themeFill="background2"/>
            <w:vAlign w:val="center"/>
            <w:hideMark/>
          </w:tcPr>
          <w:p w14:paraId="117D510D"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6–10 years after original diagnosis (8 ± 0.9 years)</w:t>
            </w:r>
          </w:p>
        </w:tc>
        <w:tc>
          <w:tcPr>
            <w:tcW w:w="3870" w:type="dxa"/>
            <w:tcBorders>
              <w:right w:val="single" w:sz="4" w:space="0" w:color="auto"/>
            </w:tcBorders>
            <w:shd w:val="clear" w:color="auto" w:fill="E8E8E8" w:themeFill="background2"/>
            <w:vAlign w:val="center"/>
            <w:hideMark/>
          </w:tcPr>
          <w:p w14:paraId="0F9B1839"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 xml:space="preserve">Based on </w:t>
            </w: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 radioiodine patients reported worse composite quality of life scores than those treated with antithyroid drugs or surgery. Compared with antithyroid drugs, radioiodine scored worse in almost all domains except cognitive complaints and overall quality of life impact. Compared with surgery, radioiodine scored worse for goiter symptoms, hyperthyroid symptoms, tiredness, anxiety, depression, emotional functioning, impaired social life, impaired sex life, and impaired daily life. Surgery patients scored worse than antithyroid drug patients for hypothyroid symptoms, eye symptoms, and appearance.</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In the SF-36 survey, radioiodine patients had lower scores than antithyroid drug patients across all domains, and lower scores than surgery patients in all domains except bodily pain and the physical component summary.</w:t>
            </w:r>
            <w:r w:rsidRPr="00F31867">
              <w:rPr>
                <w:rFonts w:ascii="Times New Roman" w:eastAsia="Times New Roman" w:hAnsi="Times New Roman" w:cs="Times New Roman"/>
                <w:color w:val="000000"/>
                <w:kern w:val="0"/>
                <w:sz w:val="16"/>
                <w:szCs w:val="16"/>
                <w14:ligatures w14:val="none"/>
              </w:rPr>
              <w:br/>
            </w:r>
            <w:r w:rsidRPr="00F31867">
              <w:rPr>
                <w:rFonts w:ascii="Times New Roman" w:eastAsia="Times New Roman" w:hAnsi="Times New Roman" w:cs="Times New Roman"/>
                <w:color w:val="000000"/>
                <w:kern w:val="0"/>
                <w:sz w:val="16"/>
                <w:szCs w:val="16"/>
                <w14:ligatures w14:val="none"/>
              </w:rPr>
              <w:br/>
              <w:t xml:space="preserve">In sensitivity analysis restricted to patients who received only one treatment, radioiodine showed poorer outcomes than antithyroid drugs in physical function, general health, social function, mental health, and mental component summary on the SF-36, and in eye symptoms, tiredness, anxiety, </w:t>
            </w:r>
            <w:proofErr w:type="spellStart"/>
            <w:r w:rsidRPr="00F31867">
              <w:rPr>
                <w:rFonts w:ascii="Times New Roman" w:eastAsia="Times New Roman" w:hAnsi="Times New Roman" w:cs="Times New Roman"/>
                <w:color w:val="000000"/>
                <w:kern w:val="0"/>
                <w:sz w:val="16"/>
                <w:szCs w:val="16"/>
                <w14:ligatures w14:val="none"/>
              </w:rPr>
              <w:t>depressivity</w:t>
            </w:r>
            <w:proofErr w:type="spellEnd"/>
            <w:r w:rsidRPr="00F31867">
              <w:rPr>
                <w:rFonts w:ascii="Times New Roman" w:eastAsia="Times New Roman" w:hAnsi="Times New Roman" w:cs="Times New Roman"/>
                <w:color w:val="000000"/>
                <w:kern w:val="0"/>
                <w:sz w:val="16"/>
                <w:szCs w:val="16"/>
                <w14:ligatures w14:val="none"/>
              </w:rPr>
              <w:t xml:space="preserve">, impaired social life, impaired daily life, and composite scale on </w:t>
            </w: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 xml:space="preserve">. Compared with surgery, radioiodine also had worse outcomes in physical function, social function, mental health, and mental component summary on the 36-Item Short Form Health Survey, and in impaired social life on </w:t>
            </w:r>
            <w:proofErr w:type="spellStart"/>
            <w:r w:rsidRPr="00F31867">
              <w:rPr>
                <w:rFonts w:ascii="Times New Roman" w:eastAsia="Times New Roman" w:hAnsi="Times New Roman" w:cs="Times New Roman"/>
                <w:color w:val="000000"/>
                <w:kern w:val="0"/>
                <w:sz w:val="16"/>
                <w:szCs w:val="16"/>
                <w14:ligatures w14:val="none"/>
              </w:rPr>
              <w:t>ThyPRO</w:t>
            </w:r>
            <w:proofErr w:type="spellEnd"/>
            <w:r w:rsidRPr="00F31867">
              <w:rPr>
                <w:rFonts w:ascii="Times New Roman" w:eastAsia="Times New Roman" w:hAnsi="Times New Roman" w:cs="Times New Roman"/>
                <w:color w:val="000000"/>
                <w:kern w:val="0"/>
                <w:sz w:val="16"/>
                <w:szCs w:val="16"/>
                <w14:ligatures w14:val="none"/>
              </w:rPr>
              <w:t>.</w:t>
            </w:r>
          </w:p>
        </w:tc>
      </w:tr>
      <w:tr w:rsidR="00322918" w:rsidRPr="00DA6535" w14:paraId="66EC1B18" w14:textId="77777777" w:rsidTr="0099168D">
        <w:trPr>
          <w:trHeight w:val="2150"/>
        </w:trPr>
        <w:tc>
          <w:tcPr>
            <w:tcW w:w="360" w:type="dxa"/>
            <w:vMerge/>
            <w:tcBorders>
              <w:left w:val="single" w:sz="4" w:space="0" w:color="auto"/>
              <w:bottom w:val="single" w:sz="4" w:space="0" w:color="auto"/>
              <w:right w:val="single" w:sz="4" w:space="0" w:color="auto"/>
            </w:tcBorders>
            <w:textDirection w:val="tbRl"/>
            <w:vAlign w:val="center"/>
            <w:hideMark/>
          </w:tcPr>
          <w:p w14:paraId="423DFD97" w14:textId="77777777" w:rsidR="00322918" w:rsidRPr="00F31867" w:rsidRDefault="00322918" w:rsidP="0099168D">
            <w:pPr>
              <w:spacing w:after="0" w:line="240" w:lineRule="auto"/>
              <w:ind w:left="113" w:right="113"/>
              <w:rPr>
                <w:rFonts w:ascii="Times New Roman" w:eastAsia="Times New Roman" w:hAnsi="Times New Roman" w:cs="Times New Roman"/>
                <w:b/>
                <w:bCs/>
                <w:color w:val="000000"/>
                <w:kern w:val="0"/>
                <w:sz w:val="16"/>
                <w:szCs w:val="16"/>
                <w14:ligatures w14:val="none"/>
              </w:rPr>
            </w:pPr>
          </w:p>
        </w:tc>
        <w:tc>
          <w:tcPr>
            <w:tcW w:w="900" w:type="dxa"/>
            <w:tcBorders>
              <w:left w:val="single" w:sz="4" w:space="0" w:color="auto"/>
              <w:bottom w:val="single" w:sz="4" w:space="0" w:color="auto"/>
            </w:tcBorders>
            <w:vAlign w:val="center"/>
            <w:hideMark/>
          </w:tcPr>
          <w:p w14:paraId="5F36712E" w14:textId="77777777" w:rsidR="00322918" w:rsidRPr="00432A63" w:rsidRDefault="00322918" w:rsidP="0099168D">
            <w:pPr>
              <w:spacing w:after="0" w:line="240" w:lineRule="auto"/>
              <w:jc w:val="center"/>
              <w:rPr>
                <w:rFonts w:ascii="Times New Roman" w:eastAsia="Times New Roman" w:hAnsi="Times New Roman" w:cs="Times New Roman"/>
                <w:color w:val="000000"/>
                <w:kern w:val="0"/>
                <w:sz w:val="16"/>
                <w:szCs w:val="16"/>
                <w:vertAlign w:val="superscript"/>
                <w14:ligatures w14:val="none"/>
              </w:rPr>
            </w:pPr>
            <w:r w:rsidRPr="00F31867">
              <w:rPr>
                <w:rFonts w:ascii="Times New Roman" w:eastAsia="Times New Roman" w:hAnsi="Times New Roman" w:cs="Times New Roman"/>
                <w:color w:val="000000"/>
                <w:kern w:val="0"/>
                <w:sz w:val="16"/>
                <w:szCs w:val="16"/>
                <w14:ligatures w14:val="none"/>
              </w:rPr>
              <w:t xml:space="preserve">Meling Stokland et al., </w:t>
            </w:r>
            <w:r>
              <w:rPr>
                <w:rFonts w:ascii="Times New Roman" w:eastAsia="Times New Roman" w:hAnsi="Times New Roman" w:cs="Times New Roman"/>
                <w:color w:val="000000"/>
                <w:kern w:val="0"/>
                <w:sz w:val="16"/>
                <w:szCs w:val="16"/>
                <w14:ligatures w14:val="none"/>
              </w:rPr>
              <w:t>(</w:t>
            </w:r>
            <w:r w:rsidRPr="00F31867">
              <w:rPr>
                <w:rFonts w:ascii="Times New Roman" w:eastAsia="Times New Roman" w:hAnsi="Times New Roman" w:cs="Times New Roman"/>
                <w:color w:val="000000"/>
                <w:kern w:val="0"/>
                <w:sz w:val="16"/>
                <w:szCs w:val="16"/>
                <w14:ligatures w14:val="none"/>
              </w:rPr>
              <w:t>2024</w:t>
            </w:r>
            <w:r>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vertAlign w:val="superscript"/>
                <w14:ligatures w14:val="none"/>
              </w:rPr>
              <w:t>32</w:t>
            </w:r>
          </w:p>
        </w:tc>
        <w:tc>
          <w:tcPr>
            <w:tcW w:w="900" w:type="dxa"/>
            <w:tcBorders>
              <w:bottom w:val="single" w:sz="4" w:space="0" w:color="auto"/>
            </w:tcBorders>
            <w:vAlign w:val="center"/>
            <w:hideMark/>
          </w:tcPr>
          <w:p w14:paraId="46A0DE0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Norway</w:t>
            </w:r>
          </w:p>
        </w:tc>
        <w:tc>
          <w:tcPr>
            <w:tcW w:w="1170" w:type="dxa"/>
            <w:tcBorders>
              <w:bottom w:val="single" w:sz="4" w:space="0" w:color="auto"/>
            </w:tcBorders>
            <w:vAlign w:val="center"/>
            <w:hideMark/>
          </w:tcPr>
          <w:p w14:paraId="2473B1F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Observational (retrospective follow-up of a randomized trial)</w:t>
            </w:r>
          </w:p>
        </w:tc>
        <w:tc>
          <w:tcPr>
            <w:tcW w:w="1440" w:type="dxa"/>
            <w:tcBorders>
              <w:bottom w:val="single" w:sz="4" w:space="0" w:color="auto"/>
            </w:tcBorders>
            <w:vAlign w:val="center"/>
            <w:hideMark/>
          </w:tcPr>
          <w:p w14:paraId="057EA29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Patients with Graves’ disease from the Nedrebø cohort who received antithyroid drug between 1997-1999 (16-75 years)</w:t>
            </w:r>
          </w:p>
        </w:tc>
        <w:tc>
          <w:tcPr>
            <w:tcW w:w="810" w:type="dxa"/>
            <w:tcBorders>
              <w:bottom w:val="single" w:sz="4" w:space="0" w:color="auto"/>
            </w:tcBorders>
            <w:vAlign w:val="center"/>
            <w:hideMark/>
          </w:tcPr>
          <w:p w14:paraId="662FBF6F"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1997-2001</w:t>
            </w:r>
          </w:p>
        </w:tc>
        <w:tc>
          <w:tcPr>
            <w:tcW w:w="810" w:type="dxa"/>
            <w:tcBorders>
              <w:bottom w:val="single" w:sz="4" w:space="0" w:color="auto"/>
            </w:tcBorders>
            <w:vAlign w:val="center"/>
            <w:hideMark/>
          </w:tcPr>
          <w:p w14:paraId="50D003F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Yes (not all)</w:t>
            </w:r>
          </w:p>
        </w:tc>
        <w:tc>
          <w:tcPr>
            <w:tcW w:w="990" w:type="dxa"/>
            <w:tcBorders>
              <w:bottom w:val="single" w:sz="4" w:space="0" w:color="auto"/>
            </w:tcBorders>
            <w:vAlign w:val="center"/>
            <w:hideMark/>
          </w:tcPr>
          <w:p w14:paraId="5734806E"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121 (49 antithyroid; 51 radioiodine; 21 surgery)</w:t>
            </w:r>
          </w:p>
        </w:tc>
        <w:tc>
          <w:tcPr>
            <w:tcW w:w="1000" w:type="dxa"/>
            <w:tcBorders>
              <w:bottom w:val="single" w:sz="4" w:space="0" w:color="auto"/>
            </w:tcBorders>
            <w:vAlign w:val="center"/>
            <w:hideMark/>
          </w:tcPr>
          <w:p w14:paraId="142FDF2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64 (41–88) women; 70 (50–80) men</w:t>
            </w:r>
          </w:p>
        </w:tc>
        <w:tc>
          <w:tcPr>
            <w:tcW w:w="1070" w:type="dxa"/>
            <w:tcBorders>
              <w:bottom w:val="single" w:sz="4" w:space="0" w:color="auto"/>
            </w:tcBorders>
            <w:vAlign w:val="center"/>
            <w:hideMark/>
          </w:tcPr>
          <w:p w14:paraId="0B913AFB"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F31867">
              <w:rPr>
                <w:rFonts w:ascii="Times New Roman" w:eastAsia="Times New Roman" w:hAnsi="Times New Roman" w:cs="Times New Roman"/>
                <w:color w:val="000000"/>
                <w:kern w:val="0"/>
                <w:sz w:val="16"/>
                <w:szCs w:val="16"/>
                <w14:ligatures w14:val="none"/>
              </w:rPr>
              <w:t>ThyPRO</w:t>
            </w:r>
            <w:proofErr w:type="spellEnd"/>
          </w:p>
        </w:tc>
        <w:tc>
          <w:tcPr>
            <w:tcW w:w="1170" w:type="dxa"/>
            <w:tcBorders>
              <w:bottom w:val="single" w:sz="4" w:space="0" w:color="auto"/>
            </w:tcBorders>
            <w:vAlign w:val="center"/>
            <w:hideMark/>
          </w:tcPr>
          <w:p w14:paraId="5D90782A"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Radioiodine</w:t>
            </w:r>
            <w:r w:rsidRPr="00F31867">
              <w:rPr>
                <w:rFonts w:ascii="Times New Roman" w:eastAsia="Times New Roman" w:hAnsi="Times New Roman" w:cs="Times New Roman"/>
                <w:color w:val="000000"/>
                <w:kern w:val="0"/>
                <w:sz w:val="16"/>
                <w:szCs w:val="16"/>
                <w14:ligatures w14:val="none"/>
              </w:rPr>
              <w:br/>
              <w:t>Antithyroid drug</w:t>
            </w:r>
            <w:r w:rsidRPr="00F31867">
              <w:rPr>
                <w:rFonts w:ascii="Times New Roman" w:eastAsia="Times New Roman" w:hAnsi="Times New Roman" w:cs="Times New Roman"/>
                <w:color w:val="000000"/>
                <w:kern w:val="0"/>
                <w:sz w:val="16"/>
                <w:szCs w:val="16"/>
                <w14:ligatures w14:val="none"/>
              </w:rPr>
              <w:br/>
              <w:t>Surgery</w:t>
            </w:r>
          </w:p>
        </w:tc>
        <w:tc>
          <w:tcPr>
            <w:tcW w:w="1440" w:type="dxa"/>
            <w:tcBorders>
              <w:bottom w:val="single" w:sz="4" w:space="0" w:color="auto"/>
            </w:tcBorders>
            <w:vAlign w:val="center"/>
            <w:hideMark/>
          </w:tcPr>
          <w:p w14:paraId="0A5EB9F4" w14:textId="77777777" w:rsidR="00322918" w:rsidRPr="00F31867" w:rsidRDefault="00322918" w:rsidP="0099168D">
            <w:pPr>
              <w:spacing w:after="0" w:line="240" w:lineRule="auto"/>
              <w:jc w:val="center"/>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Up to 25 years</w:t>
            </w:r>
          </w:p>
        </w:tc>
        <w:tc>
          <w:tcPr>
            <w:tcW w:w="3870" w:type="dxa"/>
            <w:tcBorders>
              <w:bottom w:val="single" w:sz="4" w:space="0" w:color="auto"/>
              <w:right w:val="single" w:sz="4" w:space="0" w:color="auto"/>
            </w:tcBorders>
            <w:vAlign w:val="center"/>
            <w:hideMark/>
          </w:tcPr>
          <w:p w14:paraId="6F107F2F" w14:textId="77777777" w:rsidR="00322918" w:rsidRPr="00F31867" w:rsidRDefault="00322918" w:rsidP="0099168D">
            <w:pPr>
              <w:spacing w:after="0" w:line="240" w:lineRule="auto"/>
              <w:rPr>
                <w:rFonts w:ascii="Times New Roman" w:eastAsia="Times New Roman" w:hAnsi="Times New Roman" w:cs="Times New Roman"/>
                <w:color w:val="000000"/>
                <w:kern w:val="0"/>
                <w:sz w:val="16"/>
                <w:szCs w:val="16"/>
                <w14:ligatures w14:val="none"/>
              </w:rPr>
            </w:pPr>
            <w:r w:rsidRPr="00F31867">
              <w:rPr>
                <w:rFonts w:ascii="Times New Roman" w:eastAsia="Times New Roman" w:hAnsi="Times New Roman" w:cs="Times New Roman"/>
                <w:color w:val="000000"/>
                <w:kern w:val="0"/>
                <w:sz w:val="16"/>
                <w:szCs w:val="16"/>
                <w14:ligatures w14:val="none"/>
              </w:rPr>
              <w:t>Surgical patients reported significantly more hyperthyroid, hypothyroid, and eye symptoms than antithyroid drug patients. Radioiodine patients reported more impairment in daily life and sex life than antithyroid drug patients. Both radioiodine and surgery patients reported more complaints regarding appearance than antithyroid drug patients. Overall quality of life and composite scores did not differ significantly among the three treatments.</w:t>
            </w:r>
          </w:p>
        </w:tc>
      </w:tr>
    </w:tbl>
    <w:p w14:paraId="0AD84CA7" w14:textId="77777777" w:rsidR="00322918" w:rsidRPr="00F853F2" w:rsidRDefault="00322918" w:rsidP="00322918">
      <w:pPr>
        <w:spacing w:line="240" w:lineRule="auto"/>
        <w:jc w:val="both"/>
        <w:rPr>
          <w:rFonts w:asciiTheme="majorBidi" w:hAnsiTheme="majorBidi" w:cstheme="majorBidi"/>
          <w:sz w:val="18"/>
          <w:szCs w:val="18"/>
        </w:rPr>
      </w:pPr>
      <w:r w:rsidRPr="00F853F2">
        <w:rPr>
          <w:rFonts w:asciiTheme="majorBidi" w:hAnsiTheme="majorBidi" w:cstheme="majorBidi"/>
          <w:sz w:val="18"/>
          <w:szCs w:val="18"/>
        </w:rPr>
        <w:t xml:space="preserve">IQR: Interquartile Range; NR: Not Reported; SD: Standard Deviation; SF-36: 36-Item Short Form Health Survey; </w:t>
      </w:r>
      <w:proofErr w:type="spellStart"/>
      <w:r w:rsidRPr="00F853F2">
        <w:rPr>
          <w:rFonts w:asciiTheme="majorBidi" w:hAnsiTheme="majorBidi" w:cstheme="majorBidi"/>
          <w:sz w:val="18"/>
          <w:szCs w:val="18"/>
        </w:rPr>
        <w:t>ThyPRO</w:t>
      </w:r>
      <w:proofErr w:type="spellEnd"/>
      <w:r w:rsidRPr="00F853F2">
        <w:rPr>
          <w:rFonts w:asciiTheme="majorBidi" w:hAnsiTheme="majorBidi" w:cstheme="majorBidi"/>
          <w:sz w:val="18"/>
          <w:szCs w:val="18"/>
        </w:rPr>
        <w:t>: Thyroid Patient-Reported Outcome</w:t>
      </w:r>
    </w:p>
    <w:p w14:paraId="2701497C" w14:textId="77777777" w:rsidR="00322918" w:rsidRDefault="00322918" w:rsidP="00322918">
      <w:pPr>
        <w:spacing w:line="240" w:lineRule="auto"/>
        <w:jc w:val="both"/>
        <w:rPr>
          <w:rFonts w:asciiTheme="majorBidi" w:hAnsiTheme="majorBidi" w:cstheme="majorBidi"/>
          <w:sz w:val="18"/>
          <w:szCs w:val="18"/>
        </w:rPr>
      </w:pPr>
      <w:r w:rsidRPr="00207945">
        <w:rPr>
          <w:rFonts w:asciiTheme="majorBidi" w:hAnsiTheme="majorBidi" w:cstheme="majorBidi"/>
          <w:sz w:val="18"/>
          <w:szCs w:val="18"/>
        </w:rPr>
        <w:t xml:space="preserve">Data are presented as Median (range), Median [IQR], </w:t>
      </w:r>
      <w:proofErr w:type="gramStart"/>
      <w:r w:rsidRPr="00207945">
        <w:rPr>
          <w:rFonts w:asciiTheme="majorBidi" w:hAnsiTheme="majorBidi" w:cstheme="majorBidi"/>
          <w:sz w:val="18"/>
          <w:szCs w:val="18"/>
        </w:rPr>
        <w:t>Mean</w:t>
      </w:r>
      <w:proofErr w:type="gramEnd"/>
      <w:r w:rsidRPr="00207945">
        <w:rPr>
          <w:rFonts w:asciiTheme="majorBidi" w:hAnsiTheme="majorBidi" w:cstheme="majorBidi"/>
          <w:sz w:val="18"/>
          <w:szCs w:val="18"/>
        </w:rPr>
        <w:t xml:space="preserve"> ± SD</w:t>
      </w:r>
      <w:r>
        <w:rPr>
          <w:rFonts w:asciiTheme="majorBidi" w:hAnsiTheme="majorBidi" w:cstheme="majorBidi"/>
          <w:sz w:val="18"/>
          <w:szCs w:val="18"/>
        </w:rPr>
        <w:t>,</w:t>
      </w:r>
      <w:r w:rsidRPr="006D4FC0">
        <w:t xml:space="preserve"> </w:t>
      </w:r>
      <w:r w:rsidRPr="006D4FC0">
        <w:rPr>
          <w:rFonts w:asciiTheme="majorBidi" w:hAnsiTheme="majorBidi" w:cstheme="majorBidi"/>
          <w:sz w:val="18"/>
          <w:szCs w:val="18"/>
        </w:rPr>
        <w:t>unless specified</w:t>
      </w:r>
      <w:r>
        <w:rPr>
          <w:rFonts w:asciiTheme="majorBidi" w:hAnsiTheme="majorBidi" w:cstheme="majorBidi"/>
          <w:sz w:val="18"/>
          <w:szCs w:val="18"/>
        </w:rPr>
        <w:t>.</w:t>
      </w:r>
    </w:p>
    <w:p w14:paraId="776CD0F7" w14:textId="77777777" w:rsidR="00322918" w:rsidRPr="00F853F2" w:rsidRDefault="00322918" w:rsidP="00322918">
      <w:pPr>
        <w:spacing w:line="240" w:lineRule="auto"/>
        <w:jc w:val="both"/>
        <w:rPr>
          <w:rFonts w:asciiTheme="majorBidi" w:hAnsiTheme="majorBidi" w:cstheme="majorBidi"/>
          <w:sz w:val="18"/>
          <w:szCs w:val="18"/>
        </w:rPr>
      </w:pPr>
      <w:r w:rsidRPr="00F853F2">
        <w:rPr>
          <w:rFonts w:asciiTheme="majorBidi" w:hAnsiTheme="majorBidi" w:cstheme="majorBidi"/>
          <w:sz w:val="18"/>
          <w:szCs w:val="18"/>
        </w:rPr>
        <w:t>*Also used a custom patient-reported outcome questionnaire</w:t>
      </w:r>
      <w:r>
        <w:rPr>
          <w:rFonts w:asciiTheme="majorBidi" w:hAnsiTheme="majorBidi" w:cstheme="majorBidi"/>
          <w:sz w:val="18"/>
          <w:szCs w:val="18"/>
        </w:rPr>
        <w:t>.</w:t>
      </w:r>
    </w:p>
    <w:p w14:paraId="2FACE3D9" w14:textId="77777777" w:rsidR="00C6465A" w:rsidRDefault="00C6465A"/>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18"/>
    <w:rsid w:val="000905F0"/>
    <w:rsid w:val="00112C91"/>
    <w:rsid w:val="00242B4F"/>
    <w:rsid w:val="00302F9E"/>
    <w:rsid w:val="00322918"/>
    <w:rsid w:val="00443B79"/>
    <w:rsid w:val="004E23CF"/>
    <w:rsid w:val="006D5216"/>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0B2F"/>
  <w15:chartTrackingRefBased/>
  <w15:docId w15:val="{86A61078-104B-4BF1-9CB8-A0696DEB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18"/>
    <w:pPr>
      <w:spacing w:line="259" w:lineRule="auto"/>
    </w:pPr>
    <w:rPr>
      <w:sz w:val="22"/>
      <w:szCs w:val="22"/>
      <w:lang w:val="en-US"/>
    </w:rPr>
  </w:style>
  <w:style w:type="paragraph" w:styleId="Heading1">
    <w:name w:val="heading 1"/>
    <w:basedOn w:val="Normal"/>
    <w:next w:val="Normal"/>
    <w:link w:val="Heading1Char"/>
    <w:uiPriority w:val="9"/>
    <w:qFormat/>
    <w:rsid w:val="0032291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32291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322918"/>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322918"/>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322918"/>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322918"/>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322918"/>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322918"/>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322918"/>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918"/>
    <w:rPr>
      <w:rFonts w:eastAsiaTheme="majorEastAsia" w:cstheme="majorBidi"/>
      <w:color w:val="272727" w:themeColor="text1" w:themeTint="D8"/>
    </w:rPr>
  </w:style>
  <w:style w:type="paragraph" w:styleId="Title">
    <w:name w:val="Title"/>
    <w:basedOn w:val="Normal"/>
    <w:next w:val="Normal"/>
    <w:link w:val="TitleChar"/>
    <w:uiPriority w:val="10"/>
    <w:qFormat/>
    <w:rsid w:val="00322918"/>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322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918"/>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322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918"/>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322918"/>
    <w:rPr>
      <w:i/>
      <w:iCs/>
      <w:color w:val="404040" w:themeColor="text1" w:themeTint="BF"/>
    </w:rPr>
  </w:style>
  <w:style w:type="paragraph" w:styleId="ListParagraph">
    <w:name w:val="List Paragraph"/>
    <w:basedOn w:val="Normal"/>
    <w:uiPriority w:val="34"/>
    <w:qFormat/>
    <w:rsid w:val="00322918"/>
    <w:pPr>
      <w:spacing w:line="278" w:lineRule="auto"/>
      <w:ind w:left="720"/>
      <w:contextualSpacing/>
    </w:pPr>
    <w:rPr>
      <w:sz w:val="24"/>
      <w:szCs w:val="24"/>
      <w:lang w:val="en-IN"/>
    </w:rPr>
  </w:style>
  <w:style w:type="character" w:styleId="IntenseEmphasis">
    <w:name w:val="Intense Emphasis"/>
    <w:basedOn w:val="DefaultParagraphFont"/>
    <w:uiPriority w:val="21"/>
    <w:qFormat/>
    <w:rsid w:val="00322918"/>
    <w:rPr>
      <w:i/>
      <w:iCs/>
      <w:color w:val="0F4761" w:themeColor="accent1" w:themeShade="BF"/>
    </w:rPr>
  </w:style>
  <w:style w:type="paragraph" w:styleId="IntenseQuote">
    <w:name w:val="Intense Quote"/>
    <w:basedOn w:val="Normal"/>
    <w:next w:val="Normal"/>
    <w:link w:val="IntenseQuoteChar"/>
    <w:uiPriority w:val="30"/>
    <w:qFormat/>
    <w:rsid w:val="0032291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322918"/>
    <w:rPr>
      <w:i/>
      <w:iCs/>
      <w:color w:val="0F4761" w:themeColor="accent1" w:themeShade="BF"/>
    </w:rPr>
  </w:style>
  <w:style w:type="character" w:styleId="IntenseReference">
    <w:name w:val="Intense Reference"/>
    <w:basedOn w:val="DefaultParagraphFont"/>
    <w:uiPriority w:val="32"/>
    <w:qFormat/>
    <w:rsid w:val="003229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1795</Words>
  <Characters>10217</Characters>
  <Application>Microsoft Office Word</Application>
  <DocSecurity>0</DocSecurity>
  <Lines>364</Lines>
  <Paragraphs>250</Paragraphs>
  <ScaleCrop>false</ScaleCrop>
  <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2026-06-24T18:30:00Z</dcterms:created>
  <dcterms:modified xsi:type="dcterms:W3CDTF">2026-06-24T18:32:00Z</dcterms:modified>
</cp:coreProperties>
</file>