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6518F" w14:textId="791F512E" w:rsidR="00EB404D" w:rsidRPr="00DF1300" w:rsidRDefault="00EB404D" w:rsidP="00EB404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DF1300">
        <w:rPr>
          <w:rFonts w:ascii="Times New Roman" w:hAnsi="Times New Roman" w:cs="Times New Roman"/>
          <w:b/>
          <w:bCs/>
          <w:sz w:val="24"/>
          <w:szCs w:val="24"/>
        </w:rPr>
        <w:t>Figure Legends</w:t>
      </w:r>
    </w:p>
    <w:p w14:paraId="3997F549" w14:textId="77777777" w:rsidR="00EB404D" w:rsidRPr="00DF1300" w:rsidRDefault="00EB404D" w:rsidP="00EB40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DF1300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DF1300">
        <w:rPr>
          <w:rFonts w:ascii="Times New Roman" w:hAnsi="Times New Roman" w:cs="Times New Roman"/>
          <w:sz w:val="24"/>
          <w:szCs w:val="24"/>
        </w:rPr>
        <w:t>: Edge Stability Estimate for the CAS Symptoms - Tested Using Non-Parametric Bootstrapped Estimate</w:t>
      </w:r>
    </w:p>
    <w:p w14:paraId="15A9BDA6" w14:textId="77777777" w:rsidR="00EB404D" w:rsidRDefault="00EB404D" w:rsidP="00EB40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DF1300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DF1300">
        <w:rPr>
          <w:rFonts w:ascii="Times New Roman" w:hAnsi="Times New Roman" w:cs="Times New Roman"/>
          <w:sz w:val="24"/>
          <w:szCs w:val="24"/>
        </w:rPr>
        <w:t>: Stability of Central Indices for the CAS Symptoms</w:t>
      </w:r>
    </w:p>
    <w:p w14:paraId="7F1CD955" w14:textId="77777777" w:rsidR="003957CD" w:rsidRDefault="003957CD"/>
    <w:sectPr w:rsidR="003957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04D"/>
    <w:rsid w:val="003957CD"/>
    <w:rsid w:val="00EB4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6BF0C"/>
  <w15:chartTrackingRefBased/>
  <w15:docId w15:val="{5A352E85-07EA-421A-BCBB-5D6CBEEAB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04D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Deon Tullett</dc:creator>
  <cp:keywords/>
  <dc:description/>
  <cp:lastModifiedBy>Deon Tullett</cp:lastModifiedBy>
  <cp:revision>1</cp:revision>
  <dcterms:created xsi:type="dcterms:W3CDTF">2021-11-16T10:15:00Z</dcterms:created>
  <dcterms:modified xsi:type="dcterms:W3CDTF">2021-11-16T10:15:00Z</dcterms:modified>
</cp:coreProperties>
</file>