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9D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1: CT image acquisition parameters</w:t>
      </w:r>
    </w:p>
    <w:p w14:paraId="05C4C44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 Center 1, </w:t>
      </w:r>
      <w:r>
        <w:rPr>
          <w:rFonts w:ascii="Arial" w:hAnsi="Arial" w:cs="Arial"/>
        </w:rPr>
        <w:t>CT scans were performed using the SOMATOM Definition AS and Optima CT680 Series scanners. The acquisition parameters included the following: tube current, 190–320 or 87 mA; tube voltage, 120 kV; section thickness, 4.8 or 5 mm.</w:t>
      </w:r>
    </w:p>
    <w:p w14:paraId="051FFAB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 Center 2, </w:t>
      </w:r>
      <w:r>
        <w:rPr>
          <w:rFonts w:ascii="Arial" w:hAnsi="Arial" w:cs="Arial"/>
        </w:rPr>
        <w:t>CT scans were conducted using the Brilliance 16 Air Series and GE Optima CT680 Expert scanners. The scanning parameters were as follows: axial mode, tube voltage, 120 kV; tube current, 133 or 300–304 mAs; scanning ranges from the skull base to the cranial roof, and section thickness, 5 or 6 mm.</w:t>
      </w:r>
    </w:p>
    <w:p w14:paraId="7897DA7E">
      <w:pPr>
        <w:rPr>
          <w:rFonts w:ascii="Arial" w:hAnsi="Arial" w:cs="Arial"/>
          <w:b w:val="0"/>
          <w:bCs w:val="0"/>
        </w:rPr>
      </w:pPr>
      <w:r>
        <w:rPr>
          <w:rFonts w:hint="eastAsia" w:ascii="Arial" w:hAnsi="Arial" w:cs="Arial"/>
          <w:b/>
          <w:bCs/>
          <w:lang w:val="en-US" w:eastAsia="zh-CN"/>
        </w:rPr>
        <w:t>A</w:t>
      </w:r>
      <w:bookmarkStart w:id="1" w:name="_GoBack"/>
      <w:bookmarkEnd w:id="1"/>
      <w:r>
        <w:rPr>
          <w:rFonts w:ascii="Arial" w:hAnsi="Arial" w:cs="Arial"/>
          <w:b/>
          <w:bCs/>
        </w:rPr>
        <w:t>t Center</w:t>
      </w:r>
      <w:r>
        <w:rPr>
          <w:rFonts w:hint="eastAsia" w:ascii="Arial" w:hAnsi="Arial" w:cs="Arial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 w:val="0"/>
          <w:bCs w:val="0"/>
        </w:rPr>
        <w:t>CT scans were conducted using a 64-row spiral CT scanner (SOMATOM Definition AS; Siemens Healthineers, Erlangen, Germany) and a 62-row spiral scanner (Optima CT620; GE Healthcare, Chicago, IL, United States). The scanning parameters included the following: axial mode; tube voltage, 120 kV; tube current ranging 250–300 mAs; scanning range extending from the skull base to the cranial roof; section thickness of 5 mm; reconstruction using the standard algorithm.</w:t>
      </w:r>
    </w:p>
    <w:p w14:paraId="58D6F0C0">
      <w:pPr>
        <w:rPr>
          <w:rFonts w:ascii="Arial" w:hAnsi="Arial" w:cs="Arial"/>
          <w:b/>
          <w:bCs/>
          <w:highlight w:val="red"/>
        </w:rPr>
      </w:pPr>
    </w:p>
    <w:p w14:paraId="052E80DF">
      <w:pPr>
        <w:rPr>
          <w:rFonts w:ascii="Arial" w:hAnsi="Arial" w:cs="Arial"/>
          <w:b/>
          <w:bCs/>
          <w:highlight w:val="red"/>
        </w:rPr>
      </w:pPr>
    </w:p>
    <w:p w14:paraId="723D6BD0">
      <w:pPr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  <w:t xml:space="preserve">Section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2</w:t>
      </w:r>
      <w:r>
        <w:rPr>
          <w:rFonts w:ascii="Arial" w:hAnsi="Arial" w:cs="Arial"/>
          <w:b/>
          <w:bCs/>
          <w:highlight w:val="none"/>
        </w:rPr>
        <w:t>: ICC calculation process</w:t>
      </w:r>
    </w:p>
    <w:p w14:paraId="60365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Reader A performed </w:t>
      </w:r>
      <w:r>
        <w:rPr>
          <w:rFonts w:hint="eastAsia" w:ascii="Arial" w:hAnsi="Arial" w:cs="Arial"/>
          <w:lang w:val="en-US" w:eastAsia="zh-CN"/>
        </w:rPr>
        <w:t xml:space="preserve">ICH-ROI and </w:t>
      </w:r>
      <w:r>
        <w:rPr>
          <w:rFonts w:ascii="Arial" w:hAnsi="Arial" w:cs="Arial"/>
        </w:rPr>
        <w:t>PHE-ROI segmentation twice, with a one-month interval, to evaluate intra-observer agreement. Reader B segmented the 30 lesions once and used the extracted radiomics features to assess the inter-observer agreement. The ICC formula was applied with a two-way random effects model, absolute agreement, and a single rater or measurement approach, following the ICC selection process outlined by Koo et al</w:t>
      </w:r>
      <w:r>
        <w:rPr>
          <w:rFonts w:hint="default" w:ascii="Arial" w:hAnsi="Arial" w:cs="Arial"/>
          <w:vertAlign w:val="superscript"/>
          <w:lang w:val="en-US"/>
        </w:rPr>
        <w:fldChar w:fldCharType="begin"/>
      </w:r>
      <w:r>
        <w:rPr>
          <w:rFonts w:hint="default" w:ascii="Arial" w:hAnsi="Arial" w:cs="Arial"/>
          <w:vertAlign w:val="superscript"/>
          <w:lang w:val="en-US"/>
        </w:rPr>
        <w:instrText xml:space="preserve"> REF _Ref4392 \r \h </w:instrText>
      </w:r>
      <w:r>
        <w:rPr>
          <w:rFonts w:hint="default" w:ascii="Arial" w:hAnsi="Arial" w:cs="Arial"/>
          <w:vertAlign w:val="superscript"/>
          <w:lang w:val="en-US"/>
        </w:rPr>
        <w:fldChar w:fldCharType="separate"/>
      </w:r>
      <w:r>
        <w:rPr>
          <w:rFonts w:hint="default" w:ascii="Arial" w:hAnsi="Arial" w:cs="Arial"/>
          <w:vertAlign w:val="superscript"/>
          <w:lang w:val="en-US"/>
        </w:rPr>
        <w:t>[1]</w:t>
      </w:r>
      <w:r>
        <w:rPr>
          <w:rFonts w:hint="default" w:ascii="Arial" w:hAnsi="Arial" w:cs="Arial"/>
          <w:vertAlign w:val="superscript"/>
          <w:lang w:val="en-US"/>
        </w:rPr>
        <w:fldChar w:fldCharType="end"/>
      </w:r>
      <w:r>
        <w:rPr>
          <w:rFonts w:hint="eastAsia" w:ascii="Arial" w:hAnsi="Arial" w:cs="Arial"/>
          <w:lang w:val="en-US" w:eastAsia="zh-CN"/>
        </w:rPr>
        <w:t>,</w:t>
      </w:r>
      <w:r>
        <w:rPr>
          <w:rFonts w:ascii="Arial" w:hAnsi="Arial" w:cs="Arial"/>
        </w:rPr>
        <w:t xml:space="preserve"> The ICC values for each feature were computed as follows:</w:t>
      </w:r>
    </w:p>
    <w:p w14:paraId="42B2E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ICC = </w: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MS</m:t>
                </m:r>
                <m:ctrlPr>
                  <w:rPr>
                    <w:rFonts w:ascii="Cambria Math" w:hAnsi="Cambria Math" w:cs="Arial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R</m:t>
                </m:r>
                <m:ctrlPr>
                  <w:rPr>
                    <w:rFonts w:ascii="Cambria Math" w:hAnsi="Cambria Math" w:cs="Arial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cs="Arial"/>
              </w:rPr>
              <m:t>−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MS</m:t>
                </m:r>
                <m:ctrlPr>
                  <w:rPr>
                    <w:rFonts w:ascii="Cambria Math" w:hAnsi="Cambria Math" w:cs="Arial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E</m:t>
                </m:r>
                <m:ctrlPr>
                  <w:rPr>
                    <w:rFonts w:ascii="Cambria Math" w:hAnsi="Cambria Math" w:cs="Arial"/>
                  </w:rPr>
                </m:ctrlPr>
              </m:sub>
            </m:sSub>
            <m:ctrlPr>
              <w:rPr>
                <w:rFonts w:ascii="Cambria Math" w:hAnsi="Cambria Math" w:cs="Arial"/>
              </w:rPr>
            </m:ctrlPr>
          </m:num>
          <m:den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MS</m:t>
                </m:r>
                <m:ctrlPr>
                  <w:rPr>
                    <w:rFonts w:ascii="Cambria Math" w:hAnsi="Cambria Math" w:cs="Arial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R</m:t>
                </m:r>
                <m:ctrlPr>
                  <w:rPr>
                    <w:rFonts w:ascii="Cambria Math" w:hAnsi="Cambria Math" w:cs="Arial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Aria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k−1</m:t>
                    </m:r>
                    <m:ctrlPr>
                      <w:rPr>
                        <w:rFonts w:ascii="Cambria Math" w:hAnsi="Cambria Math" w:cs="Arial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MS</m:t>
                </m:r>
                <m:ctrlPr>
                  <w:rPr>
                    <w:rFonts w:ascii="Cambria Math" w:hAnsi="Cambria Math" w:cs="Arial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E</m:t>
                </m:r>
                <m:ctrlPr>
                  <w:rPr>
                    <w:rFonts w:ascii="Cambria Math" w:hAnsi="Cambria Math" w:cs="Arial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cs="Arial"/>
              </w:rPr>
              <m:t>+</m:t>
            </m:r>
            <m:f>
              <m:fPr>
                <m:ctrlPr>
                  <w:rPr>
                    <w:rFonts w:ascii="Cambria Math" w:hAnsi="Cambria Math" w:cs="Arial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k</m:t>
                </m:r>
                <m:ctrlPr>
                  <w:rPr>
                    <w:rFonts w:ascii="Cambria Math" w:hAnsi="Cambria Math" w:cs="Arial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n</m:t>
                </m:r>
                <m:ctrlPr>
                  <w:rPr>
                    <w:rFonts w:ascii="Cambria Math" w:hAnsi="Cambria Math" w:cs="Arial"/>
                  </w:rPr>
                </m:ctrlPr>
              </m:den>
            </m:f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MS</m:t>
                    </m:r>
                    <m:ctrlPr>
                      <w:rPr>
                        <w:rFonts w:ascii="Cambria Math" w:hAnsi="Cambria Math" w:cs="Arial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C</m:t>
                    </m:r>
                    <m:ctrlPr>
                      <w:rPr>
                        <w:rFonts w:ascii="Cambria Math" w:hAnsi="Cambria Math" w:cs="Arial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−</m:t>
                </m:r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MS</m:t>
                    </m:r>
                    <m:ctrlPr>
                      <w:rPr>
                        <w:rFonts w:ascii="Cambria Math" w:hAnsi="Cambria Math" w:cs="Arial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E</m:t>
                    </m:r>
                    <m:ctrlPr>
                      <w:rPr>
                        <w:rFonts w:ascii="Cambria Math" w:hAnsi="Cambria Math" w:cs="Arial"/>
                      </w:rPr>
                    </m:ctrlPr>
                  </m:sub>
                </m:sSub>
                <m:ctrlPr>
                  <w:rPr>
                    <w:rFonts w:ascii="Cambria Math" w:hAnsi="Cambria Math" w:cs="Arial"/>
                  </w:rPr>
                </m:ctrlPr>
              </m:e>
            </m:d>
            <m:ctrlPr>
              <w:rPr>
                <w:rFonts w:ascii="Cambria Math" w:hAnsi="Cambria Math" w:cs="Arial"/>
              </w:rPr>
            </m:ctrlPr>
          </m:den>
        </m:f>
      </m:oMath>
    </w:p>
    <w:p w14:paraId="14E19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Features with ICC &gt; 0.75 were deemed reliable and retained for model construction, resulting in 712 features with excellent agreement (ICC &gt; 0.75). Additionally, segmentation consistency was quantified using the Dice similarity coefficient (DSC), yielding a mean DSC of 0.72, indicating high agreement between the two neuroradiologists. </w:t>
      </w:r>
    </w:p>
    <w:p w14:paraId="0DBA9924">
      <w:pPr>
        <w:rPr>
          <w:rFonts w:hint="eastAsia"/>
        </w:rPr>
      </w:pPr>
    </w:p>
    <w:p w14:paraId="561C5A52">
      <w:pPr>
        <w:rPr>
          <w:rFonts w:hint="eastAsia"/>
        </w:rPr>
      </w:pPr>
    </w:p>
    <w:p w14:paraId="0F1C92CE">
      <w:pPr>
        <w:rPr>
          <w:rFonts w:hint="eastAsia"/>
        </w:rPr>
      </w:pPr>
    </w:p>
    <w:p w14:paraId="130B76C6">
      <w:pPr>
        <w:rPr>
          <w:rFonts w:hint="eastAsia"/>
        </w:rPr>
      </w:pPr>
    </w:p>
    <w:p w14:paraId="25953457">
      <w:pPr>
        <w:rPr>
          <w:rFonts w:hint="eastAsia"/>
        </w:rPr>
      </w:pPr>
    </w:p>
    <w:p w14:paraId="02E4EE33">
      <w:pPr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  <w:t xml:space="preserve">Section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3</w:t>
      </w:r>
      <w:r>
        <w:rPr>
          <w:rFonts w:ascii="Arial" w:hAnsi="Arial" w:cs="Arial"/>
          <w:b/>
          <w:bCs/>
          <w:highlight w:val="none"/>
        </w:rPr>
        <w:t>: Selection of the most stable ML algorithm</w:t>
      </w:r>
    </w:p>
    <w:p w14:paraId="708F9B94">
      <w:pPr>
        <w:rPr>
          <w:rFonts w:ascii="Arial" w:hAnsi="Arial" w:cs="Arial"/>
          <w:highlight w:val="red"/>
        </w:rPr>
      </w:pPr>
      <w:r>
        <w:rPr>
          <w:rFonts w:hint="eastAsia" w:ascii="Arial" w:hAnsi="Arial" w:cs="Arial"/>
          <w:highlight w:val="none"/>
          <w:lang w:val="en-US" w:eastAsia="zh-CN"/>
        </w:rPr>
        <w:t>This study d</w:t>
      </w:r>
      <w:r>
        <w:rPr>
          <w:rFonts w:hint="default" w:ascii="Arial" w:hAnsi="Arial" w:cs="Arial"/>
          <w:highlight w:val="none"/>
        </w:rPr>
        <w:t>eep learning model, hematoma radiomics model, radiomics model of perihematoma edema, clinical imaging sign model</w:t>
      </w:r>
      <w:r>
        <w:rPr>
          <w:rFonts w:ascii="Arial" w:hAnsi="Arial" w:cs="Arial"/>
          <w:highlight w:val="none"/>
        </w:rPr>
        <w:t xml:space="preserve">, predictive models employing several machine-learning algorithms, including </w:t>
      </w:r>
      <w:r>
        <w:rPr>
          <w:rFonts w:hint="eastAsia" w:ascii="Arial" w:hAnsi="Arial" w:cs="Arial"/>
          <w:highlight w:val="none"/>
          <w:lang w:val="en-US" w:eastAsia="zh-CN"/>
        </w:rPr>
        <w:t>KNN</w:t>
      </w:r>
      <w:r>
        <w:rPr>
          <w:rFonts w:ascii="Arial" w:hAnsi="Arial" w:cs="Arial"/>
          <w:highlight w:val="none"/>
        </w:rPr>
        <w:t xml:space="preserve">, </w:t>
      </w:r>
      <w:r>
        <w:rPr>
          <w:rFonts w:hint="eastAsia" w:ascii="Arial" w:hAnsi="Arial" w:cs="Arial"/>
          <w:highlight w:val="none"/>
        </w:rPr>
        <w:t>AdaBoost</w:t>
      </w:r>
      <w:r>
        <w:rPr>
          <w:rFonts w:ascii="Arial" w:hAnsi="Arial" w:cs="Arial"/>
          <w:highlight w:val="none"/>
        </w:rPr>
        <w:t xml:space="preserve">, </w:t>
      </w:r>
      <w:r>
        <w:rPr>
          <w:rFonts w:hint="eastAsia" w:ascii="Arial" w:hAnsi="Arial" w:cs="Arial"/>
          <w:highlight w:val="none"/>
        </w:rPr>
        <w:t>GradientBoosting</w:t>
      </w:r>
      <w:r>
        <w:rPr>
          <w:rFonts w:ascii="Arial" w:hAnsi="Arial" w:cs="Arial"/>
          <w:highlight w:val="none"/>
        </w:rPr>
        <w:t xml:space="preserve">, and </w:t>
      </w:r>
      <w:r>
        <w:rPr>
          <w:rFonts w:hint="eastAsia" w:ascii="Arial" w:hAnsi="Arial" w:cs="Arial"/>
          <w:highlight w:val="none"/>
        </w:rPr>
        <w:t>LightGBM</w:t>
      </w:r>
      <w:r>
        <w:rPr>
          <w:rFonts w:hint="eastAsia" w:ascii="Arial" w:hAnsi="Arial" w:cs="Arial"/>
          <w:highlight w:val="none"/>
          <w:lang w:val="en-US" w:eastAsia="zh-CN"/>
        </w:rPr>
        <w:t xml:space="preserve"> </w:t>
      </w:r>
      <w:r>
        <w:rPr>
          <w:rFonts w:ascii="Arial" w:hAnsi="Arial" w:cs="Arial"/>
          <w:highlight w:val="none"/>
        </w:rPr>
        <w:t xml:space="preserve">were constructed. Following a series of comparative analyses, </w:t>
      </w:r>
      <w:r>
        <w:rPr>
          <w:rFonts w:hint="eastAsia" w:ascii="Arial" w:hAnsi="Arial" w:cs="Arial"/>
          <w:highlight w:val="none"/>
        </w:rPr>
        <w:t xml:space="preserve">Choose the </w:t>
      </w:r>
      <w:r>
        <w:rPr>
          <w:rFonts w:hint="eastAsia" w:ascii="Arial" w:hAnsi="Arial" w:cs="Arial"/>
          <w:highlight w:val="none"/>
          <w:lang w:val="en-US" w:eastAsia="zh-CN"/>
        </w:rPr>
        <w:t xml:space="preserve">KNN </w:t>
      </w:r>
      <w:r>
        <w:rPr>
          <w:rFonts w:hint="eastAsia" w:ascii="Arial" w:hAnsi="Arial" w:cs="Arial"/>
          <w:highlight w:val="none"/>
        </w:rPr>
        <w:t>algorithm as the most stable to construct a</w:t>
      </w:r>
      <w:r>
        <w:rPr>
          <w:rFonts w:hint="eastAsia" w:ascii="Arial" w:hAnsi="Arial" w:cs="Arial"/>
          <w:highlight w:val="none"/>
          <w:lang w:val="en-US" w:eastAsia="zh-CN"/>
        </w:rPr>
        <w:t xml:space="preserve"> </w:t>
      </w:r>
      <w:r>
        <w:rPr>
          <w:rFonts w:ascii="Arial" w:hAnsi="Arial" w:cs="Arial"/>
          <w:highlight w:val="none"/>
        </w:rPr>
        <w:t>machine</w:t>
      </w:r>
      <w:r>
        <w:rPr>
          <w:rFonts w:hint="eastAsia" w:ascii="Arial" w:hAnsi="Arial" w:cs="Arial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highlight w:val="none"/>
        </w:rPr>
        <w:t>model.</w:t>
      </w:r>
      <w:r>
        <w:rPr>
          <w:rFonts w:ascii="Arial" w:hAnsi="Arial" w:cs="Arial"/>
          <w:highlight w:val="none"/>
        </w:rPr>
        <w:t>(Table S1).</w:t>
      </w:r>
    </w:p>
    <w:p w14:paraId="7356E711">
      <w:pPr>
        <w:spacing w:line="360" w:lineRule="auto"/>
        <w:rPr>
          <w:rFonts w:ascii="Arial" w:hAnsi="Arial" w:cs="Arial"/>
          <w:b/>
          <w:bCs/>
          <w:highlight w:val="red"/>
        </w:rPr>
      </w:pPr>
    </w:p>
    <w:p w14:paraId="75B114ED">
      <w:pPr>
        <w:spacing w:line="360" w:lineRule="auto"/>
        <w:ind w:firstLine="1054" w:firstLineChars="500"/>
        <w:rPr>
          <w:rFonts w:ascii="Arial" w:hAnsi="Arial" w:cs="Arial"/>
          <w:b/>
          <w:bCs/>
        </w:rPr>
      </w:pPr>
    </w:p>
    <w:p w14:paraId="57147FAA">
      <w:pPr>
        <w:spacing w:line="360" w:lineRule="auto"/>
        <w:ind w:firstLine="1054" w:firstLineChars="5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Table S1</w:t>
      </w:r>
      <w:r>
        <w:rPr>
          <w:rFonts w:ascii="Arial" w:hAnsi="Arial" w:cs="Arial"/>
        </w:rPr>
        <w:t xml:space="preserve">  Comparison of machine learning algorithms for training</w:t>
      </w:r>
    </w:p>
    <w:tbl>
      <w:tblPr>
        <w:tblStyle w:val="3"/>
        <w:tblpPr w:leftFromText="180" w:rightFromText="180" w:vertAnchor="text" w:horzAnchor="page" w:tblpX="1322" w:tblpY="137"/>
        <w:tblOverlap w:val="never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80"/>
        <w:gridCol w:w="1217"/>
        <w:gridCol w:w="1232"/>
        <w:gridCol w:w="1420"/>
        <w:gridCol w:w="1420"/>
        <w:gridCol w:w="1420"/>
      </w:tblGrid>
      <w:tr w14:paraId="74A3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auto"/>
            <w:vAlign w:val="center"/>
          </w:tcPr>
          <w:p w14:paraId="4D0FDEA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63D5B53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model_name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B63F58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Accuracy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FD8EE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5BAA1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Sensitivity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36550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Specificity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5E8F5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Task</w:t>
            </w:r>
          </w:p>
        </w:tc>
      </w:tr>
      <w:tr w14:paraId="2A1C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D7D7D7" w:themeFill="background1" w:themeFillShade="D8"/>
            <w:vAlign w:val="center"/>
          </w:tcPr>
          <w:p w14:paraId="246C4F9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80" w:type="dxa"/>
            <w:shd w:val="clear" w:color="auto" w:fill="D7D7D7" w:themeFill="background1" w:themeFillShade="D8"/>
            <w:vAlign w:val="center"/>
          </w:tcPr>
          <w:p w14:paraId="178E85E6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KNN</w:t>
            </w:r>
          </w:p>
        </w:tc>
        <w:tc>
          <w:tcPr>
            <w:tcW w:w="1217" w:type="dxa"/>
            <w:shd w:val="clear" w:color="auto" w:fill="D7D7D7" w:themeFill="background1" w:themeFillShade="D8"/>
            <w:vAlign w:val="center"/>
          </w:tcPr>
          <w:p w14:paraId="32E28189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ascii="Arial" w:hAnsi="Arial" w:cs="Arial"/>
              </w:rPr>
              <w:t>0.</w:t>
            </w:r>
            <w:r>
              <w:rPr>
                <w:rFonts w:hint="eastAsia" w:ascii="Arial" w:hAnsi="Arial" w:cs="Arial"/>
                <w:lang w:val="en-US" w:eastAsia="zh-CN"/>
              </w:rPr>
              <w:t>853</w:t>
            </w:r>
          </w:p>
        </w:tc>
        <w:tc>
          <w:tcPr>
            <w:tcW w:w="1232" w:type="dxa"/>
            <w:shd w:val="clear" w:color="auto" w:fill="D7D7D7" w:themeFill="background1" w:themeFillShade="D8"/>
            <w:vAlign w:val="center"/>
          </w:tcPr>
          <w:p w14:paraId="0745FD70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ascii="Arial" w:hAnsi="Arial" w:cs="Arial"/>
              </w:rPr>
              <w:t>0.9</w:t>
            </w:r>
            <w:r>
              <w:rPr>
                <w:rFonts w:hint="eastAsia" w:ascii="Arial" w:hAnsi="Arial" w:cs="Arial"/>
                <w:lang w:val="en-US" w:eastAsia="zh-CN"/>
              </w:rPr>
              <w:t>09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1E43325F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ascii="Arial" w:hAnsi="Arial" w:cs="Arial"/>
              </w:rPr>
              <w:t>0.</w:t>
            </w:r>
            <w:r>
              <w:rPr>
                <w:rFonts w:hint="eastAsia" w:ascii="Arial" w:hAnsi="Arial" w:cs="Arial"/>
                <w:lang w:val="en-US" w:eastAsia="zh-CN"/>
              </w:rPr>
              <w:t>279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7240125F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ascii="Arial" w:hAnsi="Arial" w:cs="Arial"/>
              </w:rPr>
              <w:t>0.9</w:t>
            </w:r>
            <w:r>
              <w:rPr>
                <w:rFonts w:hint="eastAsia" w:ascii="Arial" w:hAnsi="Arial" w:cs="Arial"/>
                <w:lang w:val="en-US" w:eastAsia="zh-CN"/>
              </w:rPr>
              <w:t>84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68D634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label-train</w:t>
            </w:r>
          </w:p>
        </w:tc>
      </w:tr>
      <w:tr w14:paraId="6A63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auto"/>
            <w:vAlign w:val="center"/>
          </w:tcPr>
          <w:p w14:paraId="2FACB1E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F5F1AC7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KNN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29D65A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0.846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EADE35E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0.715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7FC103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0.179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A35743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0.979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532E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label-test</w:t>
            </w:r>
          </w:p>
        </w:tc>
      </w:tr>
      <w:tr w14:paraId="7C22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D7D7D7" w:themeFill="background1" w:themeFillShade="D8"/>
            <w:vAlign w:val="center"/>
          </w:tcPr>
          <w:p w14:paraId="38853D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80" w:type="dxa"/>
            <w:shd w:val="clear" w:color="auto" w:fill="D7D7D7" w:themeFill="background1" w:themeFillShade="D8"/>
            <w:vAlign w:val="center"/>
          </w:tcPr>
          <w:p w14:paraId="220AA03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AdaBoost</w:t>
            </w:r>
          </w:p>
        </w:tc>
        <w:tc>
          <w:tcPr>
            <w:tcW w:w="1217" w:type="dxa"/>
            <w:shd w:val="clear" w:color="auto" w:fill="D7D7D7" w:themeFill="background1" w:themeFillShade="D8"/>
            <w:vAlign w:val="center"/>
          </w:tcPr>
          <w:p w14:paraId="3A7D340E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0.892</w:t>
            </w:r>
          </w:p>
        </w:tc>
        <w:tc>
          <w:tcPr>
            <w:tcW w:w="1232" w:type="dxa"/>
            <w:shd w:val="clear" w:color="auto" w:fill="D7D7D7" w:themeFill="background1" w:themeFillShade="D8"/>
            <w:vAlign w:val="center"/>
          </w:tcPr>
          <w:p w14:paraId="5E811FBC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0.940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22FFE2D2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0.581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52FCD91C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0.963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0F3387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label-train</w:t>
            </w:r>
          </w:p>
        </w:tc>
      </w:tr>
      <w:tr w14:paraId="3B56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auto"/>
            <w:vAlign w:val="center"/>
          </w:tcPr>
          <w:p w14:paraId="6A1D5A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69A28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AdaBoost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4C835C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0.799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209FC0E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0.639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A35FA1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0.250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6FFEBE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0.908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3604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label-test</w:t>
            </w:r>
          </w:p>
        </w:tc>
      </w:tr>
      <w:tr w14:paraId="52A6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D7D7D7" w:themeFill="background1" w:themeFillShade="D8"/>
            <w:vAlign w:val="center"/>
          </w:tcPr>
          <w:p w14:paraId="02B8895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80" w:type="dxa"/>
            <w:shd w:val="clear" w:color="auto" w:fill="D7D7D7" w:themeFill="background1" w:themeFillShade="D8"/>
            <w:vAlign w:val="center"/>
          </w:tcPr>
          <w:p w14:paraId="53BCED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GradientBoosting</w:t>
            </w:r>
          </w:p>
        </w:tc>
        <w:tc>
          <w:tcPr>
            <w:tcW w:w="1217" w:type="dxa"/>
            <w:shd w:val="clear" w:color="auto" w:fill="D7D7D7" w:themeFill="background1" w:themeFillShade="D8"/>
            <w:vAlign w:val="center"/>
          </w:tcPr>
          <w:p w14:paraId="2C6E4516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0.879</w:t>
            </w:r>
          </w:p>
        </w:tc>
        <w:tc>
          <w:tcPr>
            <w:tcW w:w="1232" w:type="dxa"/>
            <w:shd w:val="clear" w:color="auto" w:fill="D7D7D7" w:themeFill="background1" w:themeFillShade="D8"/>
            <w:vAlign w:val="center"/>
          </w:tcPr>
          <w:p w14:paraId="74862AD8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0.993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00834D3E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0.349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557EE68D">
            <w:pPr>
              <w:spacing w:line="360" w:lineRule="auto"/>
              <w:rPr>
                <w:rFonts w:hint="eastAsia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159D40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label-train</w:t>
            </w:r>
          </w:p>
        </w:tc>
      </w:tr>
      <w:tr w14:paraId="46D0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auto"/>
            <w:vAlign w:val="center"/>
          </w:tcPr>
          <w:p w14:paraId="4FAD96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D85437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GradientBoosting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1930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0.831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A1B6FF5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0.683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CC655E">
            <w:pPr>
              <w:spacing w:line="360" w:lineRule="auto"/>
              <w:rPr>
                <w:rFonts w:hint="eastAsia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0D8E27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0.996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8E742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label-test</w:t>
            </w:r>
          </w:p>
        </w:tc>
      </w:tr>
      <w:tr w14:paraId="753E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D7D7D7" w:themeFill="background1" w:themeFillShade="D8"/>
            <w:vAlign w:val="center"/>
          </w:tcPr>
          <w:p w14:paraId="7ABDA5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80" w:type="dxa"/>
            <w:shd w:val="clear" w:color="auto" w:fill="D7D7D7" w:themeFill="background1" w:themeFillShade="D8"/>
            <w:vAlign w:val="center"/>
          </w:tcPr>
          <w:p w14:paraId="5DECBD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LightGBM</w:t>
            </w:r>
          </w:p>
        </w:tc>
        <w:tc>
          <w:tcPr>
            <w:tcW w:w="1217" w:type="dxa"/>
            <w:shd w:val="clear" w:color="auto" w:fill="D7D7D7" w:themeFill="background1" w:themeFillShade="D8"/>
            <w:vAlign w:val="center"/>
          </w:tcPr>
          <w:p w14:paraId="0FFC3782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0.853</w:t>
            </w:r>
          </w:p>
        </w:tc>
        <w:tc>
          <w:tcPr>
            <w:tcW w:w="1232" w:type="dxa"/>
            <w:shd w:val="clear" w:color="auto" w:fill="D7D7D7" w:themeFill="background1" w:themeFillShade="D8"/>
            <w:vAlign w:val="center"/>
          </w:tcPr>
          <w:p w14:paraId="13134E1A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0.983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0108CDEA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0.209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6216DAEC">
            <w:pPr>
              <w:spacing w:line="360" w:lineRule="auto"/>
              <w:rPr>
                <w:rFonts w:hint="eastAsia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</w:t>
            </w:r>
          </w:p>
        </w:tc>
        <w:tc>
          <w:tcPr>
            <w:tcW w:w="1420" w:type="dxa"/>
            <w:shd w:val="clear" w:color="auto" w:fill="D7D7D7" w:themeFill="background1" w:themeFillShade="D8"/>
            <w:vAlign w:val="center"/>
          </w:tcPr>
          <w:p w14:paraId="17CCF9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label-train</w:t>
            </w:r>
          </w:p>
        </w:tc>
      </w:tr>
      <w:tr w14:paraId="6573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0" w:type="dxa"/>
            <w:shd w:val="clear" w:color="auto" w:fill="auto"/>
            <w:vAlign w:val="center"/>
          </w:tcPr>
          <w:p w14:paraId="12B564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490C6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LightGBM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498C132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0.828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B235BF3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0.689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977A56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0.018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709453">
            <w:pPr>
              <w:spacing w:line="360" w:lineRule="auto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0.989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DEA9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label-test</w:t>
            </w:r>
          </w:p>
        </w:tc>
      </w:tr>
    </w:tbl>
    <w:p w14:paraId="0B6B17E9">
      <w:pPr>
        <w:spacing w:line="360" w:lineRule="auto"/>
        <w:rPr>
          <w:rFonts w:ascii="Arial" w:hAnsi="Arial" w:cs="Arial"/>
        </w:rPr>
      </w:pPr>
    </w:p>
    <w:p w14:paraId="4CAFC7A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References:</w:t>
      </w:r>
    </w:p>
    <w:p w14:paraId="74983A1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0" w:name="_Ref4392"/>
      <w:r>
        <w:rPr>
          <w:rFonts w:hint="default" w:ascii="Times New Roman" w:hAnsi="Times New Roman" w:cs="Times New Roman"/>
          <w:sz w:val="24"/>
          <w:szCs w:val="24"/>
        </w:rPr>
        <w:t xml:space="preserve">Koo, T. K., &amp; Li, M. Y. (2016). A Guideline of selecting and Reporting Intraclass correlation coefficients for Reliability research.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Journal of Chiropractic Medicine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15</w:t>
      </w:r>
      <w:r>
        <w:rPr>
          <w:rFonts w:hint="default" w:ascii="Times New Roman" w:hAnsi="Times New Roman" w:cs="Times New Roman"/>
          <w:sz w:val="24"/>
          <w:szCs w:val="24"/>
        </w:rPr>
        <w:t xml:space="preserve">(2), 155–163.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"https://doi.org/10.1016/j.jcm.2016.02.012."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https://doi.org/10.1016/j.jcm.2016.02.012</w:t>
      </w:r>
      <w:r>
        <w:rPr>
          <w:rStyle w:val="5"/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bookmarkEnd w:id="0"/>
    </w:p>
    <w:p w14:paraId="667C47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02CA7D6">
      <w:pPr>
        <w:numPr>
          <w:ilvl w:val="0"/>
          <w:numId w:val="0"/>
        </w:numPr>
        <w:rPr>
          <w:rFonts w:ascii="Arial" w:hAnsi="Arial" w:cs="Arial"/>
        </w:rPr>
      </w:pPr>
    </w:p>
    <w:p w14:paraId="2EFED719">
      <w:pPr>
        <w:rPr>
          <w:rFonts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733BA"/>
    <w:multiLevelType w:val="singleLevel"/>
    <w:tmpl w:val="FB1733BA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6CD5"/>
    <w:rsid w:val="003721F4"/>
    <w:rsid w:val="007B4B86"/>
    <w:rsid w:val="00CA1F19"/>
    <w:rsid w:val="02B22DB0"/>
    <w:rsid w:val="03456A41"/>
    <w:rsid w:val="048E25B8"/>
    <w:rsid w:val="04E90B5B"/>
    <w:rsid w:val="057E5747"/>
    <w:rsid w:val="05F45A09"/>
    <w:rsid w:val="06A05249"/>
    <w:rsid w:val="06E635A4"/>
    <w:rsid w:val="09000221"/>
    <w:rsid w:val="0AB47515"/>
    <w:rsid w:val="0ADA14C3"/>
    <w:rsid w:val="0B7D1FFD"/>
    <w:rsid w:val="0C464EDB"/>
    <w:rsid w:val="0CF602B9"/>
    <w:rsid w:val="0D076022"/>
    <w:rsid w:val="0E613D6E"/>
    <w:rsid w:val="11623397"/>
    <w:rsid w:val="11D566EF"/>
    <w:rsid w:val="120E1C01"/>
    <w:rsid w:val="12647A72"/>
    <w:rsid w:val="13374A32"/>
    <w:rsid w:val="15AC2E2B"/>
    <w:rsid w:val="16571DC8"/>
    <w:rsid w:val="168C1346"/>
    <w:rsid w:val="1796247C"/>
    <w:rsid w:val="1DB00ABB"/>
    <w:rsid w:val="1E851C76"/>
    <w:rsid w:val="1FE93FF6"/>
    <w:rsid w:val="20CA763A"/>
    <w:rsid w:val="213C64BD"/>
    <w:rsid w:val="226C6BFB"/>
    <w:rsid w:val="23CB5BA3"/>
    <w:rsid w:val="26E01966"/>
    <w:rsid w:val="27514612"/>
    <w:rsid w:val="27962024"/>
    <w:rsid w:val="28795BCE"/>
    <w:rsid w:val="2B406E77"/>
    <w:rsid w:val="2FBB4D1E"/>
    <w:rsid w:val="2FFA3A98"/>
    <w:rsid w:val="31D52EFF"/>
    <w:rsid w:val="337A010D"/>
    <w:rsid w:val="33884F17"/>
    <w:rsid w:val="35195C7F"/>
    <w:rsid w:val="36F31177"/>
    <w:rsid w:val="37057113"/>
    <w:rsid w:val="37215DAE"/>
    <w:rsid w:val="39666973"/>
    <w:rsid w:val="3C1A6612"/>
    <w:rsid w:val="3FAD6CD5"/>
    <w:rsid w:val="400E38C1"/>
    <w:rsid w:val="411C6AA7"/>
    <w:rsid w:val="41434B73"/>
    <w:rsid w:val="42A836B8"/>
    <w:rsid w:val="43615785"/>
    <w:rsid w:val="43803E5D"/>
    <w:rsid w:val="44354C47"/>
    <w:rsid w:val="483E7E42"/>
    <w:rsid w:val="487A531F"/>
    <w:rsid w:val="4BBC17AA"/>
    <w:rsid w:val="4BE156B5"/>
    <w:rsid w:val="4F231B40"/>
    <w:rsid w:val="4F7B372A"/>
    <w:rsid w:val="51F1776D"/>
    <w:rsid w:val="554A42CB"/>
    <w:rsid w:val="55C7591B"/>
    <w:rsid w:val="5B6F4A8B"/>
    <w:rsid w:val="5B7025B1"/>
    <w:rsid w:val="5FF073E5"/>
    <w:rsid w:val="622C1692"/>
    <w:rsid w:val="62691B04"/>
    <w:rsid w:val="657D7DA4"/>
    <w:rsid w:val="67333ECA"/>
    <w:rsid w:val="68FD35DE"/>
    <w:rsid w:val="696F3EA8"/>
    <w:rsid w:val="6BAA566B"/>
    <w:rsid w:val="6D251772"/>
    <w:rsid w:val="6EDA0016"/>
    <w:rsid w:val="70657DB3"/>
    <w:rsid w:val="709D579F"/>
    <w:rsid w:val="735E50A6"/>
    <w:rsid w:val="740F0FF6"/>
    <w:rsid w:val="766528BB"/>
    <w:rsid w:val="778626A8"/>
    <w:rsid w:val="77B238DE"/>
    <w:rsid w:val="792BE802"/>
    <w:rsid w:val="7BEE5100"/>
    <w:rsid w:val="7C501917"/>
    <w:rsid w:val="7D663ED8"/>
    <w:rsid w:val="7F3F1CCB"/>
    <w:rsid w:val="7F8F09A8"/>
    <w:rsid w:val="7F9B559F"/>
    <w:rsid w:val="FBF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2686</Characters>
  <Lines>35</Lines>
  <Paragraphs>10</Paragraphs>
  <TotalTime>7</TotalTime>
  <ScaleCrop>false</ScaleCrop>
  <LinksUpToDate>false</LinksUpToDate>
  <CharactersWithSpaces>3071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2025-08-13T22:58:00Z</dcterms:created>
  <dc:creator>王玥</dc:creator>
  <cp:lastModifiedBy>果冻</cp:lastModifiedBy>
  <dcterms:modified xsi:type="dcterms:W3CDTF">2026-04-02T11:32:53Z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B5AB277F7A8E60BFB3569B68D5ACA338_41</vt:lpwstr>
  </property>
  <property fmtid="{D5CDD505-2E9C-101B-9397-08002B2CF9AE}" pid="4" name="KSOTemplateDocerSaveRecord">
    <vt:lpwstr>eyJoZGlkIjoiMGFhZDIyMTYxZDVlMGZmMTI0MmQwN2ZjZTdiMGM0ZTciLCJ1c2VySWQiOiIyMjY5OTYzMjMifQ==</vt:lpwstr>
  </property>
</Properties>
</file>