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5C26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Table S1. Quality assessment of included studies using Newcastle-Ottawa Scale.</w:t>
      </w:r>
    </w:p>
    <w:tbl>
      <w:tblPr>
        <w:tblStyle w:val="9"/>
        <w:tblW w:w="16150" w:type="dxa"/>
        <w:tblInd w:w="-998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1650"/>
        <w:gridCol w:w="1757"/>
        <w:gridCol w:w="1559"/>
        <w:gridCol w:w="1843"/>
        <w:gridCol w:w="1843"/>
        <w:gridCol w:w="1417"/>
        <w:gridCol w:w="2127"/>
        <w:gridCol w:w="1165"/>
        <w:gridCol w:w="1087"/>
      </w:tblGrid>
      <w:tr w14:paraId="7857FE6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70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24C8F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  <w:t>Cohort study</w:t>
            </w:r>
          </w:p>
        </w:tc>
        <w:tc>
          <w:tcPr>
            <w:tcW w:w="165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E36AF2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  <w:t>Representatives of the exposed cohort</w:t>
            </w:r>
          </w:p>
        </w:tc>
        <w:tc>
          <w:tcPr>
            <w:tcW w:w="175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2EA3DA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  <w:t>Selection of the non-exposed cohort</w:t>
            </w: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F4C7C1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  <w:t>Ascertainment of exposure</w:t>
            </w:r>
          </w:p>
        </w:tc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440AC2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  <w:t>Was outcome of interest present at start of study</w:t>
            </w:r>
          </w:p>
        </w:tc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01970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  <w:t>Comparability of cohorts on the basis of the design or analysis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B0801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  <w:t>Assessment of outcome</w:t>
            </w:r>
          </w:p>
        </w:tc>
        <w:tc>
          <w:tcPr>
            <w:tcW w:w="212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D21B30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  <w:t>Was follow-up long enough for outcomes to occur</w:t>
            </w:r>
          </w:p>
        </w:tc>
        <w:tc>
          <w:tcPr>
            <w:tcW w:w="116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0DDE41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  <w:t>Adequate follow up</w:t>
            </w:r>
          </w:p>
        </w:tc>
        <w:tc>
          <w:tcPr>
            <w:tcW w:w="10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B842A4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  <w:t>Total</w:t>
            </w:r>
          </w:p>
        </w:tc>
      </w:tr>
      <w:tr w14:paraId="6E482DD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1702" w:type="dxa"/>
            <w:tcBorders>
              <w:top w:val="single" w:color="auto" w:sz="4" w:space="0"/>
            </w:tcBorders>
            <w:vAlign w:val="bottom"/>
          </w:tcPr>
          <w:p w14:paraId="62C6A0D5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Hashimoto,</w:t>
            </w: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2024</w:t>
            </w:r>
          </w:p>
        </w:tc>
        <w:tc>
          <w:tcPr>
            <w:tcW w:w="1650" w:type="dxa"/>
            <w:tcBorders>
              <w:top w:val="single" w:color="auto" w:sz="4" w:space="0"/>
            </w:tcBorders>
            <w:vAlign w:val="center"/>
          </w:tcPr>
          <w:p w14:paraId="7915043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22"/>
                <w:szCs w:val="24"/>
              </w:rPr>
              <w:t>1</w:t>
            </w:r>
          </w:p>
        </w:tc>
        <w:tc>
          <w:tcPr>
            <w:tcW w:w="1757" w:type="dxa"/>
            <w:tcBorders>
              <w:top w:val="single" w:color="auto" w:sz="4" w:space="0"/>
            </w:tcBorders>
            <w:vAlign w:val="center"/>
          </w:tcPr>
          <w:p w14:paraId="3650717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22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color="auto" w:sz="4" w:space="0"/>
            </w:tcBorders>
            <w:vAlign w:val="center"/>
          </w:tcPr>
          <w:p w14:paraId="471E1C9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22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color="auto" w:sz="4" w:space="0"/>
            </w:tcBorders>
            <w:vAlign w:val="center"/>
          </w:tcPr>
          <w:p w14:paraId="693B29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22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color="auto" w:sz="4" w:space="0"/>
            </w:tcBorders>
            <w:vAlign w:val="center"/>
          </w:tcPr>
          <w:p w14:paraId="1DB9442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22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</w:tcBorders>
            <w:vAlign w:val="center"/>
          </w:tcPr>
          <w:p w14:paraId="67797D1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22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color="auto" w:sz="4" w:space="0"/>
            </w:tcBorders>
            <w:vAlign w:val="center"/>
          </w:tcPr>
          <w:p w14:paraId="3AC1AAA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22"/>
                <w:szCs w:val="24"/>
              </w:rPr>
              <w:t>1</w:t>
            </w:r>
          </w:p>
        </w:tc>
        <w:tc>
          <w:tcPr>
            <w:tcW w:w="1165" w:type="dxa"/>
            <w:tcBorders>
              <w:top w:val="single" w:color="auto" w:sz="4" w:space="0"/>
            </w:tcBorders>
            <w:vAlign w:val="center"/>
          </w:tcPr>
          <w:p w14:paraId="32BCE92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22"/>
                <w:szCs w:val="24"/>
              </w:rPr>
              <w:t>1</w:t>
            </w:r>
          </w:p>
        </w:tc>
        <w:tc>
          <w:tcPr>
            <w:tcW w:w="1087" w:type="dxa"/>
            <w:tcBorders>
              <w:top w:val="single" w:color="auto" w:sz="4" w:space="0"/>
            </w:tcBorders>
            <w:vAlign w:val="center"/>
          </w:tcPr>
          <w:p w14:paraId="1449CCF2">
            <w:pPr>
              <w:widowControl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bCs/>
                <w:color w:val="000000"/>
                <w:sz w:val="22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22"/>
                <w:szCs w:val="24"/>
                <w:lang w:val="en-US" w:eastAsia="zh-CN"/>
              </w:rPr>
              <w:t>9</w:t>
            </w:r>
          </w:p>
        </w:tc>
      </w:tr>
      <w:tr w14:paraId="0B79F6B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1702" w:type="dxa"/>
            <w:vAlign w:val="bottom"/>
          </w:tcPr>
          <w:p w14:paraId="62136759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Fukushima,</w:t>
            </w: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2024</w:t>
            </w:r>
          </w:p>
        </w:tc>
        <w:tc>
          <w:tcPr>
            <w:tcW w:w="1650" w:type="dxa"/>
            <w:vAlign w:val="center"/>
          </w:tcPr>
          <w:p w14:paraId="1D709DD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22"/>
                <w:szCs w:val="24"/>
              </w:rPr>
              <w:t>1</w:t>
            </w:r>
          </w:p>
        </w:tc>
        <w:tc>
          <w:tcPr>
            <w:tcW w:w="1757" w:type="dxa"/>
            <w:vAlign w:val="center"/>
          </w:tcPr>
          <w:p w14:paraId="046534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22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14:paraId="3988C27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22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4E99EA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22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01CFFAE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14:paraId="22D9555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22"/>
                <w:szCs w:val="24"/>
              </w:rPr>
              <w:t>1</w:t>
            </w:r>
          </w:p>
        </w:tc>
        <w:tc>
          <w:tcPr>
            <w:tcW w:w="2127" w:type="dxa"/>
            <w:vAlign w:val="center"/>
          </w:tcPr>
          <w:p w14:paraId="06ACF51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22"/>
                <w:szCs w:val="24"/>
              </w:rPr>
              <w:t>1</w:t>
            </w:r>
          </w:p>
        </w:tc>
        <w:tc>
          <w:tcPr>
            <w:tcW w:w="1165" w:type="dxa"/>
            <w:vAlign w:val="center"/>
          </w:tcPr>
          <w:p w14:paraId="3443E44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22"/>
                <w:szCs w:val="24"/>
              </w:rPr>
              <w:t>1</w:t>
            </w:r>
          </w:p>
        </w:tc>
        <w:tc>
          <w:tcPr>
            <w:tcW w:w="1087" w:type="dxa"/>
            <w:vAlign w:val="center"/>
          </w:tcPr>
          <w:p w14:paraId="2B98441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22"/>
                <w:szCs w:val="24"/>
                <w:lang w:val="en-US" w:eastAsia="zh-CN"/>
              </w:rPr>
              <w:t>9</w:t>
            </w:r>
          </w:p>
        </w:tc>
      </w:tr>
      <w:tr w14:paraId="1ECD363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1702" w:type="dxa"/>
            <w:vAlign w:val="bottom"/>
          </w:tcPr>
          <w:p w14:paraId="60FA665A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Aoyama,</w:t>
            </w: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2024</w:t>
            </w:r>
          </w:p>
        </w:tc>
        <w:tc>
          <w:tcPr>
            <w:tcW w:w="1650" w:type="dxa"/>
            <w:vAlign w:val="center"/>
          </w:tcPr>
          <w:p w14:paraId="01357A6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22"/>
                <w:szCs w:val="24"/>
              </w:rPr>
              <w:t>1</w:t>
            </w:r>
          </w:p>
        </w:tc>
        <w:tc>
          <w:tcPr>
            <w:tcW w:w="1757" w:type="dxa"/>
            <w:vAlign w:val="center"/>
          </w:tcPr>
          <w:p w14:paraId="7BA607A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22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14:paraId="2B81698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22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1EB9C11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22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5731B53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22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14:paraId="2903119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22"/>
                <w:szCs w:val="24"/>
              </w:rPr>
              <w:t>1</w:t>
            </w:r>
          </w:p>
        </w:tc>
        <w:tc>
          <w:tcPr>
            <w:tcW w:w="2127" w:type="dxa"/>
            <w:vAlign w:val="center"/>
          </w:tcPr>
          <w:p w14:paraId="75C5E627">
            <w:pPr>
              <w:jc w:val="center"/>
              <w:rPr>
                <w:rFonts w:hint="eastAsia" w:ascii="Times New Roman" w:hAnsi="Times New Roman" w:cs="Times New Roman" w:eastAsiaTheme="minorEastAsia"/>
                <w:bCs/>
                <w:color w:val="000000"/>
                <w:sz w:val="22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22"/>
                <w:szCs w:val="24"/>
                <w:lang w:val="en-US" w:eastAsia="zh-CN"/>
              </w:rPr>
              <w:t>0</w:t>
            </w:r>
          </w:p>
        </w:tc>
        <w:tc>
          <w:tcPr>
            <w:tcW w:w="1165" w:type="dxa"/>
            <w:vAlign w:val="center"/>
          </w:tcPr>
          <w:p w14:paraId="441B576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22"/>
                <w:szCs w:val="24"/>
              </w:rPr>
              <w:t>1</w:t>
            </w:r>
          </w:p>
        </w:tc>
        <w:tc>
          <w:tcPr>
            <w:tcW w:w="1087" w:type="dxa"/>
            <w:vAlign w:val="center"/>
          </w:tcPr>
          <w:p w14:paraId="67F4361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2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22"/>
                <w:szCs w:val="24"/>
                <w:lang w:val="en-US" w:eastAsia="zh-CN"/>
              </w:rPr>
              <w:t>8</w:t>
            </w:r>
          </w:p>
        </w:tc>
      </w:tr>
      <w:tr w14:paraId="438C2C5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1702" w:type="dxa"/>
            <w:vAlign w:val="bottom"/>
          </w:tcPr>
          <w:p w14:paraId="41A534CB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Nakashima,</w:t>
            </w: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2024</w:t>
            </w:r>
          </w:p>
        </w:tc>
        <w:tc>
          <w:tcPr>
            <w:tcW w:w="1650" w:type="dxa"/>
            <w:vAlign w:val="center"/>
          </w:tcPr>
          <w:p w14:paraId="79E729A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22"/>
                <w:szCs w:val="24"/>
              </w:rPr>
              <w:t>1</w:t>
            </w:r>
          </w:p>
        </w:tc>
        <w:tc>
          <w:tcPr>
            <w:tcW w:w="1757" w:type="dxa"/>
            <w:vAlign w:val="center"/>
          </w:tcPr>
          <w:p w14:paraId="3436110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22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14:paraId="19385B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22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221F6B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22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2A6FDD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22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14:paraId="208E2FFC">
            <w:pPr>
              <w:jc w:val="center"/>
              <w:rPr>
                <w:rFonts w:hint="eastAsia" w:ascii="Times New Roman" w:hAnsi="Times New Roman" w:cs="Times New Roman" w:eastAsiaTheme="minorEastAsia"/>
                <w:bCs/>
                <w:color w:val="000000"/>
                <w:sz w:val="22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22"/>
                <w:szCs w:val="24"/>
                <w:lang w:val="en-US" w:eastAsia="zh-CN"/>
              </w:rPr>
              <w:t>1</w:t>
            </w:r>
          </w:p>
        </w:tc>
        <w:tc>
          <w:tcPr>
            <w:tcW w:w="2127" w:type="dxa"/>
            <w:vAlign w:val="center"/>
          </w:tcPr>
          <w:p w14:paraId="09D38F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22"/>
                <w:szCs w:val="24"/>
              </w:rPr>
              <w:t>1</w:t>
            </w:r>
          </w:p>
        </w:tc>
        <w:tc>
          <w:tcPr>
            <w:tcW w:w="1165" w:type="dxa"/>
            <w:vAlign w:val="center"/>
          </w:tcPr>
          <w:p w14:paraId="1431D08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22"/>
                <w:szCs w:val="24"/>
              </w:rPr>
              <w:t>1</w:t>
            </w:r>
          </w:p>
        </w:tc>
        <w:tc>
          <w:tcPr>
            <w:tcW w:w="1087" w:type="dxa"/>
            <w:vAlign w:val="center"/>
          </w:tcPr>
          <w:p w14:paraId="561A21B6">
            <w:pPr>
              <w:widowControl/>
              <w:jc w:val="center"/>
              <w:textAlignment w:val="center"/>
              <w:rPr>
                <w:rFonts w:hint="eastAsia" w:ascii="Times New Roman" w:hAnsi="Times New Roman" w:cs="Times New Roman"/>
                <w:bCs/>
                <w:color w:val="000000"/>
                <w:sz w:val="22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22"/>
                <w:szCs w:val="24"/>
                <w:lang w:val="en-US" w:eastAsia="zh-CN"/>
              </w:rPr>
              <w:t>9</w:t>
            </w:r>
          </w:p>
        </w:tc>
      </w:tr>
      <w:tr w14:paraId="560E1B4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1702" w:type="dxa"/>
            <w:vAlign w:val="bottom"/>
          </w:tcPr>
          <w:p w14:paraId="738CFA29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Okugawa,</w:t>
            </w: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2024</w:t>
            </w:r>
          </w:p>
        </w:tc>
        <w:tc>
          <w:tcPr>
            <w:tcW w:w="1650" w:type="dxa"/>
            <w:vAlign w:val="center"/>
          </w:tcPr>
          <w:p w14:paraId="0265F5D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22"/>
                <w:szCs w:val="24"/>
              </w:rPr>
              <w:t>1</w:t>
            </w:r>
          </w:p>
        </w:tc>
        <w:tc>
          <w:tcPr>
            <w:tcW w:w="1757" w:type="dxa"/>
            <w:vAlign w:val="center"/>
          </w:tcPr>
          <w:p w14:paraId="1C946E1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22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14:paraId="0550BC1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22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054D2E6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22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7CFAE48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22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14:paraId="401E4CE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22"/>
                <w:szCs w:val="24"/>
              </w:rPr>
              <w:t>1</w:t>
            </w:r>
          </w:p>
        </w:tc>
        <w:tc>
          <w:tcPr>
            <w:tcW w:w="2127" w:type="dxa"/>
            <w:vAlign w:val="center"/>
          </w:tcPr>
          <w:p w14:paraId="65796B4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22"/>
                <w:szCs w:val="24"/>
              </w:rPr>
              <w:t>1</w:t>
            </w:r>
          </w:p>
        </w:tc>
        <w:tc>
          <w:tcPr>
            <w:tcW w:w="1165" w:type="dxa"/>
            <w:vAlign w:val="center"/>
          </w:tcPr>
          <w:p w14:paraId="7E15341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22"/>
                <w:szCs w:val="24"/>
              </w:rPr>
              <w:t>1</w:t>
            </w:r>
          </w:p>
        </w:tc>
        <w:tc>
          <w:tcPr>
            <w:tcW w:w="1087" w:type="dxa"/>
            <w:vAlign w:val="center"/>
          </w:tcPr>
          <w:p w14:paraId="0E7C6A7E">
            <w:pPr>
              <w:widowControl/>
              <w:jc w:val="center"/>
              <w:textAlignment w:val="center"/>
              <w:rPr>
                <w:rFonts w:hint="eastAsia" w:ascii="Times New Roman" w:hAnsi="Times New Roman" w:cs="Times New Roman"/>
                <w:bCs/>
                <w:color w:val="000000"/>
                <w:sz w:val="22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22"/>
                <w:szCs w:val="24"/>
                <w:lang w:val="en-US" w:eastAsia="zh-CN"/>
              </w:rPr>
              <w:t>9</w:t>
            </w:r>
          </w:p>
        </w:tc>
      </w:tr>
      <w:tr w14:paraId="2A10295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1702" w:type="dxa"/>
            <w:tcBorders>
              <w:bottom w:val="nil"/>
            </w:tcBorders>
            <w:vAlign w:val="bottom"/>
          </w:tcPr>
          <w:p w14:paraId="7639FCEF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Sakurai,</w:t>
            </w: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2024</w:t>
            </w:r>
          </w:p>
        </w:tc>
        <w:tc>
          <w:tcPr>
            <w:tcW w:w="1650" w:type="dxa"/>
            <w:tcBorders>
              <w:bottom w:val="nil"/>
            </w:tcBorders>
            <w:vAlign w:val="center"/>
          </w:tcPr>
          <w:p w14:paraId="29A9643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22"/>
                <w:szCs w:val="24"/>
              </w:rPr>
              <w:t>1</w:t>
            </w:r>
          </w:p>
        </w:tc>
        <w:tc>
          <w:tcPr>
            <w:tcW w:w="1757" w:type="dxa"/>
            <w:tcBorders>
              <w:bottom w:val="nil"/>
            </w:tcBorders>
            <w:vAlign w:val="center"/>
          </w:tcPr>
          <w:p w14:paraId="62769AD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22"/>
                <w:szCs w:val="24"/>
              </w:rPr>
              <w:t>1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7B2057B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22"/>
                <w:szCs w:val="24"/>
              </w:rPr>
              <w:t>1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14:paraId="22D3021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22"/>
                <w:szCs w:val="24"/>
              </w:rPr>
              <w:t>1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14:paraId="1404261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22"/>
                <w:szCs w:val="24"/>
              </w:rPr>
              <w:t>1</w:t>
            </w:r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14:paraId="7E3706B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22"/>
                <w:szCs w:val="24"/>
              </w:rPr>
              <w:t>1</w:t>
            </w:r>
          </w:p>
        </w:tc>
        <w:tc>
          <w:tcPr>
            <w:tcW w:w="2127" w:type="dxa"/>
            <w:tcBorders>
              <w:bottom w:val="nil"/>
            </w:tcBorders>
            <w:vAlign w:val="center"/>
          </w:tcPr>
          <w:p w14:paraId="200A898E">
            <w:pPr>
              <w:jc w:val="center"/>
              <w:rPr>
                <w:rFonts w:hint="default" w:ascii="Times New Roman" w:hAnsi="Times New Roman" w:cs="Times New Roman" w:eastAsiaTheme="minorEastAsia"/>
                <w:bCs/>
                <w:color w:val="000000"/>
                <w:sz w:val="22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22"/>
                <w:szCs w:val="24"/>
                <w:lang w:val="en-US" w:eastAsia="zh-CN"/>
              </w:rPr>
              <w:t>0</w:t>
            </w:r>
          </w:p>
        </w:tc>
        <w:tc>
          <w:tcPr>
            <w:tcW w:w="1165" w:type="dxa"/>
            <w:tcBorders>
              <w:bottom w:val="nil"/>
            </w:tcBorders>
            <w:vAlign w:val="center"/>
          </w:tcPr>
          <w:p w14:paraId="4F4BE10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22"/>
                <w:szCs w:val="24"/>
              </w:rPr>
              <w:t>1</w:t>
            </w:r>
          </w:p>
        </w:tc>
        <w:tc>
          <w:tcPr>
            <w:tcW w:w="1087" w:type="dxa"/>
            <w:tcBorders>
              <w:bottom w:val="nil"/>
            </w:tcBorders>
            <w:vAlign w:val="center"/>
          </w:tcPr>
          <w:p w14:paraId="2D04BE9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000000"/>
                <w:sz w:val="22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22"/>
                <w:szCs w:val="24"/>
                <w:lang w:val="en-US" w:eastAsia="zh-CN"/>
              </w:rPr>
              <w:t>8</w:t>
            </w:r>
          </w:p>
        </w:tc>
      </w:tr>
      <w:tr w14:paraId="0BC7700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1702" w:type="dxa"/>
            <w:tcBorders>
              <w:top w:val="nil"/>
            </w:tcBorders>
            <w:vAlign w:val="bottom"/>
          </w:tcPr>
          <w:p w14:paraId="094A337A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Toda,</w:t>
            </w: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2025</w:t>
            </w:r>
          </w:p>
        </w:tc>
        <w:tc>
          <w:tcPr>
            <w:tcW w:w="1650" w:type="dxa"/>
            <w:tcBorders>
              <w:top w:val="nil"/>
            </w:tcBorders>
            <w:vAlign w:val="center"/>
          </w:tcPr>
          <w:p w14:paraId="7EA59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22"/>
                <w:szCs w:val="24"/>
              </w:rPr>
              <w:t>1</w:t>
            </w:r>
          </w:p>
        </w:tc>
        <w:tc>
          <w:tcPr>
            <w:tcW w:w="1757" w:type="dxa"/>
            <w:tcBorders>
              <w:top w:val="nil"/>
            </w:tcBorders>
            <w:vAlign w:val="center"/>
          </w:tcPr>
          <w:p w14:paraId="310A419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22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7183073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22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4AB875C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22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218B91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22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0266953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22"/>
                <w:szCs w:val="24"/>
              </w:rPr>
              <w:t>1</w:t>
            </w:r>
          </w:p>
        </w:tc>
        <w:tc>
          <w:tcPr>
            <w:tcW w:w="2127" w:type="dxa"/>
            <w:tcBorders>
              <w:top w:val="nil"/>
            </w:tcBorders>
            <w:vAlign w:val="center"/>
          </w:tcPr>
          <w:p w14:paraId="3477039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22"/>
                <w:szCs w:val="24"/>
              </w:rPr>
              <w:t>1</w:t>
            </w:r>
          </w:p>
        </w:tc>
        <w:tc>
          <w:tcPr>
            <w:tcW w:w="1165" w:type="dxa"/>
            <w:tcBorders>
              <w:top w:val="nil"/>
            </w:tcBorders>
            <w:vAlign w:val="center"/>
          </w:tcPr>
          <w:p w14:paraId="54D2BDC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22"/>
                <w:szCs w:val="24"/>
              </w:rPr>
              <w:t>1</w:t>
            </w:r>
          </w:p>
        </w:tc>
        <w:tc>
          <w:tcPr>
            <w:tcW w:w="1087" w:type="dxa"/>
            <w:tcBorders>
              <w:top w:val="nil"/>
            </w:tcBorders>
            <w:vAlign w:val="center"/>
          </w:tcPr>
          <w:p w14:paraId="33C79C64">
            <w:pPr>
              <w:widowControl/>
              <w:jc w:val="center"/>
              <w:textAlignment w:val="center"/>
              <w:rPr>
                <w:rFonts w:hint="eastAsia" w:ascii="Times New Roman" w:hAnsi="Times New Roman" w:cs="Times New Roman"/>
                <w:bCs/>
                <w:color w:val="000000"/>
                <w:sz w:val="22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22"/>
                <w:szCs w:val="24"/>
                <w:lang w:val="en-US" w:eastAsia="zh-CN"/>
              </w:rPr>
              <w:t>9</w:t>
            </w:r>
          </w:p>
        </w:tc>
      </w:tr>
      <w:tr w14:paraId="525853A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1702" w:type="dxa"/>
            <w:tcBorders>
              <w:top w:val="nil"/>
            </w:tcBorders>
            <w:vAlign w:val="bottom"/>
          </w:tcPr>
          <w:p w14:paraId="132D23B5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Liu,</w:t>
            </w: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2026</w:t>
            </w:r>
          </w:p>
        </w:tc>
        <w:tc>
          <w:tcPr>
            <w:tcW w:w="1650" w:type="dxa"/>
            <w:tcBorders>
              <w:top w:val="nil"/>
            </w:tcBorders>
            <w:vAlign w:val="center"/>
          </w:tcPr>
          <w:p w14:paraId="4DAB3FEB">
            <w:pPr>
              <w:jc w:val="center"/>
              <w:rPr>
                <w:rFonts w:hint="eastAsia" w:ascii="Times New Roman" w:hAnsi="Times New Roman" w:cs="Times New Roman" w:eastAsiaTheme="minorEastAsia"/>
                <w:bCs/>
                <w:color w:val="000000"/>
                <w:sz w:val="22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22"/>
                <w:szCs w:val="24"/>
                <w:lang w:val="en-US" w:eastAsia="zh-CN"/>
              </w:rPr>
              <w:t>1</w:t>
            </w:r>
          </w:p>
        </w:tc>
        <w:tc>
          <w:tcPr>
            <w:tcW w:w="1757" w:type="dxa"/>
            <w:tcBorders>
              <w:top w:val="nil"/>
            </w:tcBorders>
            <w:vAlign w:val="center"/>
          </w:tcPr>
          <w:p w14:paraId="594737B3">
            <w:pPr>
              <w:jc w:val="center"/>
              <w:rPr>
                <w:rFonts w:hint="eastAsia" w:ascii="Times New Roman" w:hAnsi="Times New Roman" w:cs="Times New Roman" w:eastAsiaTheme="minorEastAsia"/>
                <w:bCs/>
                <w:color w:val="000000"/>
                <w:sz w:val="22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22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1C8D4476">
            <w:pPr>
              <w:jc w:val="center"/>
              <w:rPr>
                <w:rFonts w:hint="eastAsia" w:ascii="Times New Roman" w:hAnsi="Times New Roman" w:cs="Times New Roman" w:eastAsiaTheme="minorEastAsia"/>
                <w:bCs/>
                <w:color w:val="000000"/>
                <w:sz w:val="22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22"/>
                <w:szCs w:val="24"/>
                <w:lang w:val="en-US" w:eastAsia="zh-CN"/>
              </w:rPr>
              <w:t>1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7AB1B8AA">
            <w:pPr>
              <w:jc w:val="center"/>
              <w:rPr>
                <w:rFonts w:hint="eastAsia" w:ascii="Times New Roman" w:hAnsi="Times New Roman" w:cs="Times New Roman" w:eastAsiaTheme="minorEastAsia"/>
                <w:bCs/>
                <w:color w:val="000000"/>
                <w:sz w:val="22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22"/>
                <w:szCs w:val="24"/>
                <w:lang w:val="en-US" w:eastAsia="zh-CN"/>
              </w:rPr>
              <w:t>1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34CCA302">
            <w:pPr>
              <w:jc w:val="center"/>
              <w:rPr>
                <w:rFonts w:hint="eastAsia" w:ascii="Times New Roman" w:hAnsi="Times New Roman" w:cs="Times New Roman" w:eastAsiaTheme="minorEastAsia"/>
                <w:bCs/>
                <w:color w:val="000000"/>
                <w:sz w:val="22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22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4033C55F">
            <w:pPr>
              <w:jc w:val="center"/>
              <w:rPr>
                <w:rFonts w:hint="eastAsia" w:ascii="Times New Roman" w:hAnsi="Times New Roman" w:cs="Times New Roman" w:eastAsiaTheme="minorEastAsia"/>
                <w:bCs/>
                <w:color w:val="000000"/>
                <w:sz w:val="22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22"/>
                <w:szCs w:val="24"/>
                <w:lang w:val="en-US" w:eastAsia="zh-CN"/>
              </w:rPr>
              <w:t>1</w:t>
            </w:r>
          </w:p>
        </w:tc>
        <w:tc>
          <w:tcPr>
            <w:tcW w:w="2127" w:type="dxa"/>
            <w:tcBorders>
              <w:top w:val="nil"/>
            </w:tcBorders>
            <w:vAlign w:val="center"/>
          </w:tcPr>
          <w:p w14:paraId="6EC795F3">
            <w:pPr>
              <w:jc w:val="center"/>
              <w:rPr>
                <w:rFonts w:hint="eastAsia" w:ascii="Times New Roman" w:hAnsi="Times New Roman" w:cs="Times New Roman" w:eastAsiaTheme="minorEastAsia"/>
                <w:bCs/>
                <w:color w:val="000000"/>
                <w:sz w:val="22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22"/>
                <w:szCs w:val="24"/>
                <w:lang w:val="en-US" w:eastAsia="zh-CN"/>
              </w:rPr>
              <w:t>1</w:t>
            </w:r>
          </w:p>
        </w:tc>
        <w:tc>
          <w:tcPr>
            <w:tcW w:w="1165" w:type="dxa"/>
            <w:tcBorders>
              <w:top w:val="nil"/>
            </w:tcBorders>
            <w:vAlign w:val="center"/>
          </w:tcPr>
          <w:p w14:paraId="42A845C0">
            <w:pPr>
              <w:jc w:val="center"/>
              <w:rPr>
                <w:rFonts w:hint="eastAsia" w:ascii="Times New Roman" w:hAnsi="Times New Roman" w:cs="Times New Roman" w:eastAsiaTheme="minorEastAsia"/>
                <w:bCs/>
                <w:color w:val="000000"/>
                <w:sz w:val="22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22"/>
                <w:szCs w:val="24"/>
                <w:lang w:val="en-US" w:eastAsia="zh-CN"/>
              </w:rPr>
              <w:t>1</w:t>
            </w:r>
          </w:p>
        </w:tc>
        <w:tc>
          <w:tcPr>
            <w:tcW w:w="1087" w:type="dxa"/>
            <w:tcBorders>
              <w:top w:val="nil"/>
            </w:tcBorders>
            <w:vAlign w:val="center"/>
          </w:tcPr>
          <w:p w14:paraId="5BFBABE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>9</w:t>
            </w:r>
          </w:p>
        </w:tc>
      </w:tr>
    </w:tbl>
    <w:p w14:paraId="262D22BC">
      <w:pPr>
        <w:rPr>
          <w:rFonts w:hint="eastAsia"/>
        </w:rPr>
      </w:pPr>
    </w:p>
    <w:p w14:paraId="0247A9D3">
      <w:pPr>
        <w:rPr>
          <w:rFonts w:hint="eastAsia"/>
        </w:rPr>
      </w:pPr>
    </w:p>
    <w:p w14:paraId="124ABAA7">
      <w:pPr>
        <w:rPr>
          <w:rFonts w:hint="eastAsia"/>
        </w:rPr>
      </w:pPr>
    </w:p>
    <w:p w14:paraId="57E75895">
      <w:pPr>
        <w:rPr>
          <w:rFonts w:hint="eastAsia"/>
        </w:rPr>
      </w:pPr>
      <w:bookmarkStart w:id="5" w:name="_GoBack"/>
      <w:bookmarkEnd w:id="5"/>
    </w:p>
    <w:p w14:paraId="613E3AA5">
      <w:pPr>
        <w:rPr>
          <w:rFonts w:hint="eastAsia"/>
        </w:rPr>
      </w:pPr>
    </w:p>
    <w:p w14:paraId="2B5CC913">
      <w:pPr>
        <w:rPr>
          <w:rFonts w:hint="eastAsia"/>
        </w:rPr>
      </w:pPr>
    </w:p>
    <w:p w14:paraId="219A9E6B">
      <w:pPr>
        <w:rPr>
          <w:rFonts w:hint="eastAsia"/>
        </w:rPr>
      </w:pPr>
    </w:p>
    <w:p w14:paraId="43BC3168">
      <w:pPr>
        <w:rPr>
          <w:rFonts w:hint="eastAsia"/>
        </w:rPr>
      </w:pPr>
    </w:p>
    <w:p w14:paraId="25C04803">
      <w:pPr>
        <w:rPr>
          <w:rFonts w:hint="eastAsia"/>
        </w:rPr>
      </w:pPr>
    </w:p>
    <w:p w14:paraId="5C975DC6">
      <w:pPr>
        <w:rPr>
          <w:rFonts w:hint="eastAsia"/>
        </w:rPr>
      </w:pPr>
      <w:r>
        <w:drawing>
          <wp:inline distT="0" distB="0" distL="114300" distR="114300">
            <wp:extent cx="5266690" cy="5106035"/>
            <wp:effectExtent l="0" t="0" r="3810" b="1206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10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F56818">
      <w:pPr>
        <w:rPr>
          <w:rFonts w:hint="eastAsia"/>
        </w:rPr>
      </w:pPr>
      <w:r>
        <w:rPr>
          <w:rFonts w:hint="eastAsia" w:ascii="Times New Roman" w:hAnsi="Times New Roman" w:cs="Times New Roman"/>
          <w:sz w:val="28"/>
          <w:szCs w:val="28"/>
        </w:rPr>
        <w:t xml:space="preserve">Figure S1. </w:t>
      </w:r>
      <w:r>
        <w:rPr>
          <w:rFonts w:ascii="Times New Roman" w:hAnsi="Times New Roman" w:cs="Times New Roman"/>
          <w:sz w:val="28"/>
          <w:szCs w:val="28"/>
        </w:rPr>
        <w:t xml:space="preserve">Clinicopathological characteristics of gastric cancer patients between the high and low 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CALLY index</w:t>
      </w:r>
      <w:r>
        <w:rPr>
          <w:rFonts w:ascii="Times New Roman" w:hAnsi="Times New Roman" w:cs="Times New Roman"/>
          <w:sz w:val="28"/>
          <w:szCs w:val="28"/>
        </w:rPr>
        <w:t xml:space="preserve"> groups.</w:t>
      </w:r>
      <w:r>
        <w:rPr>
          <w:rFonts w:hint="eastAsia" w:ascii="Times New Roman" w:hAnsi="Times New Roman" w:cs="Times New Roman"/>
          <w:sz w:val="28"/>
          <w:szCs w:val="28"/>
        </w:rPr>
        <w:t xml:space="preserve"> A: 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A</w:t>
      </w:r>
      <w:r>
        <w:rPr>
          <w:rFonts w:hint="eastAsia" w:ascii="Times New Roman" w:hAnsi="Times New Roman" w:cs="Times New Roman"/>
          <w:sz w:val="28"/>
          <w:szCs w:val="28"/>
        </w:rPr>
        <w:t>ge; B: Male; C: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BMI</w:t>
      </w:r>
      <w:r>
        <w:rPr>
          <w:rFonts w:hint="eastAsia" w:ascii="Times New Roman" w:hAnsi="Times New Roman" w:cs="Times New Roman"/>
          <w:sz w:val="28"/>
          <w:szCs w:val="28"/>
        </w:rPr>
        <w:t xml:space="preserve">; D: 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Total gastrectomy</w:t>
      </w:r>
      <w:r>
        <w:rPr>
          <w:rFonts w:hint="eastAsia" w:ascii="Times New Roman" w:hAnsi="Times New Roman" w:cs="Times New Roman"/>
          <w:sz w:val="28"/>
          <w:szCs w:val="28"/>
        </w:rPr>
        <w:t xml:space="preserve">; E: 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Diffuse type; F: </w:t>
      </w:r>
      <w:r>
        <w:rPr>
          <w:rFonts w:hint="eastAsia" w:ascii="Times New Roman" w:hAnsi="Times New Roman" w:cs="Times New Roman"/>
          <w:sz w:val="28"/>
          <w:szCs w:val="28"/>
        </w:rPr>
        <w:t xml:space="preserve">Poor differentiation; G: 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Lymphatic invasion; H: Venous invasion; </w:t>
      </w:r>
      <w:r>
        <w:rPr>
          <w:rFonts w:hint="eastAsia" w:ascii="Times New Roman" w:hAnsi="Times New Roman" w:cs="Times New Roman"/>
          <w:sz w:val="28"/>
          <w:szCs w:val="28"/>
        </w:rPr>
        <w:t>I: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T4 stage; J: N+</w:t>
      </w:r>
      <w:r>
        <w:rPr>
          <w:rFonts w:hint="eastAsia" w:ascii="Times New Roman" w:hAnsi="Times New Roman" w:cs="Times New Roman"/>
          <w:sz w:val="28"/>
          <w:szCs w:val="28"/>
        </w:rPr>
        <w:t>.</w:t>
      </w:r>
    </w:p>
    <w:p w14:paraId="22A74187">
      <w:pPr>
        <w:rPr>
          <w:rFonts w:hint="eastAsia"/>
        </w:rPr>
      </w:pPr>
    </w:p>
    <w:p w14:paraId="0589A599">
      <w:pPr>
        <w:rPr>
          <w:rFonts w:hint="eastAsia"/>
        </w:rPr>
      </w:pPr>
      <w:r>
        <w:drawing>
          <wp:inline distT="0" distB="0" distL="114300" distR="114300">
            <wp:extent cx="6011545" cy="6322060"/>
            <wp:effectExtent l="0" t="0" r="8255" b="25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11545" cy="632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A291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>F</w:t>
      </w:r>
      <w:r>
        <w:rPr>
          <w:rFonts w:ascii="Times New Roman" w:hAnsi="Times New Roman" w:cs="Times New Roman"/>
          <w:sz w:val="28"/>
          <w:szCs w:val="28"/>
        </w:rPr>
        <w:t>igure S</w:t>
      </w:r>
      <w:r>
        <w:rPr>
          <w:rFonts w:hint="eastAsia"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Forest plot of subgroup analyses assessing the relationship between 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CALLY index</w:t>
      </w:r>
      <w:r>
        <w:rPr>
          <w:rFonts w:ascii="Times New Roman" w:hAnsi="Times New Roman" w:cs="Times New Roman"/>
          <w:sz w:val="28"/>
          <w:szCs w:val="28"/>
        </w:rPr>
        <w:t xml:space="preserve"> and OS. </w:t>
      </w:r>
      <w:bookmarkStart w:id="0" w:name="OLE_LINK1"/>
      <w:r>
        <w:rPr>
          <w:rFonts w:ascii="Times New Roman" w:hAnsi="Times New Roman" w:cs="Times New Roman"/>
          <w:sz w:val="28"/>
          <w:szCs w:val="28"/>
        </w:rPr>
        <w:t>A: Country (</w:t>
      </w:r>
      <w:bookmarkStart w:id="1" w:name="OLE_LINK2"/>
      <w:r>
        <w:rPr>
          <w:rFonts w:ascii="Times New Roman" w:hAnsi="Times New Roman" w:cs="Times New Roman"/>
          <w:sz w:val="28"/>
          <w:szCs w:val="28"/>
        </w:rPr>
        <w:t xml:space="preserve">China vs. </w:t>
      </w:r>
      <w:r>
        <w:rPr>
          <w:rFonts w:hint="eastAsia" w:ascii="Times New Roman" w:hAnsi="Times New Roman" w:cs="Times New Roman"/>
          <w:sz w:val="28"/>
          <w:szCs w:val="28"/>
        </w:rPr>
        <w:t>Japan</w:t>
      </w:r>
      <w:bookmarkEnd w:id="1"/>
      <w:r>
        <w:rPr>
          <w:rFonts w:ascii="Times New Roman" w:hAnsi="Times New Roman" w:cs="Times New Roman"/>
          <w:sz w:val="28"/>
          <w:szCs w:val="28"/>
        </w:rPr>
        <w:t xml:space="preserve">); B: </w:t>
      </w:r>
      <w:r>
        <w:rPr>
          <w:rFonts w:hint="eastAsia" w:ascii="Times New Roman" w:hAnsi="Times New Roman" w:cs="Times New Roman"/>
          <w:sz w:val="28"/>
          <w:szCs w:val="28"/>
        </w:rPr>
        <w:t>Sample size (</w:t>
      </w:r>
      <w:bookmarkStart w:id="2" w:name="OLE_LINK3"/>
      <w:r>
        <w:rPr>
          <w:rFonts w:hint="eastAsia" w:ascii="Times New Roman" w:hAnsi="Times New Roman" w:cs="Times New Roman"/>
          <w:sz w:val="28"/>
          <w:szCs w:val="28"/>
        </w:rPr>
        <w:t>&gt;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400</w:t>
      </w:r>
      <w:r>
        <w:rPr>
          <w:rFonts w:hint="eastAsia" w:ascii="Times New Roman" w:hAnsi="Times New Roman" w:cs="Times New Roman"/>
          <w:sz w:val="28"/>
          <w:szCs w:val="28"/>
        </w:rPr>
        <w:t xml:space="preserve"> vs. &lt;</w:t>
      </w:r>
      <w:bookmarkEnd w:id="2"/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400</w:t>
      </w:r>
      <w:r>
        <w:rPr>
          <w:rFonts w:hint="eastAsia" w:ascii="Times New Roman" w:hAnsi="Times New Roman" w:cs="Times New Roman"/>
          <w:sz w:val="28"/>
          <w:szCs w:val="28"/>
        </w:rPr>
        <w:t>); C: Sampling t</w:t>
      </w:r>
      <w:r>
        <w:rPr>
          <w:rFonts w:ascii="Times New Roman" w:hAnsi="Times New Roman" w:cs="Times New Roman"/>
          <w:sz w:val="28"/>
          <w:szCs w:val="28"/>
        </w:rPr>
        <w:t>ime (</w:t>
      </w:r>
      <w:bookmarkStart w:id="3" w:name="OLE_LINK4"/>
      <w:r>
        <w:rPr>
          <w:rFonts w:ascii="Times New Roman" w:hAnsi="Times New Roman" w:cs="Times New Roman"/>
          <w:sz w:val="28"/>
          <w:szCs w:val="28"/>
        </w:rPr>
        <w:t xml:space="preserve">Within one week vs. </w:t>
      </w:r>
      <w:r>
        <w:rPr>
          <w:rFonts w:hint="eastAsia" w:ascii="Times New Roman" w:hAnsi="Times New Roman" w:cs="Times New Roman"/>
          <w:sz w:val="28"/>
          <w:szCs w:val="28"/>
        </w:rPr>
        <w:t>Others</w:t>
      </w:r>
      <w:bookmarkEnd w:id="3"/>
      <w:r>
        <w:rPr>
          <w:rFonts w:ascii="Times New Roman" w:hAnsi="Times New Roman" w:cs="Times New Roman"/>
          <w:sz w:val="28"/>
          <w:szCs w:val="28"/>
        </w:rPr>
        <w:t xml:space="preserve">); </w:t>
      </w:r>
      <w:r>
        <w:rPr>
          <w:rFonts w:hint="eastAsia" w:ascii="Times New Roman" w:hAnsi="Times New Roman" w:cs="Times New Roman"/>
          <w:sz w:val="28"/>
          <w:szCs w:val="28"/>
        </w:rPr>
        <w:t>D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Cut-off value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&gt;3 vs. &lt;3</w:t>
      </w:r>
      <w:r>
        <w:rPr>
          <w:rFonts w:ascii="Times New Roman" w:hAnsi="Times New Roman" w:cs="Times New Roman"/>
          <w:sz w:val="28"/>
          <w:szCs w:val="28"/>
        </w:rPr>
        <w:t xml:space="preserve">); </w:t>
      </w:r>
      <w:r>
        <w:rPr>
          <w:rFonts w:hint="eastAsia" w:ascii="Times New Roman" w:hAnsi="Times New Roman" w:cs="Times New Roman"/>
          <w:sz w:val="28"/>
          <w:szCs w:val="28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Primary treatment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4" w:name="_Hlk218420436"/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Radical</w:t>
      </w:r>
      <w:r>
        <w:rPr>
          <w:rFonts w:ascii="Times New Roman" w:hAnsi="Times New Roman" w:cs="Times New Roman"/>
          <w:sz w:val="28"/>
          <w:szCs w:val="28"/>
        </w:rPr>
        <w:t xml:space="preserve"> vs. 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Resectable</w:t>
      </w:r>
      <w:r>
        <w:rPr>
          <w:rFonts w:ascii="Times New Roman" w:hAnsi="Times New Roman" w:cs="Times New Roman"/>
          <w:sz w:val="28"/>
          <w:szCs w:val="28"/>
        </w:rPr>
        <w:t>)</w:t>
      </w:r>
      <w:bookmarkEnd w:id="4"/>
      <w:r>
        <w:rPr>
          <w:rFonts w:ascii="Times New Roman" w:hAnsi="Times New Roman" w:cs="Times New Roman"/>
          <w:sz w:val="28"/>
          <w:szCs w:val="28"/>
        </w:rPr>
        <w:t>.</w:t>
      </w:r>
    </w:p>
    <w:bookmarkEnd w:id="0"/>
    <w:p w14:paraId="53C73B40">
      <w:pPr>
        <w:rPr>
          <w:rFonts w:hint="eastAsia"/>
        </w:rPr>
      </w:pPr>
      <w:r>
        <w:drawing>
          <wp:inline distT="0" distB="0" distL="114300" distR="114300">
            <wp:extent cx="6170295" cy="6100445"/>
            <wp:effectExtent l="0" t="0" r="1905" b="825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70295" cy="610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6F1D9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>F</w:t>
      </w:r>
      <w:r>
        <w:rPr>
          <w:rFonts w:ascii="Times New Roman" w:hAnsi="Times New Roman" w:cs="Times New Roman"/>
          <w:sz w:val="28"/>
          <w:szCs w:val="28"/>
        </w:rPr>
        <w:t>igure S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Forest plot of subgroup analyses assessing the relationship between 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CALLY index</w:t>
      </w:r>
      <w:r>
        <w:rPr>
          <w:rFonts w:ascii="Times New Roman" w:hAnsi="Times New Roman" w:cs="Times New Roman"/>
          <w:sz w:val="28"/>
          <w:szCs w:val="28"/>
        </w:rPr>
        <w:t xml:space="preserve"> and 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DF</w:t>
      </w:r>
      <w:r>
        <w:rPr>
          <w:rFonts w:ascii="Times New Roman" w:hAnsi="Times New Roman" w:cs="Times New Roman"/>
          <w:sz w:val="28"/>
          <w:szCs w:val="28"/>
        </w:rPr>
        <w:t xml:space="preserve">S. A: Country (China vs. </w:t>
      </w:r>
      <w:r>
        <w:rPr>
          <w:rFonts w:hint="eastAsia" w:ascii="Times New Roman" w:hAnsi="Times New Roman" w:cs="Times New Roman"/>
          <w:sz w:val="28"/>
          <w:szCs w:val="28"/>
        </w:rPr>
        <w:t>Japan</w:t>
      </w:r>
      <w:r>
        <w:rPr>
          <w:rFonts w:ascii="Times New Roman" w:hAnsi="Times New Roman" w:cs="Times New Roman"/>
          <w:sz w:val="28"/>
          <w:szCs w:val="28"/>
        </w:rPr>
        <w:t xml:space="preserve">); B: </w:t>
      </w:r>
      <w:r>
        <w:rPr>
          <w:rFonts w:hint="eastAsia" w:ascii="Times New Roman" w:hAnsi="Times New Roman" w:cs="Times New Roman"/>
          <w:sz w:val="28"/>
          <w:szCs w:val="28"/>
        </w:rPr>
        <w:t>Sample size (&gt;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400</w:t>
      </w:r>
      <w:r>
        <w:rPr>
          <w:rFonts w:hint="eastAsia" w:ascii="Times New Roman" w:hAnsi="Times New Roman" w:cs="Times New Roman"/>
          <w:sz w:val="28"/>
          <w:szCs w:val="28"/>
        </w:rPr>
        <w:t xml:space="preserve"> vs. &lt;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400</w:t>
      </w:r>
      <w:r>
        <w:rPr>
          <w:rFonts w:hint="eastAsia" w:ascii="Times New Roman" w:hAnsi="Times New Roman" w:cs="Times New Roman"/>
          <w:sz w:val="28"/>
          <w:szCs w:val="28"/>
        </w:rPr>
        <w:t>); C: Sampling t</w:t>
      </w:r>
      <w:r>
        <w:rPr>
          <w:rFonts w:ascii="Times New Roman" w:hAnsi="Times New Roman" w:cs="Times New Roman"/>
          <w:sz w:val="28"/>
          <w:szCs w:val="28"/>
        </w:rPr>
        <w:t xml:space="preserve">ime (Within one week vs. </w:t>
      </w:r>
      <w:r>
        <w:rPr>
          <w:rFonts w:hint="eastAsia" w:ascii="Times New Roman" w:hAnsi="Times New Roman" w:cs="Times New Roman"/>
          <w:sz w:val="28"/>
          <w:szCs w:val="28"/>
        </w:rPr>
        <w:t>Others</w:t>
      </w:r>
      <w:r>
        <w:rPr>
          <w:rFonts w:ascii="Times New Roman" w:hAnsi="Times New Roman" w:cs="Times New Roman"/>
          <w:sz w:val="28"/>
          <w:szCs w:val="28"/>
        </w:rPr>
        <w:t xml:space="preserve">); </w:t>
      </w:r>
      <w:r>
        <w:rPr>
          <w:rFonts w:hint="eastAsia" w:ascii="Times New Roman" w:hAnsi="Times New Roman" w:cs="Times New Roman"/>
          <w:sz w:val="28"/>
          <w:szCs w:val="28"/>
        </w:rPr>
        <w:t>D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Cut-off value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&gt;3 vs. &lt;3</w:t>
      </w:r>
      <w:r>
        <w:rPr>
          <w:rFonts w:ascii="Times New Roman" w:hAnsi="Times New Roman" w:cs="Times New Roman"/>
          <w:sz w:val="28"/>
          <w:szCs w:val="28"/>
        </w:rPr>
        <w:t xml:space="preserve">); </w:t>
      </w:r>
      <w:r>
        <w:rPr>
          <w:rFonts w:hint="eastAsia" w:ascii="Times New Roman" w:hAnsi="Times New Roman" w:cs="Times New Roman"/>
          <w:sz w:val="28"/>
          <w:szCs w:val="28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Primary treatment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Radical</w:t>
      </w:r>
      <w:r>
        <w:rPr>
          <w:rFonts w:ascii="Times New Roman" w:hAnsi="Times New Roman" w:cs="Times New Roman"/>
          <w:sz w:val="28"/>
          <w:szCs w:val="28"/>
        </w:rPr>
        <w:t xml:space="preserve"> vs. 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Resectable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7543C95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I2MWY0MzEyMmRkZmJiMjQyMDc5NWEwMWMxZTFiNTQifQ=="/>
  </w:docVars>
  <w:rsids>
    <w:rsidRoot w:val="005E1F09"/>
    <w:rsid w:val="00062641"/>
    <w:rsid w:val="00436499"/>
    <w:rsid w:val="004569B8"/>
    <w:rsid w:val="00592949"/>
    <w:rsid w:val="005E1F09"/>
    <w:rsid w:val="005E29CC"/>
    <w:rsid w:val="00610094"/>
    <w:rsid w:val="009226D1"/>
    <w:rsid w:val="00924FD6"/>
    <w:rsid w:val="00A16ABB"/>
    <w:rsid w:val="00AD34BE"/>
    <w:rsid w:val="00B046FF"/>
    <w:rsid w:val="00BB212A"/>
    <w:rsid w:val="00EB58FB"/>
    <w:rsid w:val="00F550C5"/>
    <w:rsid w:val="08B863C6"/>
    <w:rsid w:val="0FF1387D"/>
    <w:rsid w:val="10AB3B4A"/>
    <w:rsid w:val="13207F92"/>
    <w:rsid w:val="1C1207F8"/>
    <w:rsid w:val="209C08A3"/>
    <w:rsid w:val="2C22462F"/>
    <w:rsid w:val="44872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等线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table" w:customStyle="1" w:styleId="9">
    <w:name w:val="网格型1"/>
    <w:basedOn w:val="4"/>
    <w:qFormat/>
    <w:uiPriority w:val="39"/>
    <w:rPr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DoubleOX</Company>
  <Pages>7</Pages>
  <Words>293</Words>
  <Characters>1238</Characters>
  <Lines>146</Lines>
  <Paragraphs>125</Paragraphs>
  <TotalTime>1</TotalTime>
  <ScaleCrop>false</ScaleCrop>
  <LinksUpToDate>false</LinksUpToDate>
  <CharactersWithSpaces>1427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2024-07-25T07:42:00Z</dcterms:created>
  <dc:creator>庞华洋</dc:creator>
  <cp:lastModifiedBy>PHY</cp:lastModifiedBy>
  <dcterms:modified xsi:type="dcterms:W3CDTF">2026-05-09T04:06:42Z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5E7D359C0C1E41FEBF2854A6BDEEBC65</vt:lpwstr>
  </property>
  <property fmtid="{D5CDD505-2E9C-101B-9397-08002B2CF9AE}" pid="4" name="KSOTemplateDocerSaveRecord">
    <vt:lpwstr>eyJoZGlkIjoiZjI2MWY0MzEyMmRkZmJiMjQyMDc5NWEwMWMxZTFiNTQiLCJ1c2VySWQiOiI1Mjg5ODI3ODYifQ==</vt:lpwstr>
  </property>
</Properties>
</file>